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20AC">
      <w:pPr>
        <w:adjustRightInd w:val="0"/>
        <w:snapToGrid w:val="0"/>
        <w:jc w:val="center"/>
        <w:outlineLvl w:val="0"/>
        <w:rPr>
          <w:rFonts w:hint="eastAsia" w:eastAsia="方正小标宋_GBK"/>
          <w:bCs/>
          <w:sz w:val="72"/>
          <w:szCs w:val="72"/>
        </w:rPr>
      </w:pPr>
      <w:r>
        <w:rPr>
          <w:rFonts w:hint="eastAsia" w:eastAsia="仿宋_GB2312" w:cs="仿宋_GB2312"/>
          <w:sz w:val="36"/>
          <w:szCs w:val="36"/>
          <w:lang w:val="en-US" w:eastAsia="zh-CN"/>
        </w:rPr>
        <w:t xml:space="preserve">   </w:t>
      </w:r>
    </w:p>
    <w:p w14:paraId="2CF90067">
      <w:pPr>
        <w:adjustRightInd w:val="0"/>
        <w:snapToGrid w:val="0"/>
        <w:jc w:val="center"/>
        <w:outlineLvl w:val="0"/>
        <w:rPr>
          <w:rFonts w:hint="eastAsia" w:eastAsia="方正小标宋_GBK"/>
          <w:bCs/>
          <w:sz w:val="72"/>
          <w:szCs w:val="72"/>
        </w:rPr>
      </w:pPr>
      <w:r>
        <w:rPr>
          <w:rFonts w:hint="eastAsia" w:eastAsia="方正小标宋_GBK"/>
          <w:bCs/>
          <w:sz w:val="72"/>
          <w:szCs w:val="72"/>
        </w:rPr>
        <w:t>建设项目环境影响报告表</w:t>
      </w:r>
    </w:p>
    <w:p w14:paraId="6C719B23">
      <w:pPr>
        <w:adjustRightInd w:val="0"/>
        <w:snapToGrid w:val="0"/>
        <w:spacing w:before="192" w:beforeLines="80"/>
        <w:jc w:val="center"/>
        <w:rPr>
          <w:rFonts w:hint="eastAsia" w:eastAsia="楷体_GB2312"/>
          <w:bCs/>
          <w:sz w:val="48"/>
          <w:szCs w:val="48"/>
        </w:rPr>
      </w:pPr>
      <w:r>
        <w:rPr>
          <w:rFonts w:hint="eastAsia" w:eastAsia="楷体_GB2312"/>
          <w:bCs/>
          <w:sz w:val="48"/>
          <w:szCs w:val="48"/>
        </w:rPr>
        <w:t>（污染影响类）</w:t>
      </w:r>
    </w:p>
    <w:p w14:paraId="75A130C5"/>
    <w:p w14:paraId="3B8FF9BB">
      <w:pPr>
        <w:jc w:val="center"/>
        <w:rPr>
          <w:rFonts w:eastAsia="仿宋"/>
          <w:sz w:val="52"/>
          <w:szCs w:val="52"/>
        </w:rPr>
      </w:pPr>
    </w:p>
    <w:p w14:paraId="6D86610B">
      <w:pPr>
        <w:ind w:firstLine="1040"/>
        <w:rPr>
          <w:rFonts w:eastAsia="仿宋"/>
          <w:sz w:val="44"/>
          <w:szCs w:val="44"/>
        </w:rPr>
      </w:pPr>
    </w:p>
    <w:p w14:paraId="77C0FCB2">
      <w:pPr>
        <w:ind w:firstLine="1040"/>
        <w:rPr>
          <w:rFonts w:eastAsia="仿宋"/>
          <w:sz w:val="44"/>
          <w:szCs w:val="44"/>
        </w:rPr>
      </w:pPr>
    </w:p>
    <w:p w14:paraId="13B16BEE">
      <w:pPr>
        <w:ind w:firstLine="1040"/>
        <w:rPr>
          <w:rFonts w:hint="eastAsia" w:eastAsia="仿宋"/>
          <w:sz w:val="44"/>
          <w:szCs w:val="44"/>
        </w:rPr>
      </w:pPr>
    </w:p>
    <w:p w14:paraId="41538DD0">
      <w:pPr>
        <w:pStyle w:val="4"/>
        <w:numPr>
          <w:ilvl w:val="0"/>
          <w:numId w:val="0"/>
        </w:numPr>
      </w:pPr>
    </w:p>
    <w:p w14:paraId="529C0E50"/>
    <w:p w14:paraId="6DD7F644">
      <w:pPr>
        <w:pStyle w:val="43"/>
        <w:widowControl w:val="0"/>
        <w:numPr>
          <w:ilvl w:val="0"/>
          <w:numId w:val="0"/>
        </w:numPr>
        <w:adjustRightInd w:val="0"/>
        <w:spacing w:line="300" w:lineRule="auto"/>
        <w:jc w:val="left"/>
        <w:textAlignment w:val="baseline"/>
      </w:pPr>
    </w:p>
    <w:p w14:paraId="32765F4D">
      <w:pPr>
        <w:ind w:firstLine="1040"/>
        <w:rPr>
          <w:rFonts w:hint="eastAsia" w:eastAsia="仿宋"/>
          <w:sz w:val="44"/>
          <w:szCs w:val="44"/>
        </w:rPr>
      </w:pPr>
    </w:p>
    <w:p w14:paraId="6195C00B">
      <w:pPr>
        <w:pStyle w:val="4"/>
        <w:numPr>
          <w:ilvl w:val="0"/>
          <w:numId w:val="0"/>
        </w:numPr>
        <w:ind w:left="851"/>
        <w:rPr>
          <w:rFonts w:hint="eastAsia"/>
        </w:rPr>
      </w:pPr>
    </w:p>
    <w:p w14:paraId="1258A955">
      <w:pPr>
        <w:adjustRightInd w:val="0"/>
        <w:snapToGrid w:val="0"/>
        <w:spacing w:line="288" w:lineRule="auto"/>
        <w:ind w:left="3600" w:hanging="3600" w:hangingChars="1000"/>
        <w:jc w:val="both"/>
        <w:rPr>
          <w:rFonts w:hint="eastAsia" w:ascii="Times New Roman" w:hAnsi="Times New Roman" w:eastAsia="仿宋_GB2312" w:cs="Times New Roman"/>
          <w:sz w:val="36"/>
          <w:szCs w:val="36"/>
          <w:u w:val="single"/>
          <w:lang w:val="en-US" w:eastAsia="zh-CN"/>
        </w:rPr>
      </w:pPr>
      <w:bookmarkStart w:id="0" w:name="_Hlk57884087"/>
      <w:r>
        <w:rPr>
          <w:rFonts w:hint="eastAsia" w:eastAsia="仿宋_GB2312"/>
          <w:sz w:val="36"/>
          <w:szCs w:val="36"/>
        </w:rPr>
        <w:t>项 目 名 称 ：</w:t>
      </w:r>
      <w:r>
        <w:rPr>
          <w:rFonts w:hint="eastAsia" w:ascii="Times New Roman" w:hAnsi="Times New Roman" w:eastAsia="仿宋_GB2312" w:cs="Times New Roman"/>
          <w:sz w:val="36"/>
          <w:szCs w:val="36"/>
          <w:u w:val="single"/>
          <w:lang w:val="en-US" w:eastAsia="zh-CN"/>
        </w:rPr>
        <w:t>栾川县惠顿矿业有限公司尾矿充填和矿山</w:t>
      </w:r>
    </w:p>
    <w:p w14:paraId="0B4CEA0A">
      <w:pPr>
        <w:adjustRightInd w:val="0"/>
        <w:snapToGrid w:val="0"/>
        <w:spacing w:line="288" w:lineRule="auto"/>
        <w:ind w:left="3594" w:leftChars="1197" w:hanging="1080" w:hangingChars="300"/>
        <w:jc w:val="both"/>
        <w:rPr>
          <w:rFonts w:hint="default" w:ascii="仿宋_GB2312" w:eastAsia="仿宋_GB2312"/>
          <w:sz w:val="36"/>
          <w:szCs w:val="36"/>
          <w:u w:val="single"/>
          <w:lang w:val="en-US" w:eastAsia="zh-CN"/>
        </w:rPr>
      </w:pPr>
      <w:r>
        <w:rPr>
          <w:rFonts w:hint="eastAsia" w:ascii="Times New Roman" w:hAnsi="Times New Roman" w:eastAsia="仿宋_GB2312" w:cs="Times New Roman"/>
          <w:sz w:val="36"/>
          <w:szCs w:val="36"/>
          <w:u w:val="single"/>
          <w:lang w:val="en-US" w:eastAsia="zh-CN"/>
        </w:rPr>
        <w:t>再利用项目（重新报批）</w:t>
      </w:r>
      <w:r>
        <w:rPr>
          <w:rFonts w:hint="eastAsia" w:ascii="仿宋_GB2312" w:eastAsia="仿宋_GB2312"/>
          <w:sz w:val="28"/>
          <w:szCs w:val="28"/>
          <w:u w:val="single"/>
          <w:lang w:val="en-US" w:eastAsia="zh-CN"/>
        </w:rPr>
        <w:t xml:space="preserve"> </w:t>
      </w:r>
      <w:r>
        <w:rPr>
          <w:rFonts w:hint="eastAsia" w:ascii="仿宋_GB2312" w:eastAsia="仿宋_GB2312"/>
          <w:sz w:val="36"/>
          <w:szCs w:val="36"/>
          <w:u w:val="single"/>
          <w:lang w:val="en-US" w:eastAsia="zh-CN"/>
        </w:rPr>
        <w:t xml:space="preserve">             </w:t>
      </w:r>
    </w:p>
    <w:p w14:paraId="022529E8">
      <w:pPr>
        <w:adjustRightInd w:val="0"/>
        <w:snapToGrid w:val="0"/>
        <w:spacing w:line="288" w:lineRule="auto"/>
        <w:rPr>
          <w:rFonts w:hint="default" w:eastAsia="仿宋_GB2312"/>
          <w:sz w:val="36"/>
          <w:szCs w:val="36"/>
          <w:u w:val="single"/>
          <w:lang w:val="en-US" w:eastAsia="zh-CN"/>
        </w:rPr>
      </w:pPr>
      <w:r>
        <w:rPr>
          <w:rFonts w:hint="eastAsia" w:eastAsia="仿宋_GB2312"/>
          <w:sz w:val="36"/>
          <w:szCs w:val="36"/>
        </w:rPr>
        <w:t>建设单位（盖章）：</w:t>
      </w:r>
      <w:r>
        <w:rPr>
          <w:rFonts w:hint="eastAsia" w:eastAsia="仿宋_GB2312"/>
          <w:sz w:val="36"/>
          <w:szCs w:val="36"/>
          <w:u w:val="single"/>
          <w:lang w:val="en-US" w:eastAsia="zh-CN"/>
        </w:rPr>
        <w:t xml:space="preserve">     </w:t>
      </w:r>
      <w:r>
        <w:rPr>
          <w:rFonts w:hint="eastAsia" w:ascii="Times New Roman" w:hAnsi="Times New Roman" w:eastAsia="仿宋_GB2312" w:cs="Times New Roman"/>
          <w:sz w:val="36"/>
          <w:szCs w:val="36"/>
          <w:u w:val="single"/>
          <w:lang w:val="en-US" w:eastAsia="zh-CN"/>
        </w:rPr>
        <w:t>栾川县惠顿矿业有限公司</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p>
    <w:p w14:paraId="6374E66E">
      <w:pPr>
        <w:adjustRightInd w:val="0"/>
        <w:snapToGrid w:val="0"/>
        <w:spacing w:line="288" w:lineRule="auto"/>
        <w:rPr>
          <w:rFonts w:hint="eastAsia" w:eastAsia="仿宋_GB2312"/>
          <w:sz w:val="36"/>
          <w:szCs w:val="36"/>
          <w:u w:val="single"/>
        </w:rPr>
      </w:pPr>
      <w:r>
        <w:rPr>
          <w:rFonts w:hint="eastAsia" w:eastAsia="仿宋_GB2312"/>
          <w:sz w:val="36"/>
          <w:szCs w:val="36"/>
        </w:rPr>
        <w:t>编  制  日  期 ：</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eastAsia="仿宋_GB2312"/>
          <w:sz w:val="36"/>
          <w:szCs w:val="36"/>
          <w:u w:val="single"/>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202</w:t>
      </w:r>
      <w:r>
        <w:rPr>
          <w:rFonts w:hint="eastAsia" w:eastAsia="仿宋_GB2312"/>
          <w:sz w:val="32"/>
          <w:szCs w:val="32"/>
          <w:u w:val="single"/>
          <w:lang w:val="en-US" w:eastAsia="zh-CN"/>
        </w:rPr>
        <w:t>4</w:t>
      </w:r>
      <w:r>
        <w:rPr>
          <w:rFonts w:hint="eastAsia" w:eastAsia="仿宋_GB2312"/>
          <w:sz w:val="32"/>
          <w:szCs w:val="32"/>
          <w:u w:val="single"/>
        </w:rPr>
        <w:t>年</w:t>
      </w:r>
      <w:r>
        <w:rPr>
          <w:rFonts w:hint="eastAsia" w:eastAsia="仿宋_GB2312"/>
          <w:sz w:val="32"/>
          <w:szCs w:val="32"/>
          <w:u w:val="single"/>
          <w:lang w:val="en-US" w:eastAsia="zh-CN"/>
        </w:rPr>
        <w:t>9</w:t>
      </w:r>
      <w:r>
        <w:rPr>
          <w:rFonts w:hint="eastAsia" w:eastAsia="仿宋_GB2312"/>
          <w:sz w:val="32"/>
          <w:szCs w:val="32"/>
          <w:u w:val="single"/>
        </w:rPr>
        <w:t>月</w:t>
      </w:r>
      <w:r>
        <w:rPr>
          <w:rFonts w:hint="eastAsia" w:eastAsia="仿宋_GB2312"/>
          <w:sz w:val="36"/>
          <w:szCs w:val="36"/>
          <w:u w:val="single"/>
        </w:rPr>
        <w:t xml:space="preserve">           </w:t>
      </w:r>
      <w:r>
        <w:rPr>
          <w:rFonts w:eastAsia="仿宋_GB2312"/>
          <w:sz w:val="36"/>
          <w:szCs w:val="36"/>
          <w:u w:val="single"/>
        </w:rPr>
        <w:t xml:space="preserve"> </w:t>
      </w:r>
    </w:p>
    <w:p w14:paraId="7CFF8716">
      <w:pPr>
        <w:adjustRightInd w:val="0"/>
        <w:snapToGrid w:val="0"/>
        <w:spacing w:line="288" w:lineRule="auto"/>
        <w:ind w:firstLine="1040"/>
        <w:rPr>
          <w:rFonts w:eastAsia="仿宋_GB2312"/>
          <w:sz w:val="36"/>
          <w:szCs w:val="36"/>
          <w:u w:val="single"/>
        </w:rPr>
      </w:pPr>
    </w:p>
    <w:p w14:paraId="2085C2B7">
      <w:pPr>
        <w:adjustRightInd w:val="0"/>
        <w:snapToGrid w:val="0"/>
        <w:spacing w:line="288" w:lineRule="auto"/>
        <w:ind w:firstLine="1040"/>
        <w:rPr>
          <w:rFonts w:eastAsia="仿宋_GB2312"/>
          <w:sz w:val="36"/>
          <w:szCs w:val="36"/>
        </w:rPr>
      </w:pPr>
    </w:p>
    <w:p w14:paraId="035BAA22">
      <w:pPr>
        <w:adjustRightInd w:val="0"/>
        <w:snapToGrid w:val="0"/>
        <w:spacing w:line="288" w:lineRule="auto"/>
        <w:ind w:firstLine="1040"/>
        <w:rPr>
          <w:rFonts w:eastAsia="仿宋_GB2312"/>
          <w:sz w:val="36"/>
          <w:szCs w:val="36"/>
        </w:rPr>
      </w:pPr>
    </w:p>
    <w:p w14:paraId="43E03F14">
      <w:pPr>
        <w:adjustRightInd w:val="0"/>
        <w:snapToGrid w:val="0"/>
        <w:spacing w:line="288" w:lineRule="auto"/>
        <w:rPr>
          <w:rFonts w:hint="eastAsia" w:eastAsia="仿宋_GB2312"/>
          <w:sz w:val="36"/>
          <w:szCs w:val="36"/>
        </w:rPr>
      </w:pPr>
    </w:p>
    <w:bookmarkEnd w:id="0"/>
    <w:p w14:paraId="2424BEA3">
      <w:pPr>
        <w:adjustRightInd w:val="0"/>
        <w:snapToGrid w:val="0"/>
        <w:jc w:val="center"/>
        <w:outlineLvl w:val="0"/>
        <w:rPr>
          <w:rFonts w:hint="eastAsia" w:eastAsia="方正小标宋_GBK"/>
          <w:bCs/>
          <w:sz w:val="72"/>
          <w:szCs w:val="72"/>
        </w:rPr>
      </w:pPr>
      <w:r>
        <w:rPr>
          <w:rFonts w:hint="eastAsia" w:eastAsia="楷体_GB2312"/>
          <w:sz w:val="36"/>
          <w:szCs w:val="36"/>
        </w:rPr>
        <w:t>中华人民共和国生态环境部制</w:t>
      </w:r>
    </w:p>
    <w:p w14:paraId="184502D2">
      <w:pPr>
        <w:pStyle w:val="28"/>
        <w:jc w:val="both"/>
        <w:outlineLvl w:val="0"/>
        <w:rPr>
          <w:rFonts w:hint="eastAsia" w:eastAsia="仿宋_GB2312" w:cs="仿宋_GB2312"/>
          <w:sz w:val="36"/>
          <w:szCs w:val="36"/>
          <w:lang w:val="en-US" w:eastAsia="zh-CN"/>
        </w:rPr>
      </w:pPr>
    </w:p>
    <w:p w14:paraId="72B7284D">
      <w:pPr>
        <w:pStyle w:val="28"/>
        <w:jc w:val="both"/>
        <w:outlineLvl w:val="0"/>
        <w:rPr>
          <w:rFonts w:hint="eastAsia" w:eastAsia="仿宋_GB2312" w:cs="仿宋_GB2312"/>
          <w:sz w:val="36"/>
          <w:szCs w:val="36"/>
          <w:lang w:val="en-US" w:eastAsia="zh-CN"/>
        </w:rPr>
      </w:pPr>
    </w:p>
    <w:p w14:paraId="332FAA3F">
      <w:pPr>
        <w:pStyle w:val="28"/>
        <w:jc w:val="both"/>
        <w:outlineLvl w:val="0"/>
        <w:rPr>
          <w:rFonts w:hint="eastAsia" w:eastAsia="仿宋_GB2312" w:cs="仿宋_GB2312"/>
          <w:sz w:val="36"/>
          <w:szCs w:val="36"/>
          <w:lang w:val="en-US" w:eastAsia="zh-CN"/>
        </w:rPr>
      </w:pPr>
    </w:p>
    <w:p w14:paraId="3DA46939">
      <w:pPr>
        <w:pStyle w:val="28"/>
        <w:jc w:val="both"/>
        <w:outlineLvl w:val="0"/>
        <w:rPr>
          <w:rFonts w:hint="eastAsia" w:ascii="黑体" w:hAnsi="黑体" w:eastAsia="黑体"/>
          <w:snapToGrid w:val="0"/>
          <w:color w:val="000000"/>
          <w:sz w:val="30"/>
          <w:szCs w:val="30"/>
          <w:lang w:eastAsia="zh-CN"/>
        </w:rPr>
        <w:sectPr>
          <w:headerReference r:id="rId3" w:type="default"/>
          <w:footerReference r:id="rId4" w:type="default"/>
          <w:pgSz w:w="11906" w:h="16838"/>
          <w:pgMar w:top="1134" w:right="1134" w:bottom="1134" w:left="1134"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122FE3AA">
      <w:pPr>
        <w:pStyle w:val="28"/>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一、建设项目基本情况</w:t>
      </w:r>
    </w:p>
    <w:tbl>
      <w:tblPr>
        <w:tblStyle w:val="31"/>
        <w:tblW w:w="96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5"/>
        <w:gridCol w:w="2132"/>
        <w:gridCol w:w="2254"/>
        <w:gridCol w:w="3383"/>
      </w:tblGrid>
      <w:tr w14:paraId="219A3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895" w:type="dxa"/>
            <w:noWrap w:val="0"/>
            <w:tcMar>
              <w:top w:w="16" w:type="dxa"/>
              <w:left w:w="16" w:type="dxa"/>
              <w:right w:w="16" w:type="dxa"/>
            </w:tcMar>
            <w:vAlign w:val="center"/>
          </w:tcPr>
          <w:p w14:paraId="64032EE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建设项目名称</w:t>
            </w:r>
          </w:p>
        </w:tc>
        <w:tc>
          <w:tcPr>
            <w:tcW w:w="7769" w:type="dxa"/>
            <w:gridSpan w:val="3"/>
            <w:noWrap w:val="0"/>
            <w:vAlign w:val="center"/>
          </w:tcPr>
          <w:p w14:paraId="52A15AA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eastAsia="zh-CN"/>
              </w:rPr>
              <w:t>栾川县</w:t>
            </w:r>
            <w:r>
              <w:rPr>
                <w:rFonts w:hint="eastAsia" w:cs="Times New Roman"/>
                <w:color w:val="000000"/>
                <w:sz w:val="24"/>
                <w:szCs w:val="24"/>
                <w:lang w:val="en-US" w:eastAsia="zh-CN"/>
              </w:rPr>
              <w:t>惠顿矿业有限公司尾矿充填和矿山再利用</w:t>
            </w:r>
            <w:r>
              <w:rPr>
                <w:rFonts w:hint="eastAsia" w:cs="Times New Roman"/>
                <w:color w:val="000000"/>
                <w:sz w:val="24"/>
                <w:szCs w:val="24"/>
                <w:lang w:eastAsia="zh-CN"/>
              </w:rPr>
              <w:t>项目（</w:t>
            </w:r>
            <w:r>
              <w:rPr>
                <w:rFonts w:hint="eastAsia" w:cs="Times New Roman"/>
                <w:color w:val="000000"/>
                <w:sz w:val="24"/>
                <w:szCs w:val="24"/>
                <w:lang w:val="en-US" w:eastAsia="zh-CN"/>
              </w:rPr>
              <w:t>重新报批</w:t>
            </w:r>
            <w:r>
              <w:rPr>
                <w:rFonts w:hint="eastAsia" w:cs="Times New Roman"/>
                <w:color w:val="000000"/>
                <w:sz w:val="24"/>
                <w:szCs w:val="24"/>
                <w:lang w:eastAsia="zh-CN"/>
              </w:rPr>
              <w:t>）</w:t>
            </w:r>
          </w:p>
        </w:tc>
      </w:tr>
      <w:tr w14:paraId="0BADD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95" w:type="dxa"/>
            <w:noWrap w:val="0"/>
            <w:tcMar>
              <w:top w:w="16" w:type="dxa"/>
              <w:left w:w="16" w:type="dxa"/>
              <w:right w:w="16" w:type="dxa"/>
            </w:tcMar>
            <w:vAlign w:val="center"/>
          </w:tcPr>
          <w:p w14:paraId="013A9992">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项目代码</w:t>
            </w:r>
          </w:p>
        </w:tc>
        <w:tc>
          <w:tcPr>
            <w:tcW w:w="7769" w:type="dxa"/>
            <w:gridSpan w:val="3"/>
            <w:noWrap w:val="0"/>
            <w:vAlign w:val="center"/>
          </w:tcPr>
          <w:p w14:paraId="6749F3C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cs="Times New Roman"/>
                <w:color w:val="000000"/>
                <w:sz w:val="24"/>
                <w:szCs w:val="24"/>
                <w:lang w:val="en-US" w:eastAsia="zh-CN"/>
              </w:rPr>
              <w:t>2211</w:t>
            </w:r>
            <w:r>
              <w:rPr>
                <w:rFonts w:hint="eastAsia" w:ascii="Times New Roman" w:hAnsi="Times New Roman" w:eastAsia="宋体" w:cs="Times New Roman"/>
                <w:color w:val="000000"/>
                <w:sz w:val="24"/>
                <w:szCs w:val="24"/>
                <w:lang w:eastAsia="zh-CN"/>
              </w:rPr>
              <w:t>-410324-04-0</w:t>
            </w:r>
            <w:r>
              <w:rPr>
                <w:rFonts w:hint="eastAsia" w:cs="Times New Roman"/>
                <w:color w:val="000000"/>
                <w:sz w:val="24"/>
                <w:szCs w:val="24"/>
                <w:lang w:val="en-US" w:eastAsia="zh-CN"/>
              </w:rPr>
              <w:t>1</w:t>
            </w:r>
            <w:r>
              <w:rPr>
                <w:rFonts w:hint="eastAsia" w:ascii="Times New Roman" w:hAnsi="Times New Roman" w:eastAsia="宋体" w:cs="Times New Roman"/>
                <w:color w:val="000000"/>
                <w:sz w:val="24"/>
                <w:szCs w:val="24"/>
                <w:lang w:eastAsia="zh-CN"/>
              </w:rPr>
              <w:t>-</w:t>
            </w:r>
            <w:r>
              <w:rPr>
                <w:rFonts w:hint="eastAsia" w:cs="Times New Roman"/>
                <w:color w:val="000000"/>
                <w:sz w:val="24"/>
                <w:szCs w:val="24"/>
                <w:lang w:val="en-US" w:eastAsia="zh-CN"/>
              </w:rPr>
              <w:t>459965</w:t>
            </w:r>
          </w:p>
        </w:tc>
      </w:tr>
      <w:tr w14:paraId="54992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895" w:type="dxa"/>
            <w:noWrap w:val="0"/>
            <w:tcMar>
              <w:top w:w="16" w:type="dxa"/>
              <w:left w:w="16" w:type="dxa"/>
              <w:right w:w="16" w:type="dxa"/>
            </w:tcMar>
            <w:vAlign w:val="center"/>
          </w:tcPr>
          <w:p w14:paraId="6C88F8E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建设单位联系人</w:t>
            </w:r>
          </w:p>
        </w:tc>
        <w:tc>
          <w:tcPr>
            <w:tcW w:w="2132" w:type="dxa"/>
            <w:noWrap w:val="0"/>
            <w:vAlign w:val="center"/>
          </w:tcPr>
          <w:p w14:paraId="156F23E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赵笑白</w:t>
            </w:r>
          </w:p>
        </w:tc>
        <w:tc>
          <w:tcPr>
            <w:tcW w:w="2254" w:type="dxa"/>
            <w:noWrap w:val="0"/>
            <w:vAlign w:val="center"/>
          </w:tcPr>
          <w:p w14:paraId="28D5680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联系方式</w:t>
            </w:r>
          </w:p>
        </w:tc>
        <w:tc>
          <w:tcPr>
            <w:tcW w:w="3383" w:type="dxa"/>
            <w:noWrap w:val="0"/>
            <w:vAlign w:val="center"/>
          </w:tcPr>
          <w:p w14:paraId="424A6773">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13698869588</w:t>
            </w:r>
          </w:p>
        </w:tc>
      </w:tr>
      <w:tr w14:paraId="4E7E1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895" w:type="dxa"/>
            <w:noWrap w:val="0"/>
            <w:tcMar>
              <w:top w:w="16" w:type="dxa"/>
              <w:left w:w="16" w:type="dxa"/>
              <w:right w:w="16" w:type="dxa"/>
            </w:tcMar>
            <w:vAlign w:val="center"/>
          </w:tcPr>
          <w:p w14:paraId="1C94EC4A">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建设地点</w:t>
            </w:r>
          </w:p>
        </w:tc>
        <w:tc>
          <w:tcPr>
            <w:tcW w:w="7769" w:type="dxa"/>
            <w:gridSpan w:val="3"/>
            <w:noWrap w:val="0"/>
            <w:vAlign w:val="center"/>
          </w:tcPr>
          <w:p w14:paraId="6C720A2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河南</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省</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洛阳</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市</w:t>
            </w:r>
            <w:r>
              <w:rPr>
                <w:rFonts w:hint="default"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lang w:val="en-US" w:eastAsia="zh-CN"/>
              </w:rPr>
              <w:t>栾川</w:t>
            </w:r>
            <w:r>
              <w:rPr>
                <w:rFonts w:hint="eastAsia" w:cs="Times New Roman"/>
                <w:color w:val="000000"/>
                <w:sz w:val="24"/>
                <w:szCs w:val="24"/>
                <w:u w:val="single"/>
                <w:lang w:val="en-US" w:eastAsia="zh-CN"/>
              </w:rPr>
              <w:t xml:space="preserve"> </w:t>
            </w:r>
            <w:r>
              <w:rPr>
                <w:rFonts w:hint="default" w:ascii="Times New Roman" w:hAnsi="Times New Roman" w:eastAsia="宋体" w:cs="Times New Roman"/>
                <w:color w:val="000000"/>
                <w:sz w:val="24"/>
                <w:szCs w:val="24"/>
              </w:rPr>
              <w:t>县</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三川镇 火神庙村</w:t>
            </w:r>
          </w:p>
        </w:tc>
      </w:tr>
      <w:tr w14:paraId="7979F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895" w:type="dxa"/>
            <w:noWrap w:val="0"/>
            <w:tcMar>
              <w:top w:w="16" w:type="dxa"/>
              <w:left w:w="16" w:type="dxa"/>
              <w:right w:w="16" w:type="dxa"/>
            </w:tcMar>
            <w:vAlign w:val="center"/>
          </w:tcPr>
          <w:p w14:paraId="7F99FF1F">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地理坐标</w:t>
            </w:r>
          </w:p>
        </w:tc>
        <w:tc>
          <w:tcPr>
            <w:tcW w:w="7769" w:type="dxa"/>
            <w:gridSpan w:val="3"/>
            <w:noWrap w:val="0"/>
            <w:vAlign w:val="center"/>
          </w:tcPr>
          <w:p w14:paraId="22748C5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111</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度</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34</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分</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45.620</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秒，</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u w:val="single"/>
                <w:lang w:val="en-US" w:eastAsia="zh-CN"/>
              </w:rPr>
              <w:t>3</w:t>
            </w:r>
            <w:r>
              <w:rPr>
                <w:rFonts w:hint="eastAsia" w:ascii="Times New Roman" w:hAnsi="Times New Roman" w:eastAsia="宋体" w:cs="Times New Roman"/>
                <w:color w:val="000000"/>
                <w:sz w:val="24"/>
                <w:szCs w:val="24"/>
                <w:u w:val="single"/>
                <w:lang w:val="en-US" w:eastAsia="zh-CN"/>
              </w:rPr>
              <w:t>3</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度</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47</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分</w:t>
            </w:r>
            <w:r>
              <w:rPr>
                <w:rFonts w:hint="default" w:ascii="Times New Roman" w:hAnsi="Times New Roman" w:eastAsia="宋体" w:cs="Times New Roman"/>
                <w:color w:val="000000"/>
                <w:sz w:val="24"/>
                <w:szCs w:val="24"/>
                <w:u w:val="single"/>
              </w:rPr>
              <w:t xml:space="preserve"> </w:t>
            </w:r>
            <w:r>
              <w:rPr>
                <w:rFonts w:hint="eastAsia" w:cs="Times New Roman"/>
                <w:color w:val="000000"/>
                <w:sz w:val="24"/>
                <w:szCs w:val="24"/>
                <w:u w:val="single"/>
                <w:lang w:val="en-US" w:eastAsia="zh-CN"/>
              </w:rPr>
              <w:t>32.200</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秒）</w:t>
            </w:r>
          </w:p>
        </w:tc>
      </w:tr>
      <w:tr w14:paraId="449DD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895" w:type="dxa"/>
            <w:noWrap w:val="0"/>
            <w:tcMar>
              <w:top w:w="16" w:type="dxa"/>
              <w:left w:w="16" w:type="dxa"/>
              <w:right w:w="16" w:type="dxa"/>
            </w:tcMar>
            <w:vAlign w:val="center"/>
          </w:tcPr>
          <w:p w14:paraId="42E64CD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国民经济</w:t>
            </w:r>
          </w:p>
          <w:p w14:paraId="1147CD3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2132" w:type="dxa"/>
            <w:noWrap w:val="0"/>
            <w:vAlign w:val="center"/>
          </w:tcPr>
          <w:p w14:paraId="4093AE9F">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N7723</w:t>
            </w:r>
            <w:r>
              <w:rPr>
                <w:rFonts w:hint="default" w:ascii="Times New Roman" w:hAnsi="Times New Roman" w:eastAsia="宋体" w:cs="Times New Roman"/>
                <w:color w:val="000000"/>
                <w:sz w:val="24"/>
                <w:szCs w:val="24"/>
                <w:lang w:val="en-US" w:eastAsia="zh-CN"/>
              </w:rPr>
              <w:t xml:space="preserve"> </w:t>
            </w:r>
          </w:p>
          <w:p w14:paraId="75FB5ED1">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cs="Times New Roman"/>
                <w:color w:val="000000"/>
                <w:sz w:val="24"/>
                <w:szCs w:val="24"/>
                <w:lang w:val="en-US" w:eastAsia="zh-CN"/>
              </w:rPr>
              <w:t>固定废物治理</w:t>
            </w:r>
          </w:p>
        </w:tc>
        <w:tc>
          <w:tcPr>
            <w:tcW w:w="2254" w:type="dxa"/>
            <w:noWrap w:val="0"/>
            <w:vAlign w:val="center"/>
          </w:tcPr>
          <w:p w14:paraId="57852059">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14:paraId="67CF340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行业类别</w:t>
            </w:r>
          </w:p>
        </w:tc>
        <w:tc>
          <w:tcPr>
            <w:tcW w:w="3383" w:type="dxa"/>
            <w:noWrap w:val="0"/>
            <w:vAlign w:val="center"/>
          </w:tcPr>
          <w:p w14:paraId="15EDAEA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cs="Times New Roman"/>
                <w:color w:val="000000"/>
                <w:sz w:val="24"/>
                <w:szCs w:val="24"/>
                <w:lang w:val="en-US" w:eastAsia="zh-CN"/>
              </w:rPr>
              <w:t>四</w:t>
            </w:r>
            <w:r>
              <w:rPr>
                <w:rFonts w:hint="eastAsia" w:ascii="Times New Roman" w:hAnsi="Times New Roman" w:eastAsia="宋体" w:cs="Times New Roman"/>
                <w:color w:val="000000"/>
                <w:sz w:val="24"/>
                <w:szCs w:val="24"/>
                <w:lang w:val="en-US" w:eastAsia="zh-CN"/>
              </w:rPr>
              <w:t>十七、</w:t>
            </w:r>
            <w:r>
              <w:rPr>
                <w:rFonts w:hint="eastAsia" w:cs="Times New Roman"/>
                <w:color w:val="000000"/>
                <w:sz w:val="24"/>
                <w:szCs w:val="24"/>
                <w:lang w:val="en-US" w:eastAsia="zh-CN"/>
              </w:rPr>
              <w:t>生态环保和环境治理业</w:t>
            </w:r>
            <w:r>
              <w:rPr>
                <w:rFonts w:hint="eastAsia" w:ascii="Times New Roman" w:hAnsi="Times New Roman" w:eastAsia="宋体" w:cs="Times New Roman"/>
                <w:color w:val="000000"/>
                <w:sz w:val="24"/>
                <w:szCs w:val="24"/>
                <w:lang w:val="en-US" w:eastAsia="zh-CN"/>
              </w:rPr>
              <w:t xml:space="preserve"> </w:t>
            </w:r>
            <w:r>
              <w:rPr>
                <w:rFonts w:hint="eastAsia" w:cs="Times New Roman"/>
                <w:color w:val="000000"/>
                <w:sz w:val="24"/>
                <w:szCs w:val="24"/>
                <w:lang w:val="en-US" w:eastAsia="zh-CN"/>
              </w:rPr>
              <w:t>中103“一般工业固体废物（含污水处理污泥）建筑施工废弃物处置及综合利用-其他”</w:t>
            </w:r>
          </w:p>
        </w:tc>
      </w:tr>
      <w:tr w14:paraId="065AD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95" w:type="dxa"/>
            <w:noWrap w:val="0"/>
            <w:tcMar>
              <w:top w:w="16" w:type="dxa"/>
              <w:left w:w="16" w:type="dxa"/>
              <w:right w:w="16" w:type="dxa"/>
            </w:tcMar>
            <w:vAlign w:val="center"/>
          </w:tcPr>
          <w:p w14:paraId="3D92994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建设性质</w:t>
            </w:r>
          </w:p>
        </w:tc>
        <w:tc>
          <w:tcPr>
            <w:tcW w:w="2132" w:type="dxa"/>
            <w:noWrap w:val="0"/>
            <w:vAlign w:val="center"/>
          </w:tcPr>
          <w:p w14:paraId="7C85FC4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hint="eastAsia" w:ascii="黑体" w:hAnsi="黑体"/>
                <w:sz w:val="25"/>
                <w:lang w:eastAsia="zh-CN"/>
              </w:rPr>
              <w:t>☑</w:t>
            </w:r>
            <w:r>
              <w:rPr>
                <w:rFonts w:hint="default" w:ascii="Times New Roman" w:hAnsi="Times New Roman" w:eastAsia="宋体" w:cs="Times New Roman"/>
                <w:color w:val="000000"/>
                <w:sz w:val="24"/>
                <w:szCs w:val="24"/>
              </w:rPr>
              <w:t>新建（迁建）</w:t>
            </w:r>
          </w:p>
          <w:p w14:paraId="3D51AF85">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ascii="黑体" w:hAnsi="黑体"/>
                <w:sz w:val="25"/>
              </w:rPr>
              <w:t>□</w:t>
            </w:r>
            <w:r>
              <w:rPr>
                <w:rFonts w:hint="default" w:ascii="Times New Roman" w:hAnsi="Times New Roman" w:eastAsia="宋体" w:cs="Times New Roman"/>
                <w:color w:val="000000"/>
                <w:sz w:val="24"/>
                <w:szCs w:val="24"/>
              </w:rPr>
              <w:t>改建</w:t>
            </w:r>
          </w:p>
          <w:p w14:paraId="3897B33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ascii="黑体" w:hAnsi="黑体"/>
                <w:sz w:val="25"/>
              </w:rPr>
              <w:t>□</w:t>
            </w:r>
            <w:r>
              <w:rPr>
                <w:rFonts w:hint="default" w:ascii="Times New Roman" w:hAnsi="Times New Roman" w:eastAsia="宋体" w:cs="Times New Roman"/>
                <w:color w:val="000000"/>
                <w:sz w:val="24"/>
                <w:szCs w:val="24"/>
              </w:rPr>
              <w:t>扩建</w:t>
            </w:r>
          </w:p>
          <w:p w14:paraId="5FFF563E">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ascii="黑体" w:hAnsi="黑体"/>
                <w:sz w:val="25"/>
              </w:rPr>
              <w:t>□</w:t>
            </w:r>
            <w:r>
              <w:rPr>
                <w:rFonts w:hint="default" w:ascii="Times New Roman" w:hAnsi="Times New Roman" w:eastAsia="宋体" w:cs="Times New Roman"/>
                <w:color w:val="000000"/>
                <w:sz w:val="24"/>
                <w:szCs w:val="24"/>
              </w:rPr>
              <w:t>技术改造</w:t>
            </w:r>
          </w:p>
        </w:tc>
        <w:tc>
          <w:tcPr>
            <w:tcW w:w="2254" w:type="dxa"/>
            <w:noWrap w:val="0"/>
            <w:vAlign w:val="center"/>
          </w:tcPr>
          <w:p w14:paraId="08E9976D">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w:t>
            </w:r>
          </w:p>
          <w:p w14:paraId="4ED4A76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申报情形</w:t>
            </w:r>
          </w:p>
        </w:tc>
        <w:tc>
          <w:tcPr>
            <w:tcW w:w="3383" w:type="dxa"/>
            <w:noWrap w:val="0"/>
            <w:vAlign w:val="center"/>
          </w:tcPr>
          <w:p w14:paraId="2F48A089">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hint="eastAsia" w:ascii="黑体" w:hAnsi="黑体"/>
                <w:sz w:val="25"/>
                <w:lang w:eastAsia="zh-CN"/>
              </w:rPr>
              <w:t>□</w:t>
            </w:r>
            <w:r>
              <w:rPr>
                <w:rFonts w:hint="default" w:ascii="Times New Roman" w:hAnsi="Times New Roman" w:eastAsia="宋体" w:cs="Times New Roman"/>
                <w:color w:val="000000"/>
                <w:sz w:val="24"/>
                <w:szCs w:val="24"/>
              </w:rPr>
              <w:t xml:space="preserve">首次申报项目             </w:t>
            </w:r>
          </w:p>
          <w:p w14:paraId="1EEC5B7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ascii="黑体" w:hAnsi="黑体"/>
                <w:sz w:val="25"/>
              </w:rPr>
              <w:t>□</w:t>
            </w:r>
            <w:r>
              <w:rPr>
                <w:rFonts w:hint="default" w:ascii="Times New Roman" w:hAnsi="Times New Roman" w:eastAsia="宋体" w:cs="Times New Roman"/>
                <w:color w:val="000000"/>
                <w:sz w:val="24"/>
                <w:szCs w:val="24"/>
              </w:rPr>
              <w:t>不予批准后再次申报项目</w:t>
            </w:r>
          </w:p>
          <w:p w14:paraId="484F32D5">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ascii="黑体" w:hAnsi="黑体"/>
                <w:sz w:val="25"/>
              </w:rPr>
              <w:t>□</w:t>
            </w:r>
            <w:r>
              <w:rPr>
                <w:rFonts w:hint="default" w:ascii="Times New Roman" w:hAnsi="Times New Roman" w:eastAsia="宋体" w:cs="Times New Roman"/>
                <w:color w:val="000000"/>
                <w:sz w:val="24"/>
                <w:szCs w:val="24"/>
              </w:rPr>
              <w:t xml:space="preserve">超五年重新审核项目     </w:t>
            </w:r>
          </w:p>
          <w:p w14:paraId="47B2012D">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hint="eastAsia" w:ascii="黑体" w:hAnsi="黑体"/>
                <w:sz w:val="25"/>
                <w:lang w:eastAsia="zh-CN"/>
              </w:rPr>
              <w:t>☑</w:t>
            </w:r>
            <w:r>
              <w:rPr>
                <w:rFonts w:hint="default" w:ascii="Times New Roman" w:hAnsi="Times New Roman" w:eastAsia="宋体" w:cs="Times New Roman"/>
                <w:color w:val="000000"/>
                <w:sz w:val="24"/>
                <w:szCs w:val="24"/>
              </w:rPr>
              <w:t>重大变动重新报批项目</w:t>
            </w:r>
          </w:p>
        </w:tc>
      </w:tr>
      <w:tr w14:paraId="7C760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95" w:type="dxa"/>
            <w:noWrap w:val="0"/>
            <w:tcMar>
              <w:top w:w="16" w:type="dxa"/>
              <w:left w:w="16" w:type="dxa"/>
              <w:right w:w="16" w:type="dxa"/>
            </w:tcMar>
            <w:vAlign w:val="center"/>
          </w:tcPr>
          <w:p w14:paraId="6F771E9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14:paraId="243E9127">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备案）部门（选填）</w:t>
            </w:r>
          </w:p>
        </w:tc>
        <w:tc>
          <w:tcPr>
            <w:tcW w:w="2132" w:type="dxa"/>
            <w:noWrap w:val="0"/>
            <w:vAlign w:val="center"/>
          </w:tcPr>
          <w:p w14:paraId="14928030">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none"/>
                <w:lang w:val="en-US" w:eastAsia="zh-CN"/>
              </w:rPr>
              <w:t>栾川县</w:t>
            </w:r>
            <w:r>
              <w:rPr>
                <w:rFonts w:hint="default" w:ascii="Times New Roman" w:hAnsi="Times New Roman" w:eastAsia="宋体" w:cs="Times New Roman"/>
                <w:color w:val="000000"/>
                <w:sz w:val="24"/>
                <w:szCs w:val="24"/>
                <w:u w:val="none"/>
              </w:rPr>
              <w:t>发展和改革委员会</w:t>
            </w:r>
          </w:p>
        </w:tc>
        <w:tc>
          <w:tcPr>
            <w:tcW w:w="2254" w:type="dxa"/>
            <w:noWrap w:val="0"/>
            <w:vAlign w:val="center"/>
          </w:tcPr>
          <w:p w14:paraId="088D9108">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项目审批（核准/</w:t>
            </w:r>
          </w:p>
          <w:p w14:paraId="2DE2466E">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备案）文号（选填）</w:t>
            </w:r>
          </w:p>
        </w:tc>
        <w:tc>
          <w:tcPr>
            <w:tcW w:w="3383" w:type="dxa"/>
            <w:noWrap w:val="0"/>
            <w:vAlign w:val="center"/>
          </w:tcPr>
          <w:p w14:paraId="49EE9158">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rPr>
            </w:pPr>
            <w:r>
              <w:rPr>
                <w:rFonts w:hint="eastAsia" w:cs="Times New Roman"/>
                <w:color w:val="auto"/>
                <w:sz w:val="24"/>
                <w:szCs w:val="24"/>
                <w:u w:val="single"/>
                <w:lang w:val="en-US" w:eastAsia="zh-CN"/>
              </w:rPr>
              <w:t>2211</w:t>
            </w:r>
            <w:r>
              <w:rPr>
                <w:rFonts w:hint="eastAsia" w:ascii="Times New Roman" w:hAnsi="Times New Roman" w:eastAsia="宋体" w:cs="Times New Roman"/>
                <w:color w:val="auto"/>
                <w:sz w:val="24"/>
                <w:szCs w:val="24"/>
                <w:u w:val="single"/>
                <w:lang w:eastAsia="zh-CN"/>
              </w:rPr>
              <w:t>-410324-04-0</w:t>
            </w:r>
            <w:r>
              <w:rPr>
                <w:rFonts w:hint="eastAsia" w:cs="Times New Roman"/>
                <w:color w:val="auto"/>
                <w:sz w:val="24"/>
                <w:szCs w:val="24"/>
                <w:u w:val="single"/>
                <w:lang w:val="en-US" w:eastAsia="zh-CN"/>
              </w:rPr>
              <w:t>1</w:t>
            </w:r>
            <w:r>
              <w:rPr>
                <w:rFonts w:hint="eastAsia" w:ascii="Times New Roman" w:hAnsi="Times New Roman" w:eastAsia="宋体" w:cs="Times New Roman"/>
                <w:color w:val="auto"/>
                <w:sz w:val="24"/>
                <w:szCs w:val="24"/>
                <w:u w:val="single"/>
                <w:lang w:eastAsia="zh-CN"/>
              </w:rPr>
              <w:t>-</w:t>
            </w:r>
            <w:r>
              <w:rPr>
                <w:rFonts w:hint="eastAsia" w:cs="Times New Roman"/>
                <w:color w:val="auto"/>
                <w:sz w:val="24"/>
                <w:szCs w:val="24"/>
                <w:u w:val="single"/>
                <w:lang w:val="en-US" w:eastAsia="zh-CN"/>
              </w:rPr>
              <w:t>459965</w:t>
            </w:r>
          </w:p>
        </w:tc>
      </w:tr>
      <w:tr w14:paraId="44BA5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895" w:type="dxa"/>
            <w:noWrap w:val="0"/>
            <w:tcMar>
              <w:top w:w="16" w:type="dxa"/>
              <w:left w:w="16" w:type="dxa"/>
              <w:right w:w="16" w:type="dxa"/>
            </w:tcMar>
            <w:vAlign w:val="center"/>
          </w:tcPr>
          <w:p w14:paraId="6BCD3483">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总投资（万元）</w:t>
            </w:r>
          </w:p>
        </w:tc>
        <w:tc>
          <w:tcPr>
            <w:tcW w:w="2132" w:type="dxa"/>
            <w:noWrap w:val="0"/>
            <w:vAlign w:val="center"/>
          </w:tcPr>
          <w:p w14:paraId="725404AB">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36000</w:t>
            </w:r>
          </w:p>
        </w:tc>
        <w:tc>
          <w:tcPr>
            <w:tcW w:w="2254" w:type="dxa"/>
            <w:noWrap w:val="0"/>
            <w:tcMar>
              <w:top w:w="16" w:type="dxa"/>
              <w:left w:w="16" w:type="dxa"/>
              <w:right w:w="16" w:type="dxa"/>
            </w:tcMar>
            <w:vAlign w:val="center"/>
          </w:tcPr>
          <w:p w14:paraId="0F600B16">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环保投资（万元）</w:t>
            </w:r>
          </w:p>
        </w:tc>
        <w:tc>
          <w:tcPr>
            <w:tcW w:w="3383" w:type="dxa"/>
            <w:noWrap w:val="0"/>
            <w:vAlign w:val="center"/>
          </w:tcPr>
          <w:p w14:paraId="4FB7AA18">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auto"/>
                <w:kern w:val="0"/>
                <w:sz w:val="24"/>
                <w:szCs w:val="24"/>
                <w:u w:val="none"/>
                <w:lang w:val="en-US" w:eastAsia="zh-CN"/>
              </w:rPr>
              <w:t>55.1</w:t>
            </w:r>
          </w:p>
        </w:tc>
      </w:tr>
      <w:tr w14:paraId="2449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895" w:type="dxa"/>
            <w:noWrap w:val="0"/>
            <w:tcMar>
              <w:top w:w="16" w:type="dxa"/>
              <w:left w:w="16" w:type="dxa"/>
              <w:right w:w="16" w:type="dxa"/>
            </w:tcMar>
            <w:vAlign w:val="center"/>
          </w:tcPr>
          <w:p w14:paraId="4CA513F1">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环保投资占比（%）</w:t>
            </w:r>
          </w:p>
        </w:tc>
        <w:tc>
          <w:tcPr>
            <w:tcW w:w="2132" w:type="dxa"/>
            <w:noWrap w:val="0"/>
            <w:vAlign w:val="center"/>
          </w:tcPr>
          <w:p w14:paraId="788FB432">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auto"/>
                <w:sz w:val="24"/>
                <w:szCs w:val="24"/>
                <w:lang w:val="en-US" w:eastAsia="zh-CN"/>
              </w:rPr>
              <w:t>0.15</w:t>
            </w:r>
          </w:p>
        </w:tc>
        <w:tc>
          <w:tcPr>
            <w:tcW w:w="2254" w:type="dxa"/>
            <w:noWrap w:val="0"/>
            <w:tcMar>
              <w:top w:w="16" w:type="dxa"/>
              <w:left w:w="16" w:type="dxa"/>
              <w:right w:w="16" w:type="dxa"/>
            </w:tcMar>
            <w:vAlign w:val="center"/>
          </w:tcPr>
          <w:p w14:paraId="6A0E5FC3">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施工工期</w:t>
            </w:r>
          </w:p>
        </w:tc>
        <w:tc>
          <w:tcPr>
            <w:tcW w:w="3383" w:type="dxa"/>
            <w:noWrap w:val="0"/>
            <w:vAlign w:val="center"/>
          </w:tcPr>
          <w:p w14:paraId="07716E1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sz w:val="24"/>
                <w:szCs w:val="24"/>
                <w:u w:val="none"/>
                <w:lang w:val="en-US" w:eastAsia="zh-CN"/>
              </w:rPr>
              <w:t>/</w:t>
            </w:r>
          </w:p>
        </w:tc>
      </w:tr>
      <w:tr w14:paraId="3D3E4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895" w:type="dxa"/>
            <w:noWrap w:val="0"/>
            <w:tcMar>
              <w:top w:w="16" w:type="dxa"/>
              <w:left w:w="16" w:type="dxa"/>
              <w:right w:w="16" w:type="dxa"/>
            </w:tcMar>
            <w:vAlign w:val="center"/>
          </w:tcPr>
          <w:p w14:paraId="6BE01B7E">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是否开工建设</w:t>
            </w:r>
          </w:p>
        </w:tc>
        <w:tc>
          <w:tcPr>
            <w:tcW w:w="2132" w:type="dxa"/>
            <w:noWrap w:val="0"/>
            <w:vAlign w:val="center"/>
          </w:tcPr>
          <w:p w14:paraId="74CA2050">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hint="eastAsia" w:ascii="黑体" w:hAnsi="黑体"/>
                <w:sz w:val="25"/>
                <w:lang w:eastAsia="zh-CN"/>
              </w:rPr>
              <w:t>□</w:t>
            </w:r>
            <w:r>
              <w:rPr>
                <w:rFonts w:hint="default" w:ascii="Times New Roman" w:hAnsi="Times New Roman" w:eastAsia="宋体" w:cs="Times New Roman"/>
                <w:color w:val="000000"/>
                <w:sz w:val="24"/>
                <w:szCs w:val="24"/>
              </w:rPr>
              <w:t>否</w:t>
            </w:r>
          </w:p>
          <w:p w14:paraId="135926A2">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4"/>
                <w:szCs w:val="24"/>
              </w:rPr>
            </w:pPr>
            <w:r>
              <w:rPr>
                <w:rStyle w:val="133"/>
                <w:rFonts w:hint="eastAsia" w:ascii="黑体" w:hAnsi="黑体"/>
                <w:sz w:val="25"/>
                <w:lang w:val="en-US" w:eastAsia="zh-CN"/>
              </w:rPr>
              <w:t xml:space="preserve"> </w:t>
            </w:r>
            <w:r>
              <w:rPr>
                <w:rStyle w:val="133"/>
                <w:rFonts w:hint="eastAsia" w:ascii="黑体" w:hAnsi="黑体"/>
                <w:sz w:val="25"/>
                <w:lang w:eastAsia="zh-CN"/>
              </w:rPr>
              <w:t>☑</w:t>
            </w:r>
            <w:r>
              <w:rPr>
                <w:rFonts w:hint="default" w:ascii="Times New Roman" w:hAnsi="Times New Roman" w:eastAsia="宋体" w:cs="Times New Roman"/>
                <w:color w:val="000000"/>
                <w:sz w:val="24"/>
                <w:szCs w:val="24"/>
              </w:rPr>
              <w:t>是</w:t>
            </w:r>
            <w:r>
              <w:rPr>
                <w:rFonts w:hint="eastAsia" w:cs="Times New Roman"/>
                <w:color w:val="000000"/>
                <w:sz w:val="24"/>
                <w:szCs w:val="24"/>
                <w:u w:val="single"/>
                <w:lang w:val="en-US" w:eastAsia="zh-CN"/>
              </w:rPr>
              <w:t>项目</w:t>
            </w:r>
            <w:r>
              <w:rPr>
                <w:rFonts w:hint="eastAsia" w:ascii="Times New Roman" w:hAnsi="Times New Roman" w:eastAsia="宋体" w:cs="Times New Roman"/>
                <w:sz w:val="24"/>
                <w:u w:val="single"/>
                <w:lang w:val="en-US" w:eastAsia="zh-CN"/>
              </w:rPr>
              <w:t>尾矿砂浆输送系统和溢流水自流系统</w:t>
            </w:r>
            <w:r>
              <w:rPr>
                <w:rFonts w:hint="eastAsia" w:cs="Times New Roman"/>
                <w:sz w:val="24"/>
                <w:u w:val="single"/>
                <w:lang w:val="en-US" w:eastAsia="zh-CN"/>
              </w:rPr>
              <w:t>、</w:t>
            </w:r>
            <w:r>
              <w:rPr>
                <w:rFonts w:hint="eastAsia" w:cs="Times New Roman"/>
                <w:color w:val="auto"/>
                <w:sz w:val="24"/>
                <w:u w:val="single"/>
                <w:lang w:val="en-US" w:eastAsia="zh-CN"/>
              </w:rPr>
              <w:t>充填站、搅拌系统、充填料浆输送管线等主体工程</w:t>
            </w:r>
            <w:r>
              <w:rPr>
                <w:rFonts w:hint="eastAsia" w:cs="Times New Roman"/>
                <w:color w:val="000000"/>
                <w:sz w:val="24"/>
                <w:szCs w:val="24"/>
                <w:u w:val="single"/>
                <w:lang w:val="en-US" w:eastAsia="zh-CN"/>
              </w:rPr>
              <w:t>已经建设完成。</w:t>
            </w:r>
            <w:r>
              <w:rPr>
                <w:rFonts w:hint="default" w:ascii="Times New Roman" w:hAnsi="Times New Roman" w:eastAsia="宋体" w:cs="Times New Roman"/>
                <w:color w:val="000000"/>
                <w:sz w:val="24"/>
                <w:szCs w:val="24"/>
                <w:u w:val="single"/>
              </w:rPr>
              <w:t xml:space="preserve">    </w:t>
            </w:r>
          </w:p>
        </w:tc>
        <w:tc>
          <w:tcPr>
            <w:tcW w:w="2254" w:type="dxa"/>
            <w:noWrap w:val="0"/>
            <w:tcMar>
              <w:top w:w="16" w:type="dxa"/>
              <w:left w:w="16" w:type="dxa"/>
              <w:right w:w="16" w:type="dxa"/>
            </w:tcMar>
            <w:vAlign w:val="center"/>
          </w:tcPr>
          <w:p w14:paraId="7C368D50">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pacing w:val="-6"/>
                <w:sz w:val="24"/>
                <w:szCs w:val="24"/>
              </w:rPr>
            </w:pPr>
            <w:r>
              <w:rPr>
                <w:rFonts w:hint="default" w:ascii="Times New Roman" w:hAnsi="Times New Roman" w:eastAsia="宋体" w:cs="Times New Roman"/>
                <w:color w:val="000000"/>
                <w:spacing w:val="-6"/>
                <w:sz w:val="24"/>
                <w:szCs w:val="24"/>
              </w:rPr>
              <w:t>用地（用海）</w:t>
            </w:r>
          </w:p>
          <w:p w14:paraId="5B1922D0">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sz w:val="24"/>
                <w:szCs w:val="24"/>
              </w:rPr>
              <w:t>面积（m</w:t>
            </w:r>
            <w:r>
              <w:rPr>
                <w:rFonts w:hint="default" w:ascii="Times New Roman" w:hAnsi="Times New Roman" w:eastAsia="宋体" w:cs="Times New Roman"/>
                <w:color w:val="000000"/>
                <w:spacing w:val="-6"/>
                <w:sz w:val="24"/>
                <w:szCs w:val="24"/>
                <w:vertAlign w:val="superscript"/>
              </w:rPr>
              <w:t>2</w:t>
            </w:r>
            <w:r>
              <w:rPr>
                <w:rFonts w:hint="default" w:ascii="Times New Roman" w:hAnsi="Times New Roman" w:eastAsia="宋体" w:cs="Times New Roman"/>
                <w:color w:val="000000"/>
                <w:spacing w:val="-6"/>
                <w:sz w:val="24"/>
                <w:szCs w:val="24"/>
              </w:rPr>
              <w:t>）</w:t>
            </w:r>
          </w:p>
        </w:tc>
        <w:tc>
          <w:tcPr>
            <w:tcW w:w="3383" w:type="dxa"/>
            <w:noWrap w:val="0"/>
            <w:vAlign w:val="center"/>
          </w:tcPr>
          <w:p w14:paraId="7A0733C6">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cs="Times New Roman"/>
                <w:color w:val="auto"/>
                <w:sz w:val="24"/>
                <w:szCs w:val="24"/>
                <w:lang w:val="en-US" w:eastAsia="zh-CN"/>
              </w:rPr>
            </w:pPr>
            <w:r>
              <w:rPr>
                <w:rFonts w:hint="eastAsia" w:cs="Times New Roman"/>
                <w:color w:val="auto"/>
                <w:sz w:val="24"/>
                <w:szCs w:val="24"/>
                <w:lang w:val="en-US" w:eastAsia="zh-CN"/>
              </w:rPr>
              <w:t>0</w:t>
            </w:r>
          </w:p>
          <w:p w14:paraId="0342AD0C">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auto"/>
                <w:sz w:val="24"/>
                <w:szCs w:val="24"/>
                <w:lang w:val="en-US" w:eastAsia="zh-CN"/>
              </w:rPr>
              <w:t>（充填站在惠顿矿山原有工业用地范围内）</w:t>
            </w:r>
          </w:p>
        </w:tc>
      </w:tr>
      <w:tr w14:paraId="3F339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895" w:type="dxa"/>
            <w:noWrap w:val="0"/>
            <w:vAlign w:val="center"/>
          </w:tcPr>
          <w:p w14:paraId="7CC32F3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专项评价设置情况</w:t>
            </w:r>
          </w:p>
        </w:tc>
        <w:tc>
          <w:tcPr>
            <w:tcW w:w="7769" w:type="dxa"/>
            <w:gridSpan w:val="3"/>
            <w:noWrap w:val="0"/>
            <w:vAlign w:val="center"/>
          </w:tcPr>
          <w:p w14:paraId="21F3EB93">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无</w:t>
            </w:r>
          </w:p>
        </w:tc>
      </w:tr>
      <w:tr w14:paraId="46FCC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895" w:type="dxa"/>
            <w:noWrap w:val="0"/>
            <w:vAlign w:val="center"/>
          </w:tcPr>
          <w:p w14:paraId="2788D1C9">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规划情况</w:t>
            </w:r>
          </w:p>
        </w:tc>
        <w:tc>
          <w:tcPr>
            <w:tcW w:w="7769" w:type="dxa"/>
            <w:gridSpan w:val="3"/>
            <w:noWrap w:val="0"/>
            <w:vAlign w:val="center"/>
          </w:tcPr>
          <w:p w14:paraId="03D44739">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14:paraId="38072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95" w:type="dxa"/>
            <w:noWrap w:val="0"/>
            <w:vAlign w:val="center"/>
          </w:tcPr>
          <w:p w14:paraId="047AE090">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规划环境影响</w:t>
            </w:r>
          </w:p>
          <w:p w14:paraId="39A869D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评价情况</w:t>
            </w:r>
          </w:p>
        </w:tc>
        <w:tc>
          <w:tcPr>
            <w:tcW w:w="7769" w:type="dxa"/>
            <w:gridSpan w:val="3"/>
            <w:noWrap w:val="0"/>
            <w:vAlign w:val="center"/>
          </w:tcPr>
          <w:p w14:paraId="14AD6AC5">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w:t>
            </w:r>
          </w:p>
        </w:tc>
      </w:tr>
      <w:tr w14:paraId="26C0F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895" w:type="dxa"/>
            <w:noWrap w:val="0"/>
            <w:vAlign w:val="center"/>
          </w:tcPr>
          <w:p w14:paraId="1BDA4CFA">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规划及规划环境影响评价符合性分析</w:t>
            </w:r>
          </w:p>
        </w:tc>
        <w:tc>
          <w:tcPr>
            <w:tcW w:w="7769" w:type="dxa"/>
            <w:gridSpan w:val="3"/>
            <w:noWrap w:val="0"/>
            <w:vAlign w:val="center"/>
          </w:tcPr>
          <w:p w14:paraId="317F8BB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无</w:t>
            </w:r>
          </w:p>
        </w:tc>
      </w:tr>
      <w:tr w14:paraId="79D87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5" w:hRule="atLeast"/>
          <w:jc w:val="center"/>
        </w:trPr>
        <w:tc>
          <w:tcPr>
            <w:tcW w:w="1895" w:type="dxa"/>
            <w:noWrap w:val="0"/>
            <w:vAlign w:val="center"/>
          </w:tcPr>
          <w:p w14:paraId="27A5F34A">
            <w:pPr>
              <w:pageBreakBefore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其他符合性分析</w:t>
            </w:r>
          </w:p>
        </w:tc>
        <w:tc>
          <w:tcPr>
            <w:tcW w:w="7769" w:type="dxa"/>
            <w:gridSpan w:val="3"/>
            <w:noWrap w:val="0"/>
            <w:vAlign w:val="center"/>
          </w:tcPr>
          <w:p w14:paraId="2B866CE8">
            <w:pPr>
              <w:keepNext w:val="0"/>
              <w:keepLines w:val="0"/>
              <w:pageBreakBefore w:val="0"/>
              <w:widowControl w:val="0"/>
              <w:numPr>
                <w:ilvl w:val="0"/>
                <w:numId w:val="6"/>
              </w:numPr>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zh-CN"/>
              </w:rPr>
              <w:t>与国家产业政策的相符性</w:t>
            </w:r>
          </w:p>
          <w:p w14:paraId="45822618">
            <w:pPr>
              <w:keepNext w:val="0"/>
              <w:keepLines w:val="0"/>
              <w:pageBreakBefore w:val="0"/>
              <w:widowControl w:val="0"/>
              <w:numPr>
                <w:ilvl w:val="1"/>
                <w:numId w:val="7"/>
              </w:numPr>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zh-CN"/>
              </w:rPr>
              <w:t>与《产业结构调整指导目录》相符性分析</w:t>
            </w:r>
          </w:p>
          <w:p w14:paraId="3AA1AEE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color w:val="000000"/>
                <w:sz w:val="24"/>
                <w:u w:val="none"/>
                <w:lang w:val="en-US" w:eastAsia="zh-CN"/>
              </w:rPr>
            </w:pPr>
            <w:r>
              <w:rPr>
                <w:rFonts w:hint="eastAsia"/>
                <w:color w:val="000000"/>
                <w:sz w:val="24"/>
                <w:u w:val="none"/>
                <w:lang w:val="en-US" w:eastAsia="zh-CN"/>
              </w:rPr>
              <w:t>本项目为尾矿充填材料制造与输送项目，</w:t>
            </w:r>
            <w:r>
              <w:rPr>
                <w:rFonts w:hint="default" w:ascii="Times New Roman" w:hAnsi="Times New Roman"/>
                <w:color w:val="000000"/>
                <w:sz w:val="24"/>
                <w:u w:val="none"/>
                <w:lang w:val="en-US" w:eastAsia="zh-CN"/>
              </w:rPr>
              <w:t>经查阅《产业结构调整指导目录</w:t>
            </w:r>
            <w:r>
              <w:rPr>
                <w:rFonts w:hint="default" w:ascii="Times New Roman" w:hAnsi="Times New Roman"/>
                <w:color w:val="auto"/>
                <w:sz w:val="24"/>
                <w:u w:val="none"/>
                <w:lang w:val="en-US" w:eastAsia="zh-CN"/>
              </w:rPr>
              <w:t>（20</w:t>
            </w:r>
            <w:r>
              <w:rPr>
                <w:rFonts w:hint="eastAsia"/>
                <w:color w:val="auto"/>
                <w:sz w:val="24"/>
                <w:u w:val="none"/>
                <w:lang w:val="en-US" w:eastAsia="zh-CN"/>
              </w:rPr>
              <w:t>24</w:t>
            </w:r>
            <w:r>
              <w:rPr>
                <w:rFonts w:hint="default" w:ascii="Times New Roman" w:hAnsi="Times New Roman"/>
                <w:color w:val="auto"/>
                <w:sz w:val="24"/>
                <w:u w:val="none"/>
                <w:lang w:val="en-US" w:eastAsia="zh-CN"/>
              </w:rPr>
              <w:t>年本）</w:t>
            </w:r>
            <w:r>
              <w:rPr>
                <w:rFonts w:hint="default" w:ascii="Times New Roman" w:hAnsi="Times New Roman"/>
                <w:color w:val="000000"/>
                <w:sz w:val="24"/>
                <w:u w:val="none"/>
                <w:lang w:val="en-US" w:eastAsia="zh-CN"/>
              </w:rPr>
              <w:t>》，本项目属于</w:t>
            </w:r>
            <w:r>
              <w:rPr>
                <w:rFonts w:hint="eastAsia"/>
                <w:color w:val="000000"/>
                <w:sz w:val="24"/>
                <w:u w:val="none"/>
                <w:lang w:val="en-US" w:eastAsia="zh-CN"/>
              </w:rPr>
              <w:t>“</w:t>
            </w:r>
            <w:r>
              <w:rPr>
                <w:rFonts w:hint="default" w:ascii="Times New Roman" w:hAnsi="Times New Roman"/>
                <w:color w:val="000000"/>
                <w:sz w:val="24"/>
                <w:u w:val="none"/>
                <w:lang w:val="en-US" w:eastAsia="zh-CN"/>
              </w:rPr>
              <w:t>鼓励类</w:t>
            </w:r>
            <w:r>
              <w:rPr>
                <w:rFonts w:hint="eastAsia"/>
                <w:color w:val="000000"/>
                <w:sz w:val="24"/>
                <w:u w:val="none"/>
                <w:lang w:val="en-US" w:eastAsia="zh-CN"/>
              </w:rPr>
              <w:t>”四十二</w:t>
            </w:r>
            <w:r>
              <w:rPr>
                <w:rFonts w:hint="default" w:ascii="Times New Roman" w:hAnsi="Times New Roman"/>
                <w:color w:val="000000"/>
                <w:sz w:val="24"/>
                <w:u w:val="none"/>
                <w:lang w:val="en-US" w:eastAsia="zh-CN"/>
              </w:rPr>
              <w:t>、</w:t>
            </w:r>
            <w:r>
              <w:rPr>
                <w:rFonts w:hint="eastAsia"/>
                <w:color w:val="000000"/>
                <w:sz w:val="24"/>
                <w:u w:val="none"/>
                <w:lang w:val="en-US" w:eastAsia="zh-CN"/>
              </w:rPr>
              <w:t>环境保护与资源节约综合利用10、“三废”综合利用与治理技术、装备和工程，属于鼓励类项目。</w:t>
            </w:r>
          </w:p>
          <w:p w14:paraId="01DFE64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本项目已获得栾川县发展和改革委员会的立项备案，项目代码为</w:t>
            </w:r>
            <w:r>
              <w:rPr>
                <w:rFonts w:hint="eastAsia" w:cs="Times New Roman"/>
                <w:color w:val="000000"/>
                <w:sz w:val="24"/>
                <w:szCs w:val="24"/>
                <w:lang w:val="en-US" w:eastAsia="zh-CN"/>
              </w:rPr>
              <w:t>2211</w:t>
            </w:r>
            <w:r>
              <w:rPr>
                <w:rFonts w:hint="eastAsia" w:ascii="Times New Roman" w:hAnsi="Times New Roman" w:eastAsia="宋体" w:cs="Times New Roman"/>
                <w:color w:val="000000"/>
                <w:sz w:val="24"/>
                <w:szCs w:val="24"/>
                <w:lang w:eastAsia="zh-CN"/>
              </w:rPr>
              <w:t>-410324-04-0</w:t>
            </w:r>
            <w:r>
              <w:rPr>
                <w:rFonts w:hint="eastAsia" w:cs="Times New Roman"/>
                <w:color w:val="000000"/>
                <w:sz w:val="24"/>
                <w:szCs w:val="24"/>
                <w:lang w:val="en-US" w:eastAsia="zh-CN"/>
              </w:rPr>
              <w:t>1</w:t>
            </w:r>
            <w:r>
              <w:rPr>
                <w:rFonts w:hint="eastAsia" w:ascii="Times New Roman" w:hAnsi="Times New Roman" w:eastAsia="宋体" w:cs="Times New Roman"/>
                <w:color w:val="000000"/>
                <w:sz w:val="24"/>
                <w:szCs w:val="24"/>
                <w:lang w:eastAsia="zh-CN"/>
              </w:rPr>
              <w:t>-</w:t>
            </w:r>
            <w:r>
              <w:rPr>
                <w:rFonts w:hint="eastAsia" w:cs="Times New Roman"/>
                <w:color w:val="000000"/>
                <w:sz w:val="24"/>
                <w:szCs w:val="24"/>
                <w:lang w:val="en-US" w:eastAsia="zh-CN"/>
              </w:rPr>
              <w:t>459965，因此，本项目符合国家法律和</w:t>
            </w:r>
            <w:r>
              <w:rPr>
                <w:rFonts w:hint="default" w:ascii="Times New Roman" w:hAnsi="Times New Roman"/>
                <w:color w:val="000000"/>
                <w:sz w:val="24"/>
                <w:u w:val="none"/>
                <w:lang w:val="en-US" w:eastAsia="zh-CN"/>
              </w:rPr>
              <w:t>产业政策要求</w:t>
            </w:r>
            <w:r>
              <w:rPr>
                <w:rFonts w:hint="eastAsia"/>
                <w:color w:val="000000"/>
                <w:sz w:val="24"/>
                <w:u w:val="none"/>
                <w:lang w:val="en-US" w:eastAsia="zh-CN"/>
              </w:rPr>
              <w:t>。</w:t>
            </w:r>
          </w:p>
          <w:p w14:paraId="0E3C336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000000"/>
                <w:sz w:val="24"/>
                <w:szCs w:val="24"/>
                <w:u w:val="none"/>
                <w:lang w:val="zh-CN"/>
              </w:rPr>
            </w:pPr>
            <w:r>
              <w:rPr>
                <w:rFonts w:hint="eastAsia" w:ascii="Times New Roman" w:hAnsi="Times New Roman" w:eastAsia="宋体" w:cs="Times New Roman"/>
                <w:b/>
                <w:bCs/>
                <w:color w:val="000000"/>
                <w:kern w:val="2"/>
                <w:sz w:val="24"/>
                <w:szCs w:val="24"/>
                <w:u w:val="none"/>
                <w:lang w:val="en-US" w:eastAsia="zh-CN" w:bidi="ar-SA"/>
              </w:rPr>
              <w:t>1.</w:t>
            </w:r>
            <w:r>
              <w:rPr>
                <w:rFonts w:hint="eastAsia" w:cs="Times New Roman"/>
                <w:b/>
                <w:bCs/>
                <w:color w:val="000000"/>
                <w:kern w:val="2"/>
                <w:sz w:val="24"/>
                <w:szCs w:val="24"/>
                <w:u w:val="none"/>
                <w:lang w:val="en-US" w:eastAsia="zh-CN" w:bidi="ar-SA"/>
              </w:rPr>
              <w:t xml:space="preserve">2 </w:t>
            </w:r>
            <w:r>
              <w:rPr>
                <w:rFonts w:hint="eastAsia" w:ascii="Times New Roman" w:hAnsi="Times New Roman" w:eastAsia="宋体" w:cs="Times New Roman"/>
                <w:b/>
                <w:bCs/>
                <w:color w:val="000000"/>
                <w:kern w:val="2"/>
                <w:sz w:val="24"/>
                <w:szCs w:val="24"/>
                <w:u w:val="none"/>
                <w:lang w:val="en-US" w:eastAsia="zh-CN" w:bidi="ar-SA"/>
              </w:rPr>
              <w:t>“</w:t>
            </w:r>
            <w:r>
              <w:rPr>
                <w:rFonts w:hint="default" w:ascii="Times New Roman" w:hAnsi="Times New Roman" w:eastAsia="宋体" w:cs="Times New Roman"/>
                <w:b/>
                <w:bCs/>
                <w:color w:val="000000"/>
                <w:kern w:val="2"/>
                <w:sz w:val="24"/>
                <w:szCs w:val="24"/>
                <w:u w:val="none"/>
                <w:lang w:val="en-US" w:eastAsia="zh-CN" w:bidi="ar-SA"/>
              </w:rPr>
              <w:t>三线一单</w:t>
            </w:r>
            <w:r>
              <w:rPr>
                <w:rFonts w:hint="eastAsia" w:ascii="Times New Roman" w:hAnsi="Times New Roman" w:eastAsia="宋体" w:cs="Times New Roman"/>
                <w:b/>
                <w:bCs/>
                <w:color w:val="000000"/>
                <w:kern w:val="2"/>
                <w:sz w:val="24"/>
                <w:szCs w:val="24"/>
                <w:u w:val="none"/>
                <w:lang w:val="en-US" w:eastAsia="zh-CN" w:bidi="ar-SA"/>
              </w:rPr>
              <w:t>”</w:t>
            </w:r>
            <w:r>
              <w:rPr>
                <w:rFonts w:hint="default" w:ascii="Times New Roman" w:hAnsi="Times New Roman" w:eastAsia="宋体" w:cs="Times New Roman"/>
                <w:b/>
                <w:bCs/>
                <w:color w:val="000000"/>
                <w:sz w:val="24"/>
                <w:szCs w:val="24"/>
                <w:u w:val="none"/>
                <w:lang w:val="zh-CN"/>
              </w:rPr>
              <w:t>相符性分析</w:t>
            </w:r>
          </w:p>
          <w:p w14:paraId="362E8AA4">
            <w:pPr>
              <w:keepNext w:val="0"/>
              <w:keepLines w:val="0"/>
              <w:pageBreakBefore w:val="0"/>
              <w:widowControl w:val="0"/>
              <w:numPr>
                <w:ilvl w:val="0"/>
                <w:numId w:val="8"/>
              </w:numPr>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bCs/>
                <w:color w:val="000000"/>
                <w:kern w:val="2"/>
                <w:sz w:val="24"/>
                <w:szCs w:val="24"/>
                <w:u w:val="none"/>
                <w:lang w:val="en-US" w:eastAsia="zh-CN" w:bidi="ar-SA"/>
              </w:rPr>
            </w:pPr>
            <w:r>
              <w:rPr>
                <w:rFonts w:hint="default" w:ascii="Times New Roman" w:hAnsi="Times New Roman" w:eastAsia="宋体" w:cs="Times New Roman"/>
                <w:bCs/>
                <w:color w:val="000000"/>
                <w:kern w:val="2"/>
                <w:sz w:val="24"/>
                <w:szCs w:val="24"/>
                <w:u w:val="none"/>
                <w:lang w:val="en-US" w:eastAsia="zh-CN" w:bidi="ar-SA"/>
              </w:rPr>
              <w:t>生态保护红线</w:t>
            </w:r>
          </w:p>
          <w:p w14:paraId="0FF316C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20" w:firstLineChars="200"/>
              <w:textAlignment w:val="auto"/>
              <w:rPr>
                <w:kern w:val="44"/>
                <w:sz w:val="24"/>
              </w:rPr>
            </w:pPr>
            <w:r>
              <w:rPr>
                <w:rFonts w:hint="eastAsia"/>
                <w:bCs/>
                <w:color w:val="000000"/>
                <w:lang w:val="en-US" w:eastAsia="zh-CN"/>
              </w:rPr>
              <w:t xml:space="preserve"> </w:t>
            </w:r>
            <w:r>
              <w:rPr>
                <w:rFonts w:hint="default" w:ascii="Times New Roman" w:hAnsi="Times New Roman" w:eastAsia="宋体" w:cs="Times New Roman"/>
                <w:bCs/>
                <w:color w:val="000000"/>
                <w:kern w:val="2"/>
                <w:sz w:val="24"/>
                <w:szCs w:val="24"/>
                <w:u w:val="none"/>
                <w:lang w:val="en-US" w:eastAsia="zh-CN" w:bidi="ar-SA"/>
              </w:rPr>
              <w:t>本项目位于</w:t>
            </w:r>
            <w:r>
              <w:rPr>
                <w:rFonts w:hint="default" w:ascii="Times New Roman" w:hAnsi="Times New Roman" w:eastAsia="宋体" w:cs="Times New Roman"/>
                <w:color w:val="000000"/>
                <w:sz w:val="24"/>
                <w:szCs w:val="24"/>
                <w:u w:val="none"/>
                <w:lang w:val="en-US" w:eastAsia="zh-CN"/>
              </w:rPr>
              <w:t>河南省洛阳市</w:t>
            </w:r>
            <w:r>
              <w:rPr>
                <w:rFonts w:hint="eastAsia" w:cs="Times New Roman"/>
                <w:color w:val="000000"/>
                <w:sz w:val="24"/>
                <w:szCs w:val="24"/>
                <w:u w:val="none"/>
                <w:lang w:val="en-US" w:eastAsia="zh-CN"/>
              </w:rPr>
              <w:t>栾川县三川镇火神庙村</w:t>
            </w:r>
            <w:r>
              <w:rPr>
                <w:rFonts w:hint="eastAsia"/>
                <w:color w:val="000000"/>
                <w:kern w:val="44"/>
                <w:sz w:val="24"/>
                <w:lang w:eastAsia="zh-CN"/>
              </w:rPr>
              <w:t>，</w:t>
            </w:r>
            <w:r>
              <w:rPr>
                <w:rFonts w:ascii="宋体" w:hAnsi="宋体"/>
                <w:color w:val="000000"/>
                <w:kern w:val="44"/>
                <w:sz w:val="24"/>
              </w:rPr>
              <w:t>不在自然保护区、风景名胜区、森林公园、地质公园、重要生态功能区、生态敏感区和脆弱区以及其他要求禁止建设的环境敏感区内。</w:t>
            </w:r>
            <w:r>
              <w:rPr>
                <w:rFonts w:hint="eastAsia" w:ascii="宋体" w:hAnsi="宋体"/>
                <w:color w:val="000000"/>
                <w:kern w:val="44"/>
                <w:sz w:val="24"/>
              </w:rPr>
              <w:t>本项目不占用生态保护红线区域，不会对生态保护区造成不良影响，满足生态保护红线划定的相关要求。</w:t>
            </w:r>
            <w:r>
              <w:rPr>
                <w:rFonts w:hint="eastAsia" w:ascii="宋体" w:hAnsi="宋体"/>
                <w:color w:val="000000"/>
                <w:kern w:val="0"/>
                <w:sz w:val="24"/>
              </w:rPr>
              <w:t>根据河南省“三</w:t>
            </w:r>
            <w:r>
              <w:rPr>
                <w:rFonts w:hint="default" w:ascii="Times New Roman" w:hAnsi="Times New Roman" w:cs="Times New Roman"/>
                <w:color w:val="000000"/>
                <w:kern w:val="0"/>
                <w:sz w:val="24"/>
              </w:rPr>
              <w:t>线一单”成果查询结果，项目所在地涉</w:t>
            </w:r>
            <w:r>
              <w:rPr>
                <w:rFonts w:hint="default" w:ascii="Times New Roman" w:hAnsi="Times New Roman" w:cs="Times New Roman"/>
                <w:color w:val="000000" w:themeColor="text1"/>
                <w:kern w:val="0"/>
                <w:sz w:val="24"/>
                <w14:textFill>
                  <w14:solidFill>
                    <w14:schemeClr w14:val="tx1"/>
                  </w14:solidFill>
                </w14:textFill>
              </w:rPr>
              <w:t>及</w:t>
            </w:r>
            <w:r>
              <w:rPr>
                <w:rFonts w:hint="default" w:ascii="Times New Roman" w:hAnsi="Times New Roman" w:cs="Times New Roman"/>
                <w:color w:val="000000" w:themeColor="text1"/>
                <w:kern w:val="0"/>
                <w:sz w:val="24"/>
                <w:lang w:val="en-US" w:eastAsia="zh-CN"/>
                <w14:textFill>
                  <w14:solidFill>
                    <w14:schemeClr w14:val="tx1"/>
                  </w14:solidFill>
                </w14:textFill>
              </w:rPr>
              <w:t>栾川县一般管控单元</w:t>
            </w:r>
            <w:r>
              <w:rPr>
                <w:rFonts w:hint="default" w:ascii="Times New Roman" w:hAnsi="Times New Roman" w:cs="Times New Roman"/>
                <w:color w:val="000000" w:themeColor="text1"/>
                <w:kern w:val="0"/>
                <w:sz w:val="24"/>
                <w14:textFill>
                  <w14:solidFill>
                    <w14:schemeClr w14:val="tx1"/>
                  </w14:solidFill>
                </w14:textFill>
              </w:rPr>
              <w:t>（ZH41032430001）</w:t>
            </w:r>
            <w:r>
              <w:rPr>
                <w:rFonts w:hint="eastAsia" w:ascii="宋体" w:hAnsi="宋体"/>
                <w:color w:val="000000" w:themeColor="text1"/>
                <w:kern w:val="0"/>
                <w:sz w:val="24"/>
                <w14:textFill>
                  <w14:solidFill>
                    <w14:schemeClr w14:val="tx1"/>
                  </w14:solidFill>
                </w14:textFill>
              </w:rPr>
              <w:t>，不属于生态红线区域</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符合生态保护红线要求。</w:t>
            </w:r>
            <w:r>
              <w:rPr>
                <w:rFonts w:hint="eastAsia"/>
                <w:color w:val="auto"/>
                <w:kern w:val="44"/>
                <w:sz w:val="24"/>
              </w:rPr>
              <w:t>详见附图</w:t>
            </w:r>
            <w:r>
              <w:rPr>
                <w:rFonts w:hint="eastAsia"/>
                <w:color w:val="auto"/>
                <w:kern w:val="44"/>
                <w:sz w:val="24"/>
                <w:lang w:val="en-US" w:eastAsia="zh-CN"/>
              </w:rPr>
              <w:t>6</w:t>
            </w:r>
            <w:r>
              <w:rPr>
                <w:color w:val="auto"/>
                <w:kern w:val="44"/>
                <w:sz w:val="24"/>
              </w:rPr>
              <w:t>。</w:t>
            </w:r>
          </w:p>
          <w:p w14:paraId="5FBC5830">
            <w:pPr>
              <w:keepNext w:val="0"/>
              <w:keepLines w:val="0"/>
              <w:pageBreakBefore w:val="0"/>
              <w:widowControl w:val="0"/>
              <w:numPr>
                <w:ilvl w:val="0"/>
                <w:numId w:val="8"/>
              </w:numPr>
              <w:kinsoku/>
              <w:wordWrap/>
              <w:overflowPunct/>
              <w:topLinePunct w:val="0"/>
              <w:autoSpaceDE/>
              <w:autoSpaceDN/>
              <w:bidi w:val="0"/>
              <w:adjustRightInd w:val="0"/>
              <w:snapToGrid w:val="0"/>
              <w:spacing w:line="480" w:lineRule="exact"/>
              <w:ind w:left="0" w:leftChars="0" w:firstLine="480" w:firstLineChars="200"/>
              <w:textAlignment w:val="auto"/>
              <w:rPr>
                <w:rFonts w:hint="default" w:ascii="Times New Roman" w:hAnsi="Times New Roman" w:cs="Times New Roman"/>
                <w:color w:val="000000"/>
                <w:kern w:val="44"/>
                <w:sz w:val="24"/>
              </w:rPr>
            </w:pPr>
            <w:r>
              <w:rPr>
                <w:rFonts w:hint="default" w:ascii="Times New Roman" w:hAnsi="Times New Roman" w:cs="Times New Roman"/>
                <w:color w:val="000000"/>
                <w:kern w:val="44"/>
                <w:sz w:val="24"/>
              </w:rPr>
              <w:t>环境质量底线</w:t>
            </w:r>
          </w:p>
          <w:p w14:paraId="5023EF4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cs="Times New Roman"/>
                <w:color w:val="000000"/>
                <w:kern w:val="44"/>
                <w:sz w:val="24"/>
              </w:rPr>
            </w:pPr>
            <w:r>
              <w:rPr>
                <w:rFonts w:hint="default" w:ascii="Times New Roman" w:hAnsi="Times New Roman" w:cs="Times New Roman"/>
                <w:color w:val="000000"/>
                <w:kern w:val="44"/>
                <w:sz w:val="24"/>
              </w:rPr>
              <w:t>根据洛阳市生态环境局公开发布的《202</w:t>
            </w:r>
            <w:r>
              <w:rPr>
                <w:rFonts w:hint="default" w:ascii="Times New Roman" w:hAnsi="Times New Roman" w:cs="Times New Roman"/>
                <w:color w:val="000000"/>
                <w:kern w:val="44"/>
                <w:sz w:val="24"/>
                <w:lang w:val="en-US" w:eastAsia="zh-CN"/>
              </w:rPr>
              <w:t>3</w:t>
            </w:r>
            <w:r>
              <w:rPr>
                <w:rFonts w:hint="default" w:ascii="Times New Roman" w:hAnsi="Times New Roman" w:cs="Times New Roman"/>
                <w:color w:val="000000"/>
                <w:kern w:val="44"/>
                <w:sz w:val="24"/>
              </w:rPr>
              <w:t>年洛阳市生态环境状况公报》中的数据，202</w:t>
            </w:r>
            <w:r>
              <w:rPr>
                <w:rFonts w:hint="default" w:ascii="Times New Roman" w:hAnsi="Times New Roman" w:cs="Times New Roman"/>
                <w:color w:val="000000"/>
                <w:kern w:val="44"/>
                <w:sz w:val="24"/>
                <w:lang w:val="en-US" w:eastAsia="zh-CN"/>
              </w:rPr>
              <w:t>3</w:t>
            </w:r>
            <w:r>
              <w:rPr>
                <w:rFonts w:hint="default" w:ascii="Times New Roman" w:hAnsi="Times New Roman" w:cs="Times New Roman"/>
                <w:color w:val="000000"/>
                <w:kern w:val="44"/>
                <w:sz w:val="24"/>
              </w:rPr>
              <w:t>年项目所在区域SO</w:t>
            </w:r>
            <w:r>
              <w:rPr>
                <w:rFonts w:hint="default" w:ascii="Times New Roman" w:hAnsi="Times New Roman" w:cs="Times New Roman"/>
                <w:color w:val="000000"/>
                <w:kern w:val="44"/>
                <w:sz w:val="24"/>
                <w:vertAlign w:val="subscript"/>
              </w:rPr>
              <w:t>2</w:t>
            </w:r>
            <w:r>
              <w:rPr>
                <w:rFonts w:hint="default" w:ascii="Times New Roman" w:hAnsi="Times New Roman" w:cs="Times New Roman"/>
                <w:color w:val="000000"/>
                <w:kern w:val="44"/>
                <w:sz w:val="24"/>
              </w:rPr>
              <w:t>、NO</w:t>
            </w:r>
            <w:r>
              <w:rPr>
                <w:rFonts w:hint="default" w:ascii="Times New Roman" w:hAnsi="Times New Roman" w:cs="Times New Roman"/>
                <w:color w:val="000000"/>
                <w:kern w:val="44"/>
                <w:sz w:val="24"/>
                <w:vertAlign w:val="subscript"/>
              </w:rPr>
              <w:t>2</w:t>
            </w:r>
            <w:r>
              <w:rPr>
                <w:rFonts w:hint="default" w:ascii="Times New Roman" w:hAnsi="Times New Roman" w:cs="Times New Roman"/>
                <w:color w:val="000000"/>
                <w:kern w:val="44"/>
                <w:sz w:val="24"/>
              </w:rPr>
              <w:t>对应的年平均浓度、CO的24h小时第95百分位数浓度评价结果满足《环境空气质量标准》（GB3095-2012）中二级标准，PM</w:t>
            </w:r>
            <w:r>
              <w:rPr>
                <w:rFonts w:hint="default" w:ascii="Times New Roman" w:hAnsi="Times New Roman" w:cs="Times New Roman"/>
                <w:color w:val="000000"/>
                <w:kern w:val="44"/>
                <w:sz w:val="24"/>
                <w:vertAlign w:val="subscript"/>
              </w:rPr>
              <w:t>10</w:t>
            </w:r>
            <w:r>
              <w:rPr>
                <w:rFonts w:hint="default" w:ascii="Times New Roman" w:hAnsi="Times New Roman" w:cs="Times New Roman"/>
                <w:color w:val="000000"/>
                <w:kern w:val="44"/>
                <w:sz w:val="24"/>
              </w:rPr>
              <w:t>、PM</w:t>
            </w:r>
            <w:r>
              <w:rPr>
                <w:rFonts w:hint="default" w:ascii="Times New Roman" w:hAnsi="Times New Roman" w:cs="Times New Roman"/>
                <w:color w:val="000000"/>
                <w:kern w:val="44"/>
                <w:sz w:val="24"/>
                <w:vertAlign w:val="subscript"/>
              </w:rPr>
              <w:t>2.5</w:t>
            </w:r>
            <w:r>
              <w:rPr>
                <w:rFonts w:hint="default" w:ascii="Times New Roman" w:hAnsi="Times New Roman" w:cs="Times New Roman"/>
                <w:color w:val="000000"/>
                <w:kern w:val="44"/>
                <w:sz w:val="24"/>
              </w:rPr>
              <w:t>年平均浓度、O</w:t>
            </w:r>
            <w:r>
              <w:rPr>
                <w:rFonts w:hint="default" w:ascii="Times New Roman" w:hAnsi="Times New Roman" w:cs="Times New Roman"/>
                <w:color w:val="000000"/>
                <w:kern w:val="44"/>
                <w:sz w:val="24"/>
                <w:vertAlign w:val="subscript"/>
              </w:rPr>
              <w:t>3</w:t>
            </w:r>
            <w:r>
              <w:rPr>
                <w:rFonts w:hint="default" w:ascii="Times New Roman" w:hAnsi="Times New Roman" w:cs="Times New Roman"/>
                <w:color w:val="000000"/>
                <w:kern w:val="44"/>
                <w:sz w:val="24"/>
              </w:rPr>
              <w:t xml:space="preserve"> 8h第90百分位浓度评价结果均不能满足《环境空气质量标准》（GB3095-2012）中二级标准，洛阳市正在实施《洛阳市2024年蓝天保卫战实施方案》（洛环委办〔2024〕28号）等文件要求的一系列措施，将不断改善区域大气环境质量。</w:t>
            </w:r>
            <w:r>
              <w:rPr>
                <w:rFonts w:hint="default" w:ascii="Times New Roman" w:hAnsi="Times New Roman" w:cs="Times New Roman"/>
                <w:color w:val="000000"/>
                <w:kern w:val="44"/>
                <w:sz w:val="24"/>
                <w:lang w:val="en-US" w:eastAsia="zh-CN"/>
              </w:rPr>
              <w:t>根据洛阳市生态环境局发布的《2023 年洛阳市生态环境状况公报》：2023年栾川县优良天数为338天，空气质量优良率达92.6%，栾川县达到二级空气质量标准。项目所在区域属于达标区</w:t>
            </w:r>
            <w:r>
              <w:rPr>
                <w:rFonts w:hint="eastAsia" w:cs="Times New Roman"/>
                <w:color w:val="000000"/>
                <w:kern w:val="44"/>
                <w:sz w:val="24"/>
                <w:lang w:val="en-US" w:eastAsia="zh-CN"/>
              </w:rPr>
              <w:t>。</w:t>
            </w:r>
          </w:p>
          <w:p w14:paraId="3EE29E7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ascii="宋体" w:hAnsi="宋体" w:cs="Times New Roman"/>
                <w:color w:val="000000"/>
                <w:kern w:val="44"/>
                <w:sz w:val="24"/>
              </w:rPr>
            </w:pPr>
            <w:r>
              <w:rPr>
                <w:rFonts w:hint="default" w:ascii="Times New Roman" w:hAnsi="Times New Roman" w:cs="Times New Roman"/>
                <w:color w:val="000000"/>
                <w:kern w:val="44"/>
                <w:sz w:val="24"/>
              </w:rPr>
              <w:t>本项目生产过程</w:t>
            </w:r>
            <w:r>
              <w:rPr>
                <w:rFonts w:hint="default" w:ascii="Times New Roman" w:hAnsi="Times New Roman" w:cs="Times New Roman"/>
                <w:color w:val="000000"/>
                <w:kern w:val="44"/>
                <w:sz w:val="24"/>
                <w:lang w:val="en-US" w:eastAsia="zh-CN"/>
              </w:rPr>
              <w:t>工程实施后各污染物经治理达标后对周围环境影响较小，在采取相应的废水、废气、固废防治措施后，对工程所在区域环境质量影响轻微，不会造成区域环境质量恶化。工程建设符合区域环境质量底线的要求</w:t>
            </w:r>
            <w:r>
              <w:rPr>
                <w:rFonts w:ascii="宋体" w:hAnsi="宋体" w:cs="Times New Roman"/>
                <w:color w:val="000000"/>
                <w:kern w:val="44"/>
                <w:sz w:val="24"/>
              </w:rPr>
              <w:t>。</w:t>
            </w:r>
          </w:p>
          <w:p w14:paraId="5DFA423F">
            <w:pPr>
              <w:keepNext w:val="0"/>
              <w:keepLines w:val="0"/>
              <w:pageBreakBefore w:val="0"/>
              <w:widowControl w:val="0"/>
              <w:numPr>
                <w:ilvl w:val="0"/>
                <w:numId w:val="8"/>
              </w:numPr>
              <w:kinsoku/>
              <w:wordWrap/>
              <w:overflowPunct/>
              <w:topLinePunct w:val="0"/>
              <w:autoSpaceDE/>
              <w:autoSpaceDN/>
              <w:bidi w:val="0"/>
              <w:adjustRightInd w:val="0"/>
              <w:snapToGrid w:val="0"/>
              <w:spacing w:line="480" w:lineRule="exact"/>
              <w:ind w:left="0" w:leftChars="0" w:firstLine="480" w:firstLineChars="200"/>
              <w:textAlignment w:val="auto"/>
              <w:rPr>
                <w:color w:val="000000"/>
                <w:kern w:val="44"/>
                <w:sz w:val="24"/>
              </w:rPr>
            </w:pPr>
            <w:r>
              <w:rPr>
                <w:color w:val="000000"/>
                <w:kern w:val="44"/>
                <w:sz w:val="24"/>
              </w:rPr>
              <w:t>资源利用上线</w:t>
            </w:r>
          </w:p>
          <w:p w14:paraId="3D652A2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default" w:eastAsia="宋体"/>
                <w:lang w:val="en-US" w:eastAsia="zh-CN"/>
              </w:rPr>
            </w:pPr>
            <w:r>
              <w:rPr>
                <w:rFonts w:hint="eastAsia"/>
                <w:color w:val="000000"/>
                <w:kern w:val="44"/>
                <w:sz w:val="24"/>
              </w:rPr>
              <w:t>本项目位于栾川县</w:t>
            </w:r>
            <w:r>
              <w:rPr>
                <w:rFonts w:hint="eastAsia" w:cs="Times New Roman"/>
                <w:color w:val="000000"/>
                <w:sz w:val="24"/>
                <w:szCs w:val="24"/>
                <w:u w:val="none"/>
                <w:lang w:val="en-US" w:eastAsia="zh-CN"/>
              </w:rPr>
              <w:t>三川镇火神庙村</w:t>
            </w:r>
            <w:r>
              <w:rPr>
                <w:rFonts w:hint="eastAsia"/>
                <w:color w:val="000000"/>
                <w:kern w:val="44"/>
                <w:sz w:val="24"/>
              </w:rPr>
              <w:t>，</w:t>
            </w:r>
            <w:r>
              <w:rPr>
                <w:rFonts w:hint="eastAsia"/>
                <w:color w:val="000000"/>
                <w:kern w:val="44"/>
                <w:sz w:val="24"/>
                <w:lang w:val="en-US" w:eastAsia="zh-CN"/>
              </w:rPr>
              <w:t>项目用地为工矿用地</w:t>
            </w:r>
            <w:r>
              <w:rPr>
                <w:rFonts w:hint="eastAsia"/>
                <w:color w:val="000000"/>
                <w:kern w:val="44"/>
                <w:sz w:val="24"/>
                <w:lang w:eastAsia="zh-CN"/>
              </w:rPr>
              <w:t>，</w:t>
            </w:r>
            <w:r>
              <w:rPr>
                <w:rFonts w:hint="eastAsia"/>
                <w:color w:val="000000"/>
                <w:kern w:val="44"/>
                <w:sz w:val="24"/>
              </w:rPr>
              <w:t>满足土地资源利用上限管控要求；本项目建设过程中所利用的资源主要为水</w:t>
            </w:r>
            <w:r>
              <w:rPr>
                <w:rFonts w:hint="eastAsia"/>
                <w:color w:val="000000"/>
                <w:kern w:val="44"/>
                <w:sz w:val="24"/>
                <w:lang w:eastAsia="zh-CN"/>
              </w:rPr>
              <w:t>、</w:t>
            </w:r>
            <w:r>
              <w:rPr>
                <w:rFonts w:hint="eastAsia"/>
                <w:color w:val="000000"/>
                <w:kern w:val="44"/>
                <w:sz w:val="24"/>
              </w:rPr>
              <w:t>电，均为清洁能源，</w:t>
            </w:r>
            <w:r>
              <w:rPr>
                <w:rFonts w:hint="eastAsia"/>
                <w:color w:val="000000"/>
                <w:kern w:val="44"/>
                <w:sz w:val="24"/>
                <w:lang w:val="en-US" w:eastAsia="zh-CN"/>
              </w:rPr>
              <w:t>不属于高耗能资源消耗型企业</w:t>
            </w:r>
            <w:r>
              <w:rPr>
                <w:rFonts w:hint="eastAsia"/>
                <w:color w:val="000000"/>
                <w:kern w:val="44"/>
                <w:sz w:val="24"/>
              </w:rPr>
              <w:t>，资源利用不会突破区域的资源利用上线</w:t>
            </w:r>
            <w:r>
              <w:rPr>
                <w:rFonts w:hint="eastAsia"/>
                <w:color w:val="000000"/>
                <w:kern w:val="44"/>
                <w:sz w:val="24"/>
                <w:lang w:eastAsia="zh-CN"/>
              </w:rPr>
              <w:t>，</w:t>
            </w:r>
            <w:r>
              <w:rPr>
                <w:rFonts w:hint="eastAsia"/>
                <w:color w:val="000000"/>
                <w:kern w:val="44"/>
                <w:sz w:val="24"/>
                <w:lang w:val="en-US" w:eastAsia="zh-CN"/>
              </w:rPr>
              <w:t>项目建设符合资源利用上线要求。</w:t>
            </w:r>
          </w:p>
          <w:p w14:paraId="0EE51EE4">
            <w:pPr>
              <w:keepNext w:val="0"/>
              <w:keepLines w:val="0"/>
              <w:pageBreakBefore w:val="0"/>
              <w:widowControl w:val="0"/>
              <w:numPr>
                <w:ilvl w:val="0"/>
                <w:numId w:val="8"/>
              </w:numPr>
              <w:kinsoku/>
              <w:wordWrap/>
              <w:overflowPunct/>
              <w:topLinePunct w:val="0"/>
              <w:autoSpaceDE/>
              <w:autoSpaceDN/>
              <w:bidi w:val="0"/>
              <w:adjustRightInd w:val="0"/>
              <w:snapToGrid w:val="0"/>
              <w:spacing w:line="480" w:lineRule="exact"/>
              <w:ind w:left="0" w:leftChars="0" w:firstLine="480" w:firstLineChars="200"/>
              <w:textAlignment w:val="auto"/>
              <w:rPr>
                <w:rFonts w:hint="eastAsia" w:cs="Times New Roman"/>
                <w:bCs/>
                <w:color w:val="000000"/>
                <w:w w:val="100"/>
                <w:kern w:val="0"/>
                <w:sz w:val="24"/>
                <w:szCs w:val="24"/>
                <w:u w:val="none"/>
                <w:lang w:val="en-US" w:eastAsia="zh-CN" w:bidi="ar-SA"/>
              </w:rPr>
            </w:pPr>
            <w:r>
              <w:rPr>
                <w:rFonts w:hint="eastAsia" w:ascii="Times New Roman" w:hAnsi="Times New Roman"/>
                <w:color w:val="000000"/>
                <w:sz w:val="24"/>
                <w:u w:val="none"/>
                <w:lang w:val="zh-CN"/>
              </w:rPr>
              <w:t>生态</w:t>
            </w:r>
            <w:r>
              <w:rPr>
                <w:rFonts w:ascii="Times New Roman" w:hAnsi="Times New Roman"/>
                <w:color w:val="000000"/>
                <w:sz w:val="24"/>
                <w:u w:val="none"/>
                <w:lang w:val="zh-CN"/>
              </w:rPr>
              <w:t>环境准入清单</w:t>
            </w:r>
          </w:p>
          <w:p w14:paraId="366E0B9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color w:val="000000"/>
                <w:sz w:val="24"/>
                <w:u w:val="single"/>
                <w:lang w:val="en-US" w:eastAsia="zh-CN"/>
              </w:rPr>
            </w:pPr>
            <w:r>
              <w:rPr>
                <w:rFonts w:hint="eastAsia" w:ascii="Times New Roman" w:hAnsi="Times New Roman" w:eastAsia="宋体" w:cs="Times New Roman"/>
                <w:bCs/>
                <w:color w:val="000000"/>
                <w:w w:val="100"/>
                <w:kern w:val="0"/>
                <w:sz w:val="24"/>
                <w:szCs w:val="24"/>
                <w:u w:val="none"/>
                <w:lang w:val="en-US" w:eastAsia="zh-CN" w:bidi="ar-SA"/>
              </w:rPr>
              <w:t>根据对照《关于公布河南省“三线一单”生态环境分区管控更新成果（2023年版）的通知》及河南省三线一单综合信息应用平台查询结果，项目所在地涉及</w:t>
            </w:r>
            <w:r>
              <w:rPr>
                <w:rFonts w:hint="default" w:ascii="Times New Roman" w:hAnsi="Times New Roman" w:cs="Times New Roman"/>
                <w:color w:val="000000" w:themeColor="text1"/>
                <w:w w:val="100"/>
                <w:kern w:val="44"/>
                <w:sz w:val="24"/>
                <w:lang w:val="en-US" w:eastAsia="zh-CN"/>
                <w14:textFill>
                  <w14:solidFill>
                    <w14:schemeClr w14:val="tx1"/>
                  </w14:solidFill>
                </w14:textFill>
              </w:rPr>
              <w:t>栾川县一般管控单元</w:t>
            </w:r>
            <w:r>
              <w:rPr>
                <w:rFonts w:hint="default" w:ascii="Times New Roman" w:hAnsi="Times New Roman" w:cs="Times New Roman"/>
                <w:color w:val="000000" w:themeColor="text1"/>
                <w:w w:val="100"/>
                <w:kern w:val="44"/>
                <w:sz w:val="24"/>
                <w14:textFill>
                  <w14:solidFill>
                    <w14:schemeClr w14:val="tx1"/>
                  </w14:solidFill>
                </w14:textFill>
              </w:rPr>
              <w:t>（ZH41032430001）</w:t>
            </w:r>
            <w:r>
              <w:rPr>
                <w:rFonts w:hint="eastAsia" w:ascii="Times New Roman" w:hAnsi="Times New Roman" w:eastAsia="宋体" w:cs="Times New Roman"/>
                <w:bCs/>
                <w:color w:val="000000"/>
                <w:w w:val="100"/>
                <w:kern w:val="0"/>
                <w:sz w:val="24"/>
                <w:szCs w:val="24"/>
                <w:u w:val="none"/>
                <w:lang w:val="en-US" w:eastAsia="zh-CN" w:bidi="ar-SA"/>
              </w:rPr>
              <w:t>，管控单元分类为</w:t>
            </w:r>
            <w:r>
              <w:rPr>
                <w:rFonts w:hint="eastAsia" w:cs="Times New Roman"/>
                <w:bCs/>
                <w:color w:val="000000"/>
                <w:w w:val="100"/>
                <w:kern w:val="0"/>
                <w:sz w:val="24"/>
                <w:szCs w:val="24"/>
                <w:u w:val="none"/>
                <w:lang w:val="en-US" w:eastAsia="zh-CN" w:bidi="ar-SA"/>
              </w:rPr>
              <w:t>一般</w:t>
            </w:r>
            <w:r>
              <w:rPr>
                <w:rFonts w:hint="eastAsia" w:ascii="Times New Roman" w:hAnsi="Times New Roman" w:eastAsia="宋体" w:cs="Times New Roman"/>
                <w:bCs/>
                <w:color w:val="000000"/>
                <w:w w:val="100"/>
                <w:kern w:val="0"/>
                <w:sz w:val="24"/>
                <w:szCs w:val="24"/>
                <w:u w:val="none"/>
                <w:lang w:val="en-US" w:eastAsia="zh-CN" w:bidi="ar-SA"/>
              </w:rPr>
              <w:t>管控单元</w:t>
            </w:r>
            <w:r>
              <w:rPr>
                <w:rFonts w:hint="eastAsia" w:ascii="宋体" w:hAnsi="宋体"/>
                <w:color w:val="auto"/>
                <w:kern w:val="0"/>
                <w:sz w:val="24"/>
                <w:lang w:eastAsia="zh-CN"/>
              </w:rPr>
              <w:t>。</w:t>
            </w:r>
            <w:r>
              <w:rPr>
                <w:rFonts w:hint="eastAsia" w:cs="Times New Roman"/>
                <w:bCs/>
                <w:color w:val="000000"/>
                <w:w w:val="100"/>
                <w:kern w:val="0"/>
                <w:sz w:val="24"/>
                <w:szCs w:val="24"/>
                <w:u w:val="none"/>
                <w:lang w:val="en-US" w:eastAsia="zh-CN" w:bidi="ar-SA"/>
              </w:rPr>
              <w:t>本项目与栾川县环境管控单元生态环境准入清单对比情况见下表。</w:t>
            </w:r>
          </w:p>
          <w:p w14:paraId="19D3D56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表1-1 与《 洛阳市栾川县环境管控单元生态环境准入清单》对比一览表</w:t>
            </w:r>
          </w:p>
          <w:tbl>
            <w:tblPr>
              <w:tblStyle w:val="32"/>
              <w:tblW w:w="726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35"/>
              <w:gridCol w:w="465"/>
              <w:gridCol w:w="675"/>
              <w:gridCol w:w="405"/>
              <w:gridCol w:w="420"/>
              <w:gridCol w:w="2482"/>
              <w:gridCol w:w="1887"/>
              <w:gridCol w:w="491"/>
            </w:tblGrid>
            <w:tr w14:paraId="1FACAA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5" w:type="dxa"/>
                  <w:tcBorders>
                    <w:tl2br w:val="nil"/>
                    <w:tr2bl w:val="nil"/>
                  </w:tcBorders>
                  <w:noWrap w:val="0"/>
                  <w:vAlign w:val="center"/>
                </w:tcPr>
                <w:p w14:paraId="0008456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环境管控单元编码</w:t>
                  </w:r>
                </w:p>
              </w:tc>
              <w:tc>
                <w:tcPr>
                  <w:tcW w:w="465" w:type="dxa"/>
                  <w:tcBorders>
                    <w:tl2br w:val="nil"/>
                    <w:tr2bl w:val="nil"/>
                  </w:tcBorders>
                  <w:noWrap w:val="0"/>
                  <w:vAlign w:val="center"/>
                </w:tcPr>
                <w:p w14:paraId="5C888DF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管控单元分类</w:t>
                  </w:r>
                </w:p>
              </w:tc>
              <w:tc>
                <w:tcPr>
                  <w:tcW w:w="675" w:type="dxa"/>
                  <w:tcBorders>
                    <w:tl2br w:val="nil"/>
                    <w:tr2bl w:val="nil"/>
                  </w:tcBorders>
                  <w:noWrap w:val="0"/>
                  <w:vAlign w:val="center"/>
                </w:tcPr>
                <w:p w14:paraId="68DB424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环境管控单元名称</w:t>
                  </w:r>
                </w:p>
              </w:tc>
              <w:tc>
                <w:tcPr>
                  <w:tcW w:w="405" w:type="dxa"/>
                  <w:tcBorders>
                    <w:tl2br w:val="nil"/>
                    <w:tr2bl w:val="nil"/>
                  </w:tcBorders>
                  <w:noWrap w:val="0"/>
                  <w:vAlign w:val="center"/>
                </w:tcPr>
                <w:p w14:paraId="7383152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乡镇</w:t>
                  </w:r>
                </w:p>
              </w:tc>
              <w:tc>
                <w:tcPr>
                  <w:tcW w:w="2902" w:type="dxa"/>
                  <w:gridSpan w:val="2"/>
                  <w:tcBorders>
                    <w:tl2br w:val="nil"/>
                    <w:tr2bl w:val="nil"/>
                  </w:tcBorders>
                  <w:noWrap w:val="0"/>
                  <w:vAlign w:val="center"/>
                </w:tcPr>
                <w:p w14:paraId="176B07B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管控要求</w:t>
                  </w:r>
                </w:p>
              </w:tc>
              <w:tc>
                <w:tcPr>
                  <w:tcW w:w="1887" w:type="dxa"/>
                  <w:tcBorders>
                    <w:tl2br w:val="nil"/>
                    <w:tr2bl w:val="nil"/>
                  </w:tcBorders>
                  <w:noWrap w:val="0"/>
                  <w:vAlign w:val="center"/>
                </w:tcPr>
                <w:p w14:paraId="3A1B9AF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本项目特点</w:t>
                  </w:r>
                </w:p>
              </w:tc>
              <w:tc>
                <w:tcPr>
                  <w:tcW w:w="491" w:type="dxa"/>
                  <w:tcBorders>
                    <w:tl2br w:val="nil"/>
                    <w:tr2bl w:val="nil"/>
                  </w:tcBorders>
                  <w:noWrap w:val="0"/>
                  <w:vAlign w:val="center"/>
                </w:tcPr>
                <w:p w14:paraId="39712A2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相符性</w:t>
                  </w:r>
                </w:p>
              </w:tc>
            </w:tr>
            <w:tr w14:paraId="7BE7BF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34" w:hRule="atLeast"/>
                <w:jc w:val="center"/>
              </w:trPr>
              <w:tc>
                <w:tcPr>
                  <w:tcW w:w="435" w:type="dxa"/>
                  <w:tcBorders>
                    <w:tl2br w:val="nil"/>
                    <w:tr2bl w:val="nil"/>
                  </w:tcBorders>
                  <w:noWrap w:val="0"/>
                  <w:vAlign w:val="center"/>
                </w:tcPr>
                <w:p w14:paraId="616CB6C1">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ZH4</w:t>
                  </w:r>
                </w:p>
                <w:p w14:paraId="5FD59077">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1</w:t>
                  </w:r>
                </w:p>
                <w:p w14:paraId="2ECE8D45">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0</w:t>
                  </w:r>
                </w:p>
                <w:p w14:paraId="357A8BFC">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3</w:t>
                  </w:r>
                </w:p>
                <w:p w14:paraId="180B533C">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2</w:t>
                  </w:r>
                </w:p>
                <w:p w14:paraId="55AD7714">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4</w:t>
                  </w:r>
                </w:p>
                <w:p w14:paraId="0FDE47DB">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1</w:t>
                  </w:r>
                </w:p>
                <w:p w14:paraId="4073F16D">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0</w:t>
                  </w:r>
                </w:p>
                <w:p w14:paraId="6007BF85">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0</w:t>
                  </w:r>
                </w:p>
                <w:p w14:paraId="262E2D2B">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0</w:t>
                  </w:r>
                </w:p>
                <w:p w14:paraId="3AB5DA47">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2</w:t>
                  </w:r>
                </w:p>
                <w:p w14:paraId="485F511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465" w:type="dxa"/>
                  <w:tcBorders>
                    <w:tl2br w:val="nil"/>
                    <w:tr2bl w:val="nil"/>
                  </w:tcBorders>
                  <w:noWrap w:val="0"/>
                  <w:vAlign w:val="center"/>
                </w:tcPr>
                <w:p w14:paraId="3284F9CA">
                  <w:pPr>
                    <w:keepNext w:val="0"/>
                    <w:keepLines w:val="0"/>
                    <w:widowControl/>
                    <w:suppressLineNumbers w:val="0"/>
                    <w:jc w:val="left"/>
                  </w:pPr>
                  <w:r>
                    <w:rPr>
                      <w:rFonts w:ascii="FZShuSong-Z01" w:hAnsi="FZShuSong-Z01" w:eastAsia="FZShuSong-Z01" w:cs="FZShuSong-Z01"/>
                      <w:color w:val="000000"/>
                      <w:kern w:val="0"/>
                      <w:sz w:val="19"/>
                      <w:szCs w:val="19"/>
                      <w:lang w:val="en-US" w:eastAsia="zh-CN" w:bidi="ar"/>
                    </w:rPr>
                    <w:t xml:space="preserve">优先保 </w:t>
                  </w:r>
                </w:p>
                <w:p w14:paraId="697DEB4B">
                  <w:pPr>
                    <w:keepNext w:val="0"/>
                    <w:keepLines w:val="0"/>
                    <w:widowControl/>
                    <w:suppressLineNumbers w:val="0"/>
                    <w:jc w:val="left"/>
                  </w:pPr>
                  <w:r>
                    <w:rPr>
                      <w:rFonts w:hint="default" w:ascii="FZShuSong-Z01" w:hAnsi="FZShuSong-Z01" w:eastAsia="FZShuSong-Z01" w:cs="FZShuSong-Z01"/>
                      <w:color w:val="000000"/>
                      <w:kern w:val="0"/>
                      <w:sz w:val="19"/>
                      <w:szCs w:val="19"/>
                      <w:lang w:val="en-US" w:eastAsia="zh-CN" w:bidi="ar"/>
                    </w:rPr>
                    <w:t>护单元</w:t>
                  </w:r>
                </w:p>
                <w:p w14:paraId="27294ED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675" w:type="dxa"/>
                  <w:tcBorders>
                    <w:tl2br w:val="nil"/>
                    <w:tr2bl w:val="nil"/>
                  </w:tcBorders>
                  <w:noWrap w:val="0"/>
                  <w:vAlign w:val="center"/>
                </w:tcPr>
                <w:p w14:paraId="651E843C">
                  <w:pPr>
                    <w:keepNext w:val="0"/>
                    <w:keepLines w:val="0"/>
                    <w:widowControl/>
                    <w:suppressLineNumbers w:val="0"/>
                    <w:jc w:val="left"/>
                  </w:pPr>
                  <w:r>
                    <w:rPr>
                      <w:rFonts w:ascii="FZShuSong-Z01" w:hAnsi="FZShuSong-Z01" w:eastAsia="FZShuSong-Z01" w:cs="FZShuSong-Z01"/>
                      <w:color w:val="000000"/>
                      <w:kern w:val="0"/>
                      <w:sz w:val="19"/>
                      <w:szCs w:val="19"/>
                      <w:lang w:val="en-US" w:eastAsia="zh-CN" w:bidi="ar"/>
                    </w:rPr>
                    <w:t>栾川县</w:t>
                  </w:r>
                  <w:r>
                    <w:rPr>
                      <w:rFonts w:hint="default" w:ascii="FZShuSong-Z01" w:hAnsi="FZShuSong-Z01" w:eastAsia="FZShuSong-Z01" w:cs="FZShuSong-Z01"/>
                      <w:color w:val="000000"/>
                      <w:kern w:val="0"/>
                      <w:sz w:val="19"/>
                      <w:szCs w:val="19"/>
                      <w:lang w:val="en-US" w:eastAsia="zh-CN" w:bidi="ar"/>
                    </w:rPr>
                    <w:t xml:space="preserve">水环境 </w:t>
                  </w:r>
                </w:p>
                <w:p w14:paraId="3529D48E">
                  <w:pPr>
                    <w:keepNext w:val="0"/>
                    <w:keepLines w:val="0"/>
                    <w:widowControl/>
                    <w:suppressLineNumbers w:val="0"/>
                    <w:jc w:val="left"/>
                    <w:rPr>
                      <w:rFonts w:hint="default" w:ascii="Times New Roman" w:hAnsi="Times New Roman" w:cs="Times New Roman"/>
                      <w:b w:val="0"/>
                      <w:bCs w:val="0"/>
                      <w:sz w:val="21"/>
                      <w:szCs w:val="21"/>
                      <w:vertAlign w:val="baseline"/>
                      <w:lang w:val="en-US" w:eastAsia="zh-CN"/>
                    </w:rPr>
                  </w:pPr>
                  <w:r>
                    <w:rPr>
                      <w:rFonts w:hint="default" w:ascii="FZShuSong-Z01" w:hAnsi="FZShuSong-Z01" w:eastAsia="FZShuSong-Z01" w:cs="FZShuSong-Z01"/>
                      <w:color w:val="000000"/>
                      <w:kern w:val="0"/>
                      <w:sz w:val="19"/>
                      <w:szCs w:val="19"/>
                      <w:lang w:val="en-US" w:eastAsia="zh-CN" w:bidi="ar"/>
                    </w:rPr>
                    <w:t>优先保护单元</w:t>
                  </w:r>
                </w:p>
              </w:tc>
              <w:tc>
                <w:tcPr>
                  <w:tcW w:w="405" w:type="dxa"/>
                  <w:tcBorders>
                    <w:tl2br w:val="nil"/>
                    <w:tr2bl w:val="nil"/>
                  </w:tcBorders>
                  <w:noWrap w:val="0"/>
                  <w:vAlign w:val="center"/>
                </w:tcPr>
                <w:p w14:paraId="66E0673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cs="Times New Roman"/>
                      <w:b w:val="0"/>
                      <w:bCs w:val="0"/>
                      <w:sz w:val="21"/>
                      <w:szCs w:val="21"/>
                      <w:vertAlign w:val="baseline"/>
                      <w:lang w:val="en-US" w:eastAsia="zh-CN"/>
                    </w:rPr>
                    <w:t>三川镇</w:t>
                  </w:r>
                </w:p>
              </w:tc>
              <w:tc>
                <w:tcPr>
                  <w:tcW w:w="420" w:type="dxa"/>
                  <w:tcBorders>
                    <w:tl2br w:val="nil"/>
                    <w:tr2bl w:val="nil"/>
                  </w:tcBorders>
                  <w:noWrap w:val="0"/>
                  <w:vAlign w:val="center"/>
                </w:tcPr>
                <w:p w14:paraId="7F800737">
                  <w:pPr>
                    <w:keepNext w:val="0"/>
                    <w:keepLines w:val="0"/>
                    <w:widowControl/>
                    <w:suppressLineNumbers w:val="0"/>
                    <w:jc w:val="left"/>
                  </w:pPr>
                  <w:r>
                    <w:rPr>
                      <w:rFonts w:ascii="FZShuSong-Z01" w:hAnsi="FZShuSong-Z01" w:eastAsia="FZShuSong-Z01" w:cs="FZShuSong-Z01"/>
                      <w:color w:val="000000"/>
                      <w:kern w:val="0"/>
                      <w:sz w:val="19"/>
                      <w:szCs w:val="19"/>
                      <w:lang w:val="en-US" w:eastAsia="zh-CN" w:bidi="ar"/>
                    </w:rPr>
                    <w:t xml:space="preserve">空间 </w:t>
                  </w:r>
                </w:p>
                <w:p w14:paraId="4F971D9E">
                  <w:pPr>
                    <w:keepNext w:val="0"/>
                    <w:keepLines w:val="0"/>
                    <w:widowControl/>
                    <w:suppressLineNumbers w:val="0"/>
                    <w:jc w:val="left"/>
                  </w:pPr>
                  <w:r>
                    <w:rPr>
                      <w:rFonts w:hint="default" w:ascii="FZShuSong-Z01" w:hAnsi="FZShuSong-Z01" w:eastAsia="FZShuSong-Z01" w:cs="FZShuSong-Z01"/>
                      <w:color w:val="000000"/>
                      <w:kern w:val="0"/>
                      <w:sz w:val="19"/>
                      <w:szCs w:val="19"/>
                      <w:lang w:val="en-US" w:eastAsia="zh-CN" w:bidi="ar"/>
                    </w:rPr>
                    <w:t xml:space="preserve">布局 </w:t>
                  </w:r>
                </w:p>
                <w:p w14:paraId="0ACEFA3B">
                  <w:pPr>
                    <w:keepNext w:val="0"/>
                    <w:keepLines w:val="0"/>
                    <w:widowControl/>
                    <w:suppressLineNumbers w:val="0"/>
                    <w:jc w:val="left"/>
                  </w:pPr>
                  <w:r>
                    <w:rPr>
                      <w:rFonts w:hint="default" w:ascii="FZShuSong-Z01" w:hAnsi="FZShuSong-Z01" w:eastAsia="FZShuSong-Z01" w:cs="FZShuSong-Z01"/>
                      <w:color w:val="000000"/>
                      <w:kern w:val="0"/>
                      <w:sz w:val="19"/>
                      <w:szCs w:val="19"/>
                      <w:lang w:val="en-US" w:eastAsia="zh-CN" w:bidi="ar"/>
                    </w:rPr>
                    <w:t>约束</w:t>
                  </w:r>
                </w:p>
                <w:p w14:paraId="0FF9864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p>
              </w:tc>
              <w:tc>
                <w:tcPr>
                  <w:tcW w:w="2482" w:type="dxa"/>
                  <w:tcBorders>
                    <w:tl2br w:val="nil"/>
                    <w:tr2bl w:val="nil"/>
                  </w:tcBorders>
                  <w:noWrap w:val="0"/>
                  <w:vAlign w:val="center"/>
                </w:tcPr>
                <w:p w14:paraId="18C43D80">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1</w:t>
                  </w:r>
                  <w:r>
                    <w:rPr>
                      <w:rFonts w:ascii="FZShuSong-Z01" w:hAnsi="FZShuSong-Z01" w:eastAsia="FZShuSong-Z01" w:cs="FZShuSong-Z01"/>
                      <w:color w:val="000000"/>
                      <w:kern w:val="0"/>
                      <w:sz w:val="19"/>
                      <w:szCs w:val="19"/>
                      <w:lang w:val="en-US" w:eastAsia="zh-CN" w:bidi="ar"/>
                    </w:rPr>
                    <w:t xml:space="preserve">、禁止在饮用水水源保护区内设置排污口。 </w:t>
                  </w:r>
                </w:p>
                <w:p w14:paraId="1CB9BBE5">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2</w:t>
                  </w:r>
                  <w:r>
                    <w:rPr>
                      <w:rFonts w:hint="default" w:ascii="FZShuSong-Z01" w:hAnsi="FZShuSong-Z01" w:eastAsia="FZShuSong-Z01" w:cs="FZShuSong-Z01"/>
                      <w:color w:val="000000"/>
                      <w:kern w:val="0"/>
                      <w:sz w:val="19"/>
                      <w:szCs w:val="19"/>
                      <w:lang w:val="en-US" w:eastAsia="zh-CN" w:bidi="ar"/>
                    </w:rPr>
                    <w:t xml:space="preserve">、自然保护地核心保护区原则上禁止人为活动，其他区域严格禁止开发性、生产性建设活动，在符合现行法律法规前提下，除国家重大战略项目外，仅允许对生态功能不造成破坏的有限人为活动。 </w:t>
                  </w:r>
                </w:p>
                <w:p w14:paraId="3A7B19E9">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3</w:t>
                  </w:r>
                  <w:r>
                    <w:rPr>
                      <w:rFonts w:hint="default" w:ascii="FZShuSong-Z01" w:hAnsi="FZShuSong-Z01" w:eastAsia="FZShuSong-Z01" w:cs="FZShuSong-Z01"/>
                      <w:color w:val="000000"/>
                      <w:kern w:val="0"/>
                      <w:sz w:val="19"/>
                      <w:szCs w:val="19"/>
                      <w:lang w:val="en-US" w:eastAsia="zh-CN" w:bidi="ar"/>
                    </w:rPr>
                    <w:t xml:space="preserve">、禁止新建、改建、扩建与保护无关的建设项目和从事与保护无关的涉水活动。 </w:t>
                  </w:r>
                </w:p>
                <w:p w14:paraId="7AB611B7">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4</w:t>
                  </w:r>
                  <w:r>
                    <w:rPr>
                      <w:rFonts w:hint="default" w:ascii="FZShuSong-Z01" w:hAnsi="FZShuSong-Z01" w:eastAsia="FZShuSong-Z01" w:cs="FZShuSong-Z01"/>
                      <w:color w:val="000000"/>
                      <w:kern w:val="0"/>
                      <w:sz w:val="19"/>
                      <w:szCs w:val="19"/>
                      <w:lang w:val="en-US" w:eastAsia="zh-CN" w:bidi="ar"/>
                    </w:rPr>
                    <w:t xml:space="preserve">、南水北调中线工程涉及三川、冷水、叫河等 </w:t>
                  </w:r>
                  <w:r>
                    <w:rPr>
                      <w:rFonts w:hint="default" w:ascii="Times New Roman" w:hAnsi="Times New Roman" w:eastAsia="宋体" w:cs="Times New Roman"/>
                      <w:color w:val="000000"/>
                      <w:kern w:val="0"/>
                      <w:sz w:val="19"/>
                      <w:szCs w:val="19"/>
                      <w:lang w:val="en-US" w:eastAsia="zh-CN" w:bidi="ar"/>
                    </w:rPr>
                    <w:t xml:space="preserve">3 </w:t>
                  </w:r>
                  <w:r>
                    <w:rPr>
                      <w:rFonts w:hint="default" w:ascii="FZShuSong-Z01" w:hAnsi="FZShuSong-Z01" w:eastAsia="FZShuSong-Z01" w:cs="FZShuSong-Z01"/>
                      <w:color w:val="000000"/>
                      <w:kern w:val="0"/>
                      <w:sz w:val="19"/>
                      <w:szCs w:val="19"/>
                      <w:lang w:val="en-US" w:eastAsia="zh-CN" w:bidi="ar"/>
                    </w:rPr>
                    <w:t xml:space="preserve">乡镇区域，不得新建、改建、扩建排放工业废水的有色金属、黑色金属选矿类建设项目。 </w:t>
                  </w:r>
                </w:p>
                <w:p w14:paraId="7A2FED15">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5</w:t>
                  </w:r>
                  <w:r>
                    <w:rPr>
                      <w:rFonts w:hint="default" w:ascii="FZShuSong-Z01" w:hAnsi="FZShuSong-Z01" w:eastAsia="FZShuSong-Z01" w:cs="FZShuSong-Z01"/>
                      <w:color w:val="000000"/>
                      <w:kern w:val="0"/>
                      <w:sz w:val="19"/>
                      <w:szCs w:val="19"/>
                      <w:lang w:val="en-US" w:eastAsia="zh-CN" w:bidi="ar"/>
                    </w:rPr>
                    <w:t xml:space="preserve">、三川、冷水、叫河等 </w:t>
                  </w:r>
                  <w:r>
                    <w:rPr>
                      <w:rFonts w:hint="default" w:ascii="Times New Roman" w:hAnsi="Times New Roman" w:eastAsia="宋体" w:cs="Times New Roman"/>
                      <w:color w:val="000000"/>
                      <w:kern w:val="0"/>
                      <w:sz w:val="19"/>
                      <w:szCs w:val="19"/>
                      <w:lang w:val="en-US" w:eastAsia="zh-CN" w:bidi="ar"/>
                    </w:rPr>
                    <w:t xml:space="preserve">3 </w:t>
                  </w:r>
                  <w:r>
                    <w:rPr>
                      <w:rFonts w:hint="default" w:ascii="FZShuSong-Z01" w:hAnsi="FZShuSong-Z01" w:eastAsia="FZShuSong-Z01" w:cs="FZShuSong-Z01"/>
                      <w:color w:val="000000"/>
                      <w:kern w:val="0"/>
                      <w:sz w:val="19"/>
                      <w:szCs w:val="19"/>
                      <w:lang w:val="en-US" w:eastAsia="zh-CN" w:bidi="ar"/>
                    </w:rPr>
                    <w:t xml:space="preserve">乡镇城镇污水处理厂应根据南水北调中线工程水污染防治要求，逐步开展提标改造，污水排放满足《城镇污水处理厂污染物排放标准》一级 </w:t>
                  </w:r>
                  <w:r>
                    <w:rPr>
                      <w:rFonts w:hint="default" w:ascii="Times New Roman" w:hAnsi="Times New Roman" w:eastAsia="宋体" w:cs="Times New Roman"/>
                      <w:color w:val="000000"/>
                      <w:kern w:val="0"/>
                      <w:sz w:val="19"/>
                      <w:szCs w:val="19"/>
                      <w:lang w:val="en-US" w:eastAsia="zh-CN" w:bidi="ar"/>
                    </w:rPr>
                    <w:t xml:space="preserve">A </w:t>
                  </w:r>
                  <w:r>
                    <w:rPr>
                      <w:rFonts w:hint="default" w:ascii="FZShuSong-Z01" w:hAnsi="FZShuSong-Z01" w:eastAsia="FZShuSong-Z01" w:cs="FZShuSong-Z01"/>
                      <w:color w:val="000000"/>
                      <w:kern w:val="0"/>
                      <w:sz w:val="19"/>
                      <w:szCs w:val="19"/>
                      <w:lang w:val="en-US" w:eastAsia="zh-CN" w:bidi="ar"/>
                    </w:rPr>
                    <w:t xml:space="preserve">排放标准。 </w:t>
                  </w:r>
                </w:p>
                <w:p w14:paraId="6F3B12F5">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6</w:t>
                  </w:r>
                  <w:r>
                    <w:rPr>
                      <w:rFonts w:hint="default" w:ascii="FZShuSong-Z01" w:hAnsi="FZShuSong-Z01" w:eastAsia="FZShuSong-Z01" w:cs="FZShuSong-Z01"/>
                      <w:color w:val="000000"/>
                      <w:kern w:val="0"/>
                      <w:sz w:val="19"/>
                      <w:szCs w:val="19"/>
                      <w:lang w:val="en-US" w:eastAsia="zh-CN" w:bidi="ar"/>
                    </w:rPr>
                    <w:t>、三川、冷水、叫河等</w:t>
                  </w:r>
                  <w:r>
                    <w:rPr>
                      <w:rFonts w:hint="default" w:ascii="Times New Roman" w:hAnsi="Times New Roman" w:eastAsia="宋体" w:cs="Times New Roman"/>
                      <w:color w:val="000000"/>
                      <w:kern w:val="0"/>
                      <w:sz w:val="19"/>
                      <w:szCs w:val="19"/>
                      <w:lang w:val="en-US" w:eastAsia="zh-CN" w:bidi="ar"/>
                    </w:rPr>
                    <w:t>3</w:t>
                  </w:r>
                  <w:r>
                    <w:rPr>
                      <w:rFonts w:hint="default" w:ascii="FZShuSong-Z01" w:hAnsi="FZShuSong-Z01" w:eastAsia="FZShuSong-Z01" w:cs="FZShuSong-Z01"/>
                      <w:color w:val="000000"/>
                      <w:kern w:val="0"/>
                      <w:sz w:val="19"/>
                      <w:szCs w:val="19"/>
                      <w:lang w:val="en-US" w:eastAsia="zh-CN" w:bidi="ar"/>
                    </w:rPr>
                    <w:t xml:space="preserve">乡镇区域新建和在建矿山须达到绿色矿山建设要求。 </w:t>
                  </w:r>
                </w:p>
                <w:p w14:paraId="1ED4913D">
                  <w:pPr>
                    <w:keepNext w:val="0"/>
                    <w:keepLines w:val="0"/>
                    <w:widowControl/>
                    <w:suppressLineNumbers w:val="0"/>
                    <w:jc w:val="left"/>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color w:val="000000"/>
                      <w:kern w:val="0"/>
                      <w:sz w:val="19"/>
                      <w:szCs w:val="19"/>
                      <w:lang w:val="en-US" w:eastAsia="zh-CN" w:bidi="ar"/>
                    </w:rPr>
                    <w:t>7</w:t>
                  </w:r>
                  <w:r>
                    <w:rPr>
                      <w:rFonts w:hint="default" w:ascii="FZShuSong-Z01" w:hAnsi="FZShuSong-Z01" w:eastAsia="FZShuSong-Z01" w:cs="FZShuSong-Z01"/>
                      <w:color w:val="000000"/>
                      <w:kern w:val="0"/>
                      <w:sz w:val="19"/>
                      <w:szCs w:val="19"/>
                      <w:lang w:val="en-US" w:eastAsia="zh-CN" w:bidi="ar"/>
                    </w:rPr>
                    <w:t>、三川、冷水、叫河等</w:t>
                  </w:r>
                  <w:r>
                    <w:rPr>
                      <w:rFonts w:hint="default" w:ascii="Times New Roman" w:hAnsi="Times New Roman" w:eastAsia="宋体" w:cs="Times New Roman"/>
                      <w:color w:val="000000"/>
                      <w:kern w:val="0"/>
                      <w:sz w:val="19"/>
                      <w:szCs w:val="19"/>
                      <w:lang w:val="en-US" w:eastAsia="zh-CN" w:bidi="ar"/>
                    </w:rPr>
                    <w:t>3</w:t>
                  </w:r>
                  <w:r>
                    <w:rPr>
                      <w:rFonts w:hint="default" w:ascii="FZShuSong-Z01" w:hAnsi="FZShuSong-Z01" w:eastAsia="FZShuSong-Z01" w:cs="FZShuSong-Z01"/>
                      <w:color w:val="000000"/>
                      <w:kern w:val="0"/>
                      <w:sz w:val="19"/>
                      <w:szCs w:val="19"/>
                      <w:lang w:val="en-US" w:eastAsia="zh-CN" w:bidi="ar"/>
                    </w:rPr>
                    <w:t>乡镇区域禁止新建危险废物处置和危险废物填埋场建设项目</w:t>
                  </w:r>
                </w:p>
              </w:tc>
              <w:tc>
                <w:tcPr>
                  <w:tcW w:w="1887" w:type="dxa"/>
                  <w:tcBorders>
                    <w:tl2br w:val="nil"/>
                    <w:tr2bl w:val="nil"/>
                  </w:tcBorders>
                  <w:noWrap w:val="0"/>
                  <w:vAlign w:val="center"/>
                </w:tcPr>
                <w:p w14:paraId="0640E66F">
                  <w:pPr>
                    <w:pStyle w:val="60"/>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lang w:val="en-US" w:eastAsia="zh-CN"/>
                    </w:rPr>
                  </w:pPr>
                  <w:r>
                    <w:rPr>
                      <w:rFonts w:hint="eastAsia" w:ascii="Times New Roman" w:cs="Times New Roman"/>
                      <w:b w:val="0"/>
                      <w:bCs w:val="0"/>
                      <w:sz w:val="21"/>
                      <w:szCs w:val="21"/>
                      <w:vertAlign w:val="baseline"/>
                      <w:lang w:val="en-US" w:eastAsia="zh-CN"/>
                    </w:rPr>
                    <w:t>1、</w:t>
                  </w:r>
                  <w:r>
                    <w:rPr>
                      <w:rFonts w:hint="default" w:ascii="Times New Roman" w:hAnsi="Times New Roman" w:eastAsia="宋体" w:cs="Times New Roman"/>
                      <w:color w:val="auto"/>
                      <w:kern w:val="2"/>
                      <w:sz w:val="21"/>
                      <w:szCs w:val="21"/>
                      <w:lang w:val="en-US" w:eastAsia="zh-CN"/>
                    </w:rPr>
                    <w:t>项目产生的溢</w:t>
                  </w:r>
                </w:p>
                <w:p w14:paraId="44E82976">
                  <w:pPr>
                    <w:pStyle w:val="60"/>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流水回用于栾川县惠顿矿业有限公司选矿厂，不外排</w:t>
                  </w:r>
                  <w:r>
                    <w:rPr>
                      <w:rFonts w:hint="eastAsia" w:ascii="Times New Roman" w:hAnsi="Times New Roman" w:eastAsia="宋体" w:cs="Times New Roman"/>
                      <w:color w:val="auto"/>
                      <w:kern w:val="2"/>
                      <w:sz w:val="21"/>
                      <w:szCs w:val="21"/>
                      <w:lang w:val="en-US" w:eastAsia="zh-CN"/>
                    </w:rPr>
                    <w:t>。</w:t>
                  </w:r>
                </w:p>
                <w:p w14:paraId="2B6027F4">
                  <w:pPr>
                    <w:pStyle w:val="75"/>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0" w:firstLineChars="0"/>
                    <w:jc w:val="both"/>
                    <w:textAlignment w:val="auto"/>
                    <w:rPr>
                      <w:rFonts w:hint="eastAsia" w:ascii="Times New Roman" w:cs="Times New Roman"/>
                      <w:color w:val="auto"/>
                      <w:kern w:val="2"/>
                      <w:sz w:val="21"/>
                      <w:szCs w:val="21"/>
                      <w:lang w:val="en-US" w:eastAsia="zh-CN"/>
                    </w:rPr>
                  </w:pPr>
                  <w:r>
                    <w:rPr>
                      <w:rFonts w:hint="eastAsia" w:ascii="Times New Roman" w:cs="Times New Roman"/>
                      <w:color w:val="auto"/>
                      <w:kern w:val="2"/>
                      <w:sz w:val="21"/>
                      <w:szCs w:val="21"/>
                      <w:lang w:val="en-US" w:eastAsia="zh-CN"/>
                    </w:rPr>
                    <w:t>不涉及。</w:t>
                  </w:r>
                </w:p>
                <w:p w14:paraId="1A91DCD2">
                  <w:pPr>
                    <w:pStyle w:val="75"/>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0" w:firstLineChars="0"/>
                    <w:jc w:val="both"/>
                    <w:textAlignment w:val="auto"/>
                    <w:rPr>
                      <w:rFonts w:hint="default" w:ascii="Times New Roman" w:cs="Times New Roman"/>
                      <w:color w:val="auto"/>
                      <w:kern w:val="2"/>
                      <w:sz w:val="21"/>
                      <w:szCs w:val="21"/>
                      <w:lang w:val="en-US" w:eastAsia="zh-CN"/>
                    </w:rPr>
                  </w:pPr>
                  <w:r>
                    <w:rPr>
                      <w:rFonts w:hint="eastAsia" w:ascii="Times New Roman" w:cs="Times New Roman"/>
                      <w:color w:val="auto"/>
                      <w:kern w:val="2"/>
                      <w:sz w:val="21"/>
                      <w:szCs w:val="21"/>
                      <w:lang w:val="en-US" w:eastAsia="zh-CN"/>
                    </w:rPr>
                    <w:t>不涉及。</w:t>
                  </w:r>
                </w:p>
                <w:p w14:paraId="7E3078C9">
                  <w:pPr>
                    <w:pStyle w:val="60"/>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imes New Roman"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项目产生的溢流水回用于栾川县惠顿矿业有限公司选矿厂，不外排</w:t>
                  </w:r>
                  <w:r>
                    <w:rPr>
                      <w:rFonts w:hint="eastAsia" w:ascii="Times New Roman" w:cs="Times New Roman"/>
                      <w:color w:val="auto"/>
                      <w:kern w:val="2"/>
                      <w:sz w:val="21"/>
                      <w:szCs w:val="21"/>
                      <w:lang w:val="en-US" w:eastAsia="zh-CN"/>
                    </w:rPr>
                    <w:t>。</w:t>
                  </w:r>
                </w:p>
                <w:p w14:paraId="1811C032">
                  <w:pPr>
                    <w:pStyle w:val="60"/>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cs="Times New Roman"/>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bidi="ar-SA"/>
                    </w:rPr>
                    <w:t>不涉及。</w:t>
                  </w:r>
                </w:p>
                <w:p w14:paraId="3E308D5A">
                  <w:pPr>
                    <w:pStyle w:val="60"/>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本项目为尾矿充填材料制造与输送项目，不属于矿山建设。</w:t>
                  </w:r>
                </w:p>
                <w:p w14:paraId="3F011F13">
                  <w:pPr>
                    <w:pStyle w:val="60"/>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本项目为尾矿充填材料制造与输送项目，不涉及。</w:t>
                  </w:r>
                </w:p>
              </w:tc>
              <w:tc>
                <w:tcPr>
                  <w:tcW w:w="491" w:type="dxa"/>
                  <w:tcBorders>
                    <w:tl2br w:val="nil"/>
                    <w:tr2bl w:val="nil"/>
                  </w:tcBorders>
                  <w:noWrap w:val="0"/>
                  <w:vAlign w:val="center"/>
                </w:tcPr>
                <w:p w14:paraId="4D09B47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cs="Times New Roman"/>
                      <w:b w:val="0"/>
                      <w:bCs w:val="0"/>
                      <w:sz w:val="21"/>
                      <w:szCs w:val="21"/>
                      <w:vertAlign w:val="baseline"/>
                      <w:lang w:val="en-US" w:eastAsia="zh-CN"/>
                    </w:rPr>
                    <w:t>符合</w:t>
                  </w:r>
                </w:p>
              </w:tc>
            </w:tr>
            <w:tr w14:paraId="2762B8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5" w:type="dxa"/>
                  <w:vMerge w:val="restart"/>
                  <w:tcBorders>
                    <w:tl2br w:val="nil"/>
                    <w:tr2bl w:val="nil"/>
                  </w:tcBorders>
                  <w:noWrap w:val="0"/>
                  <w:vAlign w:val="center"/>
                </w:tcPr>
                <w:p w14:paraId="4AD068B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ZH4</w:t>
                  </w:r>
                </w:p>
                <w:p w14:paraId="7BAA039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p w14:paraId="6634475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p w14:paraId="6CFD16B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p w14:paraId="332AA31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p w14:paraId="50DE5094">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p w14:paraId="2563BC1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p w14:paraId="2E5C3A4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p w14:paraId="4D766B8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p w14:paraId="61D974E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p w14:paraId="5AA76B4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465" w:type="dxa"/>
                  <w:vMerge w:val="restart"/>
                  <w:tcBorders>
                    <w:tl2br w:val="nil"/>
                    <w:tr2bl w:val="nil"/>
                  </w:tcBorders>
                  <w:noWrap w:val="0"/>
                  <w:vAlign w:val="center"/>
                </w:tcPr>
                <w:p w14:paraId="7E355614">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一般管控单元</w:t>
                  </w:r>
                </w:p>
              </w:tc>
              <w:tc>
                <w:tcPr>
                  <w:tcW w:w="675" w:type="dxa"/>
                  <w:vMerge w:val="restart"/>
                  <w:tcBorders>
                    <w:tl2br w:val="nil"/>
                    <w:tr2bl w:val="nil"/>
                  </w:tcBorders>
                  <w:noWrap w:val="0"/>
                  <w:vAlign w:val="center"/>
                </w:tcPr>
                <w:p w14:paraId="0C4EA6F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一般管控单元</w:t>
                  </w:r>
                </w:p>
              </w:tc>
              <w:tc>
                <w:tcPr>
                  <w:tcW w:w="405" w:type="dxa"/>
                  <w:vMerge w:val="restart"/>
                  <w:tcBorders>
                    <w:tl2br w:val="nil"/>
                    <w:tr2bl w:val="nil"/>
                  </w:tcBorders>
                  <w:noWrap w:val="0"/>
                  <w:vAlign w:val="center"/>
                </w:tcPr>
                <w:p w14:paraId="4F68B79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三川镇</w:t>
                  </w:r>
                </w:p>
              </w:tc>
              <w:tc>
                <w:tcPr>
                  <w:tcW w:w="420" w:type="dxa"/>
                  <w:tcBorders>
                    <w:tl2br w:val="nil"/>
                    <w:tr2bl w:val="nil"/>
                  </w:tcBorders>
                  <w:noWrap w:val="0"/>
                  <w:vAlign w:val="center"/>
                </w:tcPr>
                <w:p w14:paraId="247B3BE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空间布局约束</w:t>
                  </w:r>
                </w:p>
              </w:tc>
              <w:tc>
                <w:tcPr>
                  <w:tcW w:w="2482" w:type="dxa"/>
                  <w:tcBorders>
                    <w:tl2br w:val="nil"/>
                    <w:tr2bl w:val="nil"/>
                  </w:tcBorders>
                  <w:noWrap w:val="0"/>
                  <w:vAlign w:val="center"/>
                </w:tcPr>
                <w:p w14:paraId="401D725B">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1、加强对农业空间转为生态空间的监督管理，未经国务院批准，禁止将永久基本农田转为城镇空间。鼓励城镇空间和符合国家生态退耕条件的农业空间转为生态空间。</w:t>
                  </w:r>
                </w:p>
                <w:p w14:paraId="3EE99139">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2、新建涉 VOCs 项目，严格落实大气攻坚等文件要求，实行区域内 VOCs 排放等量替代。</w:t>
                  </w:r>
                </w:p>
                <w:p w14:paraId="265A55DF">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3、三川、冷水、叫河三个镇属于长江流域，其空间布局约束依据《中华人民共和国长江保护法》要求进行。</w:t>
                  </w:r>
                </w:p>
                <w:p w14:paraId="40EE8B6E">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auto"/>
                      <w:kern w:val="2"/>
                      <w:sz w:val="21"/>
                      <w:szCs w:val="21"/>
                    </w:rPr>
                    <w:t>4、禁燃区内禁止新建、扩建燃用高污染燃料的设施。</w:t>
                  </w:r>
                </w:p>
              </w:tc>
              <w:tc>
                <w:tcPr>
                  <w:tcW w:w="1887" w:type="dxa"/>
                  <w:tcBorders>
                    <w:tl2br w:val="nil"/>
                    <w:tr2bl w:val="nil"/>
                  </w:tcBorders>
                  <w:noWrap w:val="0"/>
                  <w:vAlign w:val="center"/>
                </w:tcPr>
                <w:p w14:paraId="2D2D05C0">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1、</w:t>
                  </w:r>
                  <w:r>
                    <w:rPr>
                      <w:rFonts w:hint="default" w:ascii="Times New Roman" w:hAnsi="Times New Roman" w:eastAsia="宋体" w:cs="Times New Roman"/>
                      <w:color w:val="auto"/>
                      <w:kern w:val="2"/>
                      <w:sz w:val="21"/>
                      <w:szCs w:val="21"/>
                    </w:rPr>
                    <w:t>本项目位于</w:t>
                  </w:r>
                  <w:r>
                    <w:rPr>
                      <w:rFonts w:hint="default" w:ascii="Times New Roman" w:hAnsi="Times New Roman" w:eastAsia="宋体" w:cs="Times New Roman"/>
                      <w:color w:val="auto"/>
                      <w:kern w:val="2"/>
                      <w:sz w:val="21"/>
                      <w:szCs w:val="21"/>
                      <w:lang w:val="en-US" w:eastAsia="zh-CN"/>
                    </w:rPr>
                    <w:t>栾川县三川镇火神庙村，利用惠顿矿山原有工业场地进行建设，用地性质为工业用地，</w:t>
                  </w:r>
                  <w:r>
                    <w:rPr>
                      <w:rFonts w:hint="default" w:ascii="Times New Roman" w:hAnsi="Times New Roman" w:eastAsia="宋体" w:cs="Times New Roman"/>
                      <w:color w:val="auto"/>
                      <w:kern w:val="2"/>
                      <w:sz w:val="21"/>
                      <w:szCs w:val="21"/>
                    </w:rPr>
                    <w:t>不涉及基本农田</w:t>
                  </w:r>
                  <w:r>
                    <w:rPr>
                      <w:rFonts w:hint="default" w:ascii="Times New Roman" w:hAnsi="Times New Roman" w:eastAsia="宋体" w:cs="Times New Roman"/>
                      <w:color w:val="auto"/>
                      <w:kern w:val="2"/>
                      <w:sz w:val="21"/>
                      <w:szCs w:val="21"/>
                      <w:lang w:val="en-US" w:eastAsia="zh-CN"/>
                    </w:rPr>
                    <w:t>及</w:t>
                  </w:r>
                  <w:r>
                    <w:rPr>
                      <w:rFonts w:hint="default" w:ascii="Times New Roman" w:hAnsi="Times New Roman" w:eastAsia="宋体" w:cs="Times New Roman"/>
                      <w:color w:val="auto"/>
                      <w:kern w:val="2"/>
                      <w:sz w:val="21"/>
                      <w:szCs w:val="21"/>
                    </w:rPr>
                    <w:t>农业空间</w:t>
                  </w:r>
                  <w:r>
                    <w:rPr>
                      <w:rFonts w:hint="default" w:ascii="Times New Roman" w:hAnsi="Times New Roman" w:eastAsia="宋体" w:cs="Times New Roman"/>
                      <w:color w:val="auto"/>
                      <w:kern w:val="2"/>
                      <w:sz w:val="21"/>
                      <w:szCs w:val="21"/>
                      <w:lang w:val="en-US" w:eastAsia="zh-CN"/>
                    </w:rPr>
                    <w:t>。</w:t>
                  </w:r>
                </w:p>
                <w:p w14:paraId="3988DEBD">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w:t>
                  </w:r>
                  <w:r>
                    <w:rPr>
                      <w:rFonts w:hint="default" w:ascii="Times New Roman" w:hAnsi="Times New Roman" w:eastAsia="宋体" w:cs="Times New Roman"/>
                      <w:color w:val="auto"/>
                      <w:kern w:val="2"/>
                      <w:sz w:val="21"/>
                      <w:szCs w:val="21"/>
                    </w:rPr>
                    <w:t>本项目不涉及VOCs排放。</w:t>
                  </w:r>
                </w:p>
                <w:p w14:paraId="4762ACBB">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val="en-US" w:eastAsia="zh-CN"/>
                    </w:rPr>
                    <w:t>3、</w:t>
                  </w:r>
                  <w:r>
                    <w:rPr>
                      <w:rFonts w:hint="default" w:ascii="Times New Roman" w:hAnsi="Times New Roman" w:eastAsia="宋体" w:cs="Times New Roman"/>
                      <w:color w:val="auto"/>
                      <w:kern w:val="2"/>
                      <w:sz w:val="21"/>
                      <w:szCs w:val="21"/>
                    </w:rPr>
                    <w:t>本项目空间布局约束依据《中华人民共和国长江保护法》要求进行</w:t>
                  </w:r>
                  <w:r>
                    <w:rPr>
                      <w:rFonts w:hint="default" w:ascii="Times New Roman" w:hAnsi="Times New Roman" w:eastAsia="宋体" w:cs="Times New Roman"/>
                      <w:color w:val="auto"/>
                      <w:kern w:val="2"/>
                      <w:sz w:val="21"/>
                      <w:szCs w:val="21"/>
                      <w:lang w:eastAsia="zh-CN"/>
                    </w:rPr>
                    <w:t>。</w:t>
                  </w:r>
                </w:p>
                <w:p w14:paraId="7838DE24">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lang w:val="en-US" w:eastAsia="zh-CN"/>
                    </w:rPr>
                  </w:pPr>
                  <w:r>
                    <w:rPr>
                      <w:rFonts w:hint="eastAsia" w:eastAsia="宋体" w:cs="Times New Roman"/>
                      <w:color w:val="auto"/>
                      <w:kern w:val="2"/>
                      <w:sz w:val="21"/>
                      <w:szCs w:val="21"/>
                      <w:lang w:val="en-US" w:eastAsia="zh-CN"/>
                    </w:rPr>
                    <w:t>4</w:t>
                  </w:r>
                  <w:r>
                    <w:rPr>
                      <w:rFonts w:hint="default" w:ascii="Times New Roman" w:hAnsi="Times New Roman" w:eastAsia="宋体" w:cs="Times New Roman"/>
                      <w:color w:val="auto"/>
                      <w:kern w:val="2"/>
                      <w:sz w:val="21"/>
                      <w:szCs w:val="21"/>
                      <w:lang w:val="en-US" w:eastAsia="zh-CN"/>
                    </w:rPr>
                    <w:t>、</w:t>
                  </w:r>
                  <w:r>
                    <w:rPr>
                      <w:rFonts w:hint="default" w:ascii="Times New Roman" w:hAnsi="Times New Roman" w:eastAsia="宋体" w:cs="Times New Roman"/>
                      <w:color w:val="auto"/>
                      <w:kern w:val="2"/>
                      <w:sz w:val="21"/>
                      <w:szCs w:val="21"/>
                    </w:rPr>
                    <w:t>本项目不涉及新建、扩建燃用高污染燃料的设施。</w:t>
                  </w:r>
                </w:p>
              </w:tc>
              <w:tc>
                <w:tcPr>
                  <w:tcW w:w="491" w:type="dxa"/>
                  <w:tcBorders>
                    <w:tl2br w:val="nil"/>
                    <w:tr2bl w:val="nil"/>
                  </w:tcBorders>
                  <w:noWrap w:val="0"/>
                  <w:vAlign w:val="center"/>
                </w:tcPr>
                <w:p w14:paraId="421BD5D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符合</w:t>
                  </w:r>
                </w:p>
              </w:tc>
            </w:tr>
            <w:tr w14:paraId="640020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14:paraId="1AEB621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65" w:type="dxa"/>
                  <w:vMerge w:val="continue"/>
                  <w:tcBorders>
                    <w:tl2br w:val="nil"/>
                    <w:tr2bl w:val="nil"/>
                  </w:tcBorders>
                  <w:noWrap w:val="0"/>
                  <w:vAlign w:val="center"/>
                </w:tcPr>
                <w:p w14:paraId="26F7772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675" w:type="dxa"/>
                  <w:vMerge w:val="continue"/>
                  <w:tcBorders>
                    <w:tl2br w:val="nil"/>
                    <w:tr2bl w:val="nil"/>
                  </w:tcBorders>
                  <w:noWrap w:val="0"/>
                  <w:vAlign w:val="center"/>
                </w:tcPr>
                <w:p w14:paraId="2A9BA55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05" w:type="dxa"/>
                  <w:vMerge w:val="continue"/>
                  <w:tcBorders>
                    <w:tl2br w:val="nil"/>
                    <w:tr2bl w:val="nil"/>
                  </w:tcBorders>
                  <w:noWrap w:val="0"/>
                  <w:vAlign w:val="center"/>
                </w:tcPr>
                <w:p w14:paraId="7624438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20" w:type="dxa"/>
                  <w:tcBorders>
                    <w:tl2br w:val="nil"/>
                    <w:tr2bl w:val="nil"/>
                  </w:tcBorders>
                  <w:noWrap w:val="0"/>
                  <w:vAlign w:val="center"/>
                </w:tcPr>
                <w:p w14:paraId="3A8AD85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污染物排放管控</w:t>
                  </w:r>
                </w:p>
              </w:tc>
              <w:tc>
                <w:tcPr>
                  <w:tcW w:w="2482" w:type="dxa"/>
                  <w:tcBorders>
                    <w:tl2br w:val="nil"/>
                    <w:tr2bl w:val="nil"/>
                  </w:tcBorders>
                  <w:noWrap w:val="0"/>
                  <w:vAlign w:val="center"/>
                </w:tcPr>
                <w:p w14:paraId="3E49AF54">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1、禁止含重金属工业废水进入城镇生活污水处理厂。</w:t>
                  </w:r>
                </w:p>
                <w:p w14:paraId="57E94809">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2、涉重行业企业废气、废水重金属污染物应达到国家或行业污染物排放标准限值要求。</w:t>
                  </w:r>
                </w:p>
                <w:p w14:paraId="7CB0A4B4">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3、污染地块治理与修复期间应当采取有效措施防止对地块及其周边环境造成二次污染。治理与修复过程中产生的废水、废气和固体废物按照国家有关规定进行处理或者处置，并达到相关环境标准和要求。</w:t>
                  </w:r>
                </w:p>
                <w:p w14:paraId="296D298B">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4、填埋场渗滤液应达标排放。</w:t>
                  </w:r>
                </w:p>
                <w:p w14:paraId="0331CFA0">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auto"/>
                      <w:kern w:val="2"/>
                      <w:sz w:val="21"/>
                      <w:szCs w:val="21"/>
                    </w:rPr>
                    <w:t>5、禁燃区内禁止销售、燃用高污染燃料；原有的生物质锅炉应采用专用生物质锅炉并配套高效除尘设施。</w:t>
                  </w:r>
                </w:p>
              </w:tc>
              <w:tc>
                <w:tcPr>
                  <w:tcW w:w="1887" w:type="dxa"/>
                  <w:tcBorders>
                    <w:tl2br w:val="nil"/>
                    <w:tr2bl w:val="nil"/>
                  </w:tcBorders>
                  <w:noWrap w:val="0"/>
                  <w:vAlign w:val="center"/>
                </w:tcPr>
                <w:p w14:paraId="58C2E35E">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rPr>
                    <w:t>1、</w:t>
                  </w:r>
                  <w:r>
                    <w:rPr>
                      <w:rFonts w:hint="default" w:ascii="Times New Roman" w:hAnsi="Times New Roman" w:eastAsia="宋体" w:cs="Times New Roman"/>
                      <w:color w:val="auto"/>
                      <w:kern w:val="2"/>
                      <w:sz w:val="21"/>
                      <w:szCs w:val="21"/>
                      <w:lang w:val="en-US" w:eastAsia="zh-CN"/>
                    </w:rPr>
                    <w:t>本项目不涉及。</w:t>
                  </w:r>
                </w:p>
                <w:p w14:paraId="0F502995">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FF0000"/>
                      <w:kern w:val="2"/>
                      <w:sz w:val="21"/>
                      <w:szCs w:val="21"/>
                    </w:rPr>
                  </w:pPr>
                  <w:r>
                    <w:rPr>
                      <w:rFonts w:hint="default" w:ascii="Times New Roman" w:hAnsi="Times New Roman" w:eastAsia="宋体" w:cs="Times New Roman"/>
                      <w:color w:val="auto"/>
                      <w:kern w:val="2"/>
                      <w:sz w:val="21"/>
                      <w:szCs w:val="21"/>
                    </w:rPr>
                    <w:t>2、</w:t>
                  </w:r>
                  <w:r>
                    <w:rPr>
                      <w:rFonts w:hint="default" w:ascii="Times New Roman" w:hAnsi="Times New Roman" w:eastAsia="宋体" w:cs="Times New Roman"/>
                      <w:color w:val="auto"/>
                      <w:kern w:val="2"/>
                      <w:sz w:val="21"/>
                      <w:szCs w:val="21"/>
                      <w:lang w:val="en-US" w:eastAsia="zh-CN"/>
                    </w:rPr>
                    <w:t>项目不属于涉重行业，颗粒物废气经覆膜</w:t>
                  </w:r>
                  <w:r>
                    <w:rPr>
                      <w:rFonts w:hint="eastAsia" w:eastAsia="宋体" w:cs="Times New Roman"/>
                      <w:color w:val="auto"/>
                      <w:kern w:val="2"/>
                      <w:sz w:val="21"/>
                      <w:szCs w:val="21"/>
                      <w:lang w:val="en-US" w:eastAsia="zh-CN"/>
                    </w:rPr>
                    <w:t>袋式除尘器</w:t>
                  </w:r>
                  <w:r>
                    <w:rPr>
                      <w:rFonts w:hint="default" w:ascii="Times New Roman" w:hAnsi="Times New Roman" w:eastAsia="宋体" w:cs="Times New Roman"/>
                      <w:color w:val="auto"/>
                      <w:kern w:val="2"/>
                      <w:sz w:val="21"/>
                      <w:szCs w:val="21"/>
                      <w:lang w:val="en-US" w:eastAsia="zh-CN"/>
                    </w:rPr>
                    <w:t>处理后达标排放，生产废水不外排</w:t>
                  </w:r>
                  <w:r>
                    <w:rPr>
                      <w:rFonts w:hint="default" w:ascii="Times New Roman" w:hAnsi="Times New Roman" w:eastAsia="宋体" w:cs="Times New Roman"/>
                      <w:color w:val="000000" w:themeColor="text1"/>
                      <w:kern w:val="2"/>
                      <w:sz w:val="21"/>
                      <w:szCs w:val="21"/>
                      <w14:textFill>
                        <w14:solidFill>
                          <w14:schemeClr w14:val="tx1"/>
                        </w14:solidFill>
                      </w14:textFill>
                    </w:rPr>
                    <w:t>。</w:t>
                  </w:r>
                </w:p>
                <w:p w14:paraId="3C0E3DF0">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w:t>
                  </w:r>
                  <w:r>
                    <w:rPr>
                      <w:rFonts w:hint="default" w:ascii="Times New Roman" w:hAnsi="Times New Roman" w:eastAsia="宋体" w:cs="Times New Roman"/>
                      <w:color w:val="auto"/>
                      <w:kern w:val="2"/>
                      <w:sz w:val="21"/>
                      <w:szCs w:val="21"/>
                      <w:lang w:eastAsia="zh-CN"/>
                    </w:rPr>
                    <w:t>不涉及</w:t>
                  </w:r>
                  <w:r>
                    <w:rPr>
                      <w:rFonts w:hint="default" w:ascii="Times New Roman" w:hAnsi="Times New Roman" w:eastAsia="宋体" w:cs="Times New Roman"/>
                      <w:color w:val="auto"/>
                      <w:kern w:val="2"/>
                      <w:sz w:val="21"/>
                      <w:szCs w:val="21"/>
                    </w:rPr>
                    <w:t>。</w:t>
                  </w:r>
                </w:p>
                <w:p w14:paraId="6EBDC0B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auto"/>
                      <w:kern w:val="2"/>
                      <w:sz w:val="21"/>
                      <w:szCs w:val="21"/>
                    </w:rPr>
                    <w:t>4、不涉及。</w:t>
                  </w:r>
                </w:p>
              </w:tc>
              <w:tc>
                <w:tcPr>
                  <w:tcW w:w="491" w:type="dxa"/>
                  <w:tcBorders>
                    <w:tl2br w:val="nil"/>
                    <w:tr2bl w:val="nil"/>
                  </w:tcBorders>
                  <w:noWrap w:val="0"/>
                  <w:vAlign w:val="center"/>
                </w:tcPr>
                <w:p w14:paraId="42E0F65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符合</w:t>
                  </w:r>
                </w:p>
              </w:tc>
            </w:tr>
            <w:tr w14:paraId="4E26C7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14:paraId="2DC67A1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65" w:type="dxa"/>
                  <w:vMerge w:val="continue"/>
                  <w:tcBorders>
                    <w:tl2br w:val="nil"/>
                    <w:tr2bl w:val="nil"/>
                  </w:tcBorders>
                  <w:noWrap w:val="0"/>
                  <w:vAlign w:val="center"/>
                </w:tcPr>
                <w:p w14:paraId="5AF9AA2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675" w:type="dxa"/>
                  <w:vMerge w:val="continue"/>
                  <w:tcBorders>
                    <w:tl2br w:val="nil"/>
                    <w:tr2bl w:val="nil"/>
                  </w:tcBorders>
                  <w:noWrap w:val="0"/>
                  <w:vAlign w:val="center"/>
                </w:tcPr>
                <w:p w14:paraId="1E509D7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05" w:type="dxa"/>
                  <w:vMerge w:val="continue"/>
                  <w:tcBorders>
                    <w:tl2br w:val="nil"/>
                    <w:tr2bl w:val="nil"/>
                  </w:tcBorders>
                  <w:noWrap w:val="0"/>
                  <w:vAlign w:val="center"/>
                </w:tcPr>
                <w:p w14:paraId="1D6215C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20" w:type="dxa"/>
                  <w:tcBorders>
                    <w:tl2br w:val="nil"/>
                    <w:tr2bl w:val="nil"/>
                  </w:tcBorders>
                  <w:noWrap w:val="0"/>
                  <w:vAlign w:val="center"/>
                </w:tcPr>
                <w:p w14:paraId="5446AE4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环境风险防控</w:t>
                  </w:r>
                </w:p>
              </w:tc>
              <w:tc>
                <w:tcPr>
                  <w:tcW w:w="2482" w:type="dxa"/>
                  <w:tcBorders>
                    <w:tl2br w:val="nil"/>
                    <w:tr2bl w:val="nil"/>
                  </w:tcBorders>
                  <w:noWrap w:val="0"/>
                  <w:vAlign w:val="center"/>
                </w:tcPr>
                <w:p w14:paraId="5D4E2416">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kern w:val="2"/>
                      <w:sz w:val="21"/>
                      <w:szCs w:val="21"/>
                    </w:rPr>
                    <w:t>1、以跨界河流水体为重点，加强涉水污染源治理和监管，做好事故废水的风险管控联动，防止事故废水排入雨水</w:t>
                  </w:r>
                  <w:r>
                    <w:rPr>
                      <w:rFonts w:hint="default" w:ascii="Times New Roman" w:hAnsi="Times New Roman" w:eastAsia="宋体" w:cs="Times New Roman"/>
                      <w:color w:val="auto"/>
                      <w:kern w:val="2"/>
                      <w:sz w:val="21"/>
                      <w:szCs w:val="21"/>
                    </w:rPr>
                    <w:t>管网</w:t>
                  </w:r>
                  <w:r>
                    <w:rPr>
                      <w:rFonts w:hint="default" w:ascii="Times New Roman" w:hAnsi="Times New Roman" w:eastAsia="宋体" w:cs="Times New Roman"/>
                      <w:kern w:val="2"/>
                      <w:sz w:val="21"/>
                      <w:szCs w:val="21"/>
                    </w:rPr>
                    <w:t>或未经处理直接进入地表水体。严格防范跨界水环境污染风险。</w:t>
                  </w:r>
                </w:p>
                <w:p w14:paraId="428C9956">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2、有色金属冶炼、化工和危险化学品生产、储存、使用等企业在拆除生产设施设备、污染治理设施时，要事先制定残留污染物清理和安全处置方案。</w:t>
                  </w:r>
                </w:p>
                <w:p w14:paraId="6894E4D2">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重点单位新、改、扩建项目用地应当符合国家或者地方有关建设用地土壤污染风险管控标准。按照土壤环境调查相关技术规定，对垃圾填埋场周边土壤环境状况进行调查评估。对周边土壤环境超过可接受风险的，应采取限制填埋废物进入、降低人体暴露健康风险等管控措施。</w:t>
                  </w:r>
                </w:p>
                <w:p w14:paraId="6F890765">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4、对永久基本农田周边地区的现役尾矿库开展整治。开展尾矿库安全隐患排查及风险评估。</w:t>
                  </w:r>
                </w:p>
                <w:p w14:paraId="4DA0B1E9">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auto"/>
                      <w:kern w:val="2"/>
                      <w:sz w:val="21"/>
                      <w:szCs w:val="21"/>
                    </w:rPr>
                    <w:t>5、对高度关注地块，开展初步采样调查，评估确定污染地块清单，初步划分地块污染的风险等级，确定污染地块优先管控名录。</w:t>
                  </w:r>
                </w:p>
              </w:tc>
              <w:tc>
                <w:tcPr>
                  <w:tcW w:w="1887" w:type="dxa"/>
                  <w:tcBorders>
                    <w:tl2br w:val="nil"/>
                    <w:tr2bl w:val="nil"/>
                  </w:tcBorders>
                  <w:noWrap w:val="0"/>
                  <w:vAlign w:val="center"/>
                </w:tcPr>
                <w:p w14:paraId="754DC0E9">
                  <w:pPr>
                    <w:pStyle w:val="60"/>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rPr>
                    <w:t>1、</w:t>
                  </w:r>
                  <w:r>
                    <w:rPr>
                      <w:rFonts w:hint="default" w:ascii="Times New Roman" w:hAnsi="Times New Roman" w:eastAsia="宋体" w:cs="Times New Roman"/>
                      <w:color w:val="auto"/>
                      <w:kern w:val="2"/>
                      <w:sz w:val="21"/>
                      <w:szCs w:val="21"/>
                      <w:lang w:val="en-US" w:eastAsia="zh-CN"/>
                    </w:rPr>
                    <w:t>项目产生的溢</w:t>
                  </w:r>
                </w:p>
                <w:p w14:paraId="7F26A6FC">
                  <w:pPr>
                    <w:pStyle w:val="60"/>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流水回用于栾川县惠顿矿业有限公司选矿厂，不外排。选厂设置事故池，可以防止事故废水外排，不会对地表水体造成污染。</w:t>
                  </w:r>
                </w:p>
                <w:p w14:paraId="59CDF4B9">
                  <w:pPr>
                    <w:pStyle w:val="60"/>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2、不涉及。</w:t>
                  </w:r>
                </w:p>
                <w:p w14:paraId="756DDFFB">
                  <w:pPr>
                    <w:pStyle w:val="60"/>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3、不涉及。</w:t>
                  </w:r>
                </w:p>
                <w:p w14:paraId="7C59A6BE">
                  <w:pPr>
                    <w:pStyle w:val="60"/>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4、不涉及。</w:t>
                  </w:r>
                </w:p>
                <w:p w14:paraId="36EE202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auto"/>
                      <w:kern w:val="2"/>
                      <w:sz w:val="21"/>
                      <w:szCs w:val="21"/>
                    </w:rPr>
                    <w:t>5、不涉及。</w:t>
                  </w:r>
                </w:p>
              </w:tc>
              <w:tc>
                <w:tcPr>
                  <w:tcW w:w="491" w:type="dxa"/>
                  <w:tcBorders>
                    <w:tl2br w:val="nil"/>
                    <w:tr2bl w:val="nil"/>
                  </w:tcBorders>
                  <w:noWrap w:val="0"/>
                  <w:vAlign w:val="center"/>
                </w:tcPr>
                <w:p w14:paraId="607820C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符合</w:t>
                  </w:r>
                </w:p>
              </w:tc>
            </w:tr>
            <w:tr w14:paraId="61C5A7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14:paraId="4F8E7E8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65" w:type="dxa"/>
                  <w:vMerge w:val="continue"/>
                  <w:tcBorders>
                    <w:tl2br w:val="nil"/>
                    <w:tr2bl w:val="nil"/>
                  </w:tcBorders>
                  <w:noWrap w:val="0"/>
                  <w:vAlign w:val="center"/>
                </w:tcPr>
                <w:p w14:paraId="262DD04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675" w:type="dxa"/>
                  <w:vMerge w:val="continue"/>
                  <w:tcBorders>
                    <w:tl2br w:val="nil"/>
                    <w:tr2bl w:val="nil"/>
                  </w:tcBorders>
                  <w:noWrap w:val="0"/>
                  <w:vAlign w:val="center"/>
                </w:tcPr>
                <w:p w14:paraId="156BC51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05" w:type="dxa"/>
                  <w:vMerge w:val="continue"/>
                  <w:tcBorders>
                    <w:tl2br w:val="nil"/>
                    <w:tr2bl w:val="nil"/>
                  </w:tcBorders>
                  <w:noWrap w:val="0"/>
                  <w:vAlign w:val="center"/>
                </w:tcPr>
                <w:p w14:paraId="3AFF397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p>
              </w:tc>
              <w:tc>
                <w:tcPr>
                  <w:tcW w:w="420" w:type="dxa"/>
                  <w:tcBorders>
                    <w:tl2br w:val="nil"/>
                    <w:tr2bl w:val="nil"/>
                  </w:tcBorders>
                  <w:noWrap w:val="0"/>
                  <w:vAlign w:val="center"/>
                </w:tcPr>
                <w:p w14:paraId="56B3037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资源开发利用效率</w:t>
                  </w:r>
                </w:p>
              </w:tc>
              <w:tc>
                <w:tcPr>
                  <w:tcW w:w="2482" w:type="dxa"/>
                  <w:tcBorders>
                    <w:tl2br w:val="nil"/>
                    <w:tr2bl w:val="nil"/>
                  </w:tcBorders>
                  <w:noWrap w:val="0"/>
                  <w:vAlign w:val="center"/>
                </w:tcPr>
                <w:p w14:paraId="6E8166E2">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1、企业应不断提高资源能源利用效率，新改扩建设项目的清洁生产水平应达到国内先进水平。</w:t>
                  </w:r>
                </w:p>
                <w:p w14:paraId="502A0425">
                  <w:pPr>
                    <w:pStyle w:val="60"/>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2、</w:t>
                  </w:r>
                  <w:r>
                    <w:rPr>
                      <w:rFonts w:hint="default" w:ascii="Times New Roman" w:hAnsi="Times New Roman" w:eastAsia="宋体" w:cs="Times New Roman"/>
                      <w:color w:val="auto"/>
                      <w:kern w:val="2"/>
                      <w:sz w:val="21"/>
                      <w:szCs w:val="21"/>
                    </w:rPr>
                    <w:t>加强水资源开发利用效率，企业、园区应加大中水回用力度，逐步建设再生水回用配套设施，提高再生水利用率。</w:t>
                  </w:r>
                </w:p>
                <w:p w14:paraId="049FA080">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auto"/>
                      <w:kern w:val="2"/>
                      <w:sz w:val="21"/>
                      <w:szCs w:val="21"/>
                      <w:lang w:val="en-US" w:eastAsia="zh-CN"/>
                    </w:rPr>
                    <w:t>3</w:t>
                  </w:r>
                  <w:r>
                    <w:rPr>
                      <w:rFonts w:hint="default" w:ascii="Times New Roman" w:hAnsi="Times New Roman" w:eastAsia="宋体" w:cs="Times New Roman"/>
                      <w:color w:val="auto"/>
                      <w:kern w:val="2"/>
                      <w:sz w:val="21"/>
                      <w:szCs w:val="21"/>
                    </w:rPr>
                    <w:t>、推进尾矿(共伴生矿)综合利用和协同利用。</w:t>
                  </w:r>
                </w:p>
              </w:tc>
              <w:tc>
                <w:tcPr>
                  <w:tcW w:w="1887" w:type="dxa"/>
                  <w:tcBorders>
                    <w:tl2br w:val="nil"/>
                    <w:tr2bl w:val="nil"/>
                  </w:tcBorders>
                  <w:noWrap w:val="0"/>
                  <w:vAlign w:val="center"/>
                </w:tcPr>
                <w:p w14:paraId="550D2219">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r>
                    <w:rPr>
                      <w:rFonts w:hint="default" w:ascii="Times New Roman" w:hAnsi="Times New Roman" w:eastAsia="宋体" w:cs="Times New Roman"/>
                      <w:color w:val="auto"/>
                      <w:kern w:val="2"/>
                      <w:sz w:val="21"/>
                      <w:szCs w:val="21"/>
                    </w:rPr>
                    <w:t>本项目</w:t>
                  </w:r>
                  <w:r>
                    <w:rPr>
                      <w:rFonts w:hint="default" w:ascii="Times New Roman" w:hAnsi="Times New Roman" w:eastAsia="宋体" w:cs="Times New Roman"/>
                      <w:color w:val="auto"/>
                      <w:kern w:val="2"/>
                      <w:sz w:val="21"/>
                      <w:szCs w:val="21"/>
                      <w:lang w:val="en-US" w:eastAsia="zh-CN"/>
                    </w:rPr>
                    <w:t>主要</w:t>
                  </w:r>
                  <w:r>
                    <w:rPr>
                      <w:rFonts w:hint="default" w:ascii="Times New Roman" w:hAnsi="Times New Roman" w:eastAsia="宋体" w:cs="Times New Roman"/>
                      <w:color w:val="auto"/>
                      <w:kern w:val="2"/>
                      <w:sz w:val="21"/>
                      <w:szCs w:val="21"/>
                    </w:rPr>
                    <w:t>能源</w:t>
                  </w:r>
                  <w:r>
                    <w:rPr>
                      <w:rFonts w:hint="default" w:ascii="Times New Roman" w:hAnsi="Times New Roman" w:eastAsia="宋体" w:cs="Times New Roman"/>
                      <w:color w:val="auto"/>
                      <w:kern w:val="2"/>
                      <w:sz w:val="21"/>
                      <w:szCs w:val="21"/>
                      <w:lang w:val="en-US" w:eastAsia="zh-CN"/>
                    </w:rPr>
                    <w:t>为电能，未使用国家发展改革委《产业结构调整指导目录（2024 年本）》等法规、规章限制使用或限期淘汰的落后技术、装备，特别是高能耗设备。项目产生的废水回用于选矿生产，资源能源</w:t>
                  </w:r>
                  <w:r>
                    <w:rPr>
                      <w:rFonts w:hint="default" w:ascii="Times New Roman" w:hAnsi="Times New Roman" w:eastAsia="宋体" w:cs="Times New Roman"/>
                      <w:color w:val="auto"/>
                      <w:kern w:val="2"/>
                      <w:sz w:val="21"/>
                      <w:szCs w:val="21"/>
                    </w:rPr>
                    <w:t>利用效率符合相关要求，清洁生产水平可达到国内先进水平。</w:t>
                  </w:r>
                </w:p>
                <w:p w14:paraId="65723645">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2、项目产生的溢流水回用于栾川县惠顿矿业有限公司选矿厂，提高再生水利用率。</w:t>
                  </w:r>
                </w:p>
                <w:p w14:paraId="04800232">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3、本项目为尾矿充填材料制造与输送项目，利用一般固废尾矿砂重新加工成充填材料，属于尾矿综合利用和协同利用项目。</w:t>
                  </w:r>
                </w:p>
              </w:tc>
              <w:tc>
                <w:tcPr>
                  <w:tcW w:w="491" w:type="dxa"/>
                  <w:tcBorders>
                    <w:tl2br w:val="nil"/>
                    <w:tr2bl w:val="nil"/>
                  </w:tcBorders>
                  <w:noWrap w:val="0"/>
                  <w:vAlign w:val="center"/>
                </w:tcPr>
                <w:p w14:paraId="3C26329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符合</w:t>
                  </w:r>
                </w:p>
              </w:tc>
            </w:tr>
          </w:tbl>
          <w:p w14:paraId="652D88E7">
            <w:pPr>
              <w:keepNext w:val="0"/>
              <w:keepLines w:val="0"/>
              <w:suppressLineNumbers w:val="0"/>
              <w:autoSpaceDE w:val="0"/>
              <w:autoSpaceDN w:val="0"/>
              <w:adjustRightInd w:val="0"/>
              <w:snapToGrid w:val="0"/>
              <w:spacing w:before="0" w:beforeAutospacing="0" w:after="0" w:afterAutospacing="0" w:line="360" w:lineRule="auto"/>
              <w:ind w:right="0" w:firstLine="480" w:firstLineChars="200"/>
              <w:rPr>
                <w:rFonts w:hint="default" w:ascii="Times New Roman" w:hAnsi="Times New Roman" w:eastAsia="宋体" w:cs="Times New Roman"/>
                <w:b/>
                <w:bCs/>
                <w:color w:val="000000"/>
                <w:kern w:val="2"/>
                <w:sz w:val="24"/>
                <w:szCs w:val="24"/>
                <w:u w:val="none"/>
                <w:lang w:val="en-US" w:eastAsia="zh-CN" w:bidi="ar-SA"/>
              </w:rPr>
            </w:pPr>
            <w:r>
              <w:rPr>
                <w:rFonts w:hint="default"/>
                <w:color w:val="000000"/>
                <w:sz w:val="24"/>
              </w:rPr>
              <w:t>由以上分析可知，综上分析，本项目符合《洛阳市生态环境总体准入要求》（2023）、河南省“三线一单”建设项目准入有关要求。</w:t>
            </w:r>
          </w:p>
          <w:p w14:paraId="79728F48">
            <w:pPr>
              <w:keepNext w:val="0"/>
              <w:keepLines w:val="0"/>
              <w:suppressLineNumbers w:val="0"/>
              <w:autoSpaceDE w:val="0"/>
              <w:autoSpaceDN w:val="0"/>
              <w:adjustRightInd w:val="0"/>
              <w:snapToGrid w:val="0"/>
              <w:spacing w:before="0" w:beforeAutospacing="0" w:after="0" w:afterAutospacing="0" w:line="360" w:lineRule="auto"/>
              <w:ind w:right="0" w:firstLine="482" w:firstLineChars="200"/>
              <w:rPr>
                <w:rFonts w:hint="eastAsia"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b/>
                <w:bCs/>
                <w:color w:val="000000"/>
                <w:kern w:val="2"/>
                <w:sz w:val="24"/>
                <w:szCs w:val="24"/>
                <w:u w:val="none"/>
                <w:lang w:val="en-US" w:eastAsia="zh-CN" w:bidi="ar-SA"/>
              </w:rPr>
              <w:t>1.</w:t>
            </w:r>
            <w:r>
              <w:rPr>
                <w:rFonts w:hint="eastAsia" w:ascii="Times New Roman" w:hAnsi="Times New Roman" w:cs="Times New Roman"/>
                <w:b/>
                <w:bCs/>
                <w:color w:val="000000"/>
                <w:kern w:val="2"/>
                <w:sz w:val="24"/>
                <w:szCs w:val="24"/>
                <w:u w:val="none"/>
                <w:lang w:val="en-US" w:eastAsia="zh-CN" w:bidi="ar-SA"/>
              </w:rPr>
              <w:t>3</w:t>
            </w:r>
            <w:r>
              <w:rPr>
                <w:rFonts w:hint="eastAsia" w:ascii="Times New Roman" w:hAnsi="Times New Roman" w:eastAsia="宋体" w:cs="Times New Roman"/>
                <w:b/>
                <w:bCs/>
                <w:color w:val="000000"/>
                <w:kern w:val="2"/>
                <w:sz w:val="24"/>
                <w:szCs w:val="24"/>
                <w:u w:val="none"/>
                <w:lang w:val="en-US" w:eastAsia="zh-CN" w:bidi="ar-SA"/>
              </w:rPr>
              <w:t xml:space="preserve"> 与栾川县产业准入负面清单（试行）的相符性分析</w:t>
            </w:r>
          </w:p>
          <w:p w14:paraId="047C2429">
            <w:pPr>
              <w:keepNext w:val="0"/>
              <w:keepLines w:val="0"/>
              <w:suppressLineNumbers w:val="0"/>
              <w:adjustRightInd/>
              <w:snapToGrid/>
              <w:spacing w:before="0" w:beforeAutospacing="0" w:after="0" w:afterAutospacing="0" w:line="360" w:lineRule="auto"/>
              <w:ind w:right="0" w:firstLine="480" w:firstLineChars="200"/>
              <w:rPr>
                <w:rFonts w:hint="eastAsia" w:ascii="Times New Roman" w:hAnsi="Times New Roman" w:eastAsia="宋体" w:cs="Times New Roman"/>
                <w:b w:val="0"/>
                <w:bCs w:val="0"/>
                <w:color w:val="000000"/>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根据2020年6月23日《栾川县人民政府办公室关于印发栾川县产业准入负面清单（试行）的通知》（栾政办[2020]24号），本项目为</w:t>
            </w:r>
            <w:r>
              <w:rPr>
                <w:rFonts w:hint="eastAsia" w:cs="Times New Roman"/>
                <w:b w:val="0"/>
                <w:bCs w:val="0"/>
                <w:color w:val="000000"/>
                <w:kern w:val="2"/>
                <w:sz w:val="24"/>
                <w:szCs w:val="24"/>
                <w:u w:val="none"/>
                <w:lang w:val="en-US" w:eastAsia="zh-CN" w:bidi="ar-SA"/>
              </w:rPr>
              <w:t>尾矿充填材料制造与输送</w:t>
            </w:r>
            <w:r>
              <w:rPr>
                <w:rFonts w:hint="eastAsia" w:ascii="Times New Roman" w:hAnsi="Times New Roman" w:eastAsia="宋体" w:cs="Times New Roman"/>
                <w:b w:val="0"/>
                <w:bCs w:val="0"/>
                <w:color w:val="000000"/>
                <w:kern w:val="2"/>
                <w:sz w:val="24"/>
                <w:szCs w:val="24"/>
                <w:u w:val="none"/>
                <w:lang w:val="en-US" w:eastAsia="zh-CN" w:bidi="ar-SA"/>
              </w:rPr>
              <w:t>，不属于清单中的禁止类、限制类产业，故符合栾川县产业准入负面清单（试行）要求。</w:t>
            </w:r>
          </w:p>
          <w:p w14:paraId="6C757C49">
            <w:pPr>
              <w:keepNext w:val="0"/>
              <w:keepLines w:val="0"/>
              <w:suppressLineNumbers w:val="0"/>
              <w:adjustRightInd/>
              <w:snapToGrid/>
              <w:spacing w:before="0" w:beforeAutospacing="0" w:after="0" w:afterAutospacing="0" w:line="360" w:lineRule="auto"/>
              <w:ind w:right="0" w:firstLine="482" w:firstLineChars="200"/>
              <w:rPr>
                <w:rFonts w:hint="eastAsia"/>
                <w:b/>
                <w:bCs/>
                <w:color w:val="auto"/>
                <w:sz w:val="24"/>
                <w:szCs w:val="24"/>
                <w:highlight w:val="none"/>
                <w:lang w:val="en-US" w:eastAsia="zh-CN"/>
              </w:rPr>
            </w:pPr>
            <w:r>
              <w:rPr>
                <w:rFonts w:hint="default" w:ascii="Times New Roman" w:hAnsi="Times New Roman" w:eastAsia="宋体" w:cs="Times New Roman"/>
                <w:b/>
                <w:bCs/>
                <w:color w:val="000000"/>
                <w:sz w:val="24"/>
                <w:szCs w:val="24"/>
                <w:u w:val="none"/>
                <w:lang w:val="en-US" w:eastAsia="zh-CN"/>
              </w:rPr>
              <w:t>1.</w:t>
            </w:r>
            <w:r>
              <w:rPr>
                <w:rFonts w:hint="eastAsia" w:cs="Times New Roman"/>
                <w:b/>
                <w:bCs/>
                <w:color w:val="000000"/>
                <w:sz w:val="24"/>
                <w:szCs w:val="24"/>
                <w:u w:val="none"/>
                <w:lang w:val="en-US" w:eastAsia="zh-CN"/>
              </w:rPr>
              <w:t>4与</w:t>
            </w:r>
            <w:r>
              <w:rPr>
                <w:rFonts w:hint="eastAsia"/>
                <w:b/>
                <w:bCs/>
                <w:color w:val="auto"/>
                <w:sz w:val="24"/>
                <w:szCs w:val="24"/>
                <w:highlight w:val="none"/>
                <w:lang w:val="en-US" w:eastAsia="zh-CN"/>
              </w:rPr>
              <w:t>《洛阳市生态环境保护委员会办公室关于印发&lt;洛阳市2024年蓝天保卫战实施方案&gt;、&lt;洛阳市2024年碧水保卫战实施方案&gt;、&lt;洛阳市2024年净土保卫战实施方案&gt;、&lt;洛阳市 2024年柴油货车污染治理攻坚战实施方案&gt;的通知》（洛环委办〔2024〕28号）相符性分析</w:t>
            </w:r>
          </w:p>
          <w:p w14:paraId="31A3E21E">
            <w:pPr>
              <w:keepNext w:val="0"/>
              <w:keepLines w:val="0"/>
              <w:suppressLineNumbers w:val="0"/>
              <w:adjustRightInd/>
              <w:snapToGrid/>
              <w:spacing w:before="0" w:beforeAutospacing="0" w:after="0" w:afterAutospacing="0" w:line="360" w:lineRule="auto"/>
              <w:ind w:right="0" w:firstLine="480" w:firstLineChars="200"/>
              <w:jc w:val="center"/>
              <w:rPr>
                <w:rFonts w:hint="eastAsia" w:ascii="黑体" w:hAnsi="黑体" w:eastAsia="黑体" w:cs="黑体"/>
                <w:b w:val="0"/>
                <w:bCs w:val="0"/>
                <w:kern w:val="2"/>
                <w:sz w:val="24"/>
                <w:szCs w:val="21"/>
                <w:u w:val="none"/>
                <w:lang w:val="en-US" w:eastAsia="zh-CN" w:bidi="ar-SA"/>
              </w:rPr>
            </w:pPr>
            <w:r>
              <w:rPr>
                <w:rFonts w:hint="eastAsia" w:ascii="黑体" w:hAnsi="黑体" w:eastAsia="黑体" w:cs="黑体"/>
                <w:b w:val="0"/>
                <w:bCs w:val="0"/>
                <w:kern w:val="2"/>
                <w:sz w:val="24"/>
                <w:szCs w:val="21"/>
                <w:u w:val="none"/>
                <w:lang w:val="en-US" w:eastAsia="zh-CN" w:bidi="ar-SA"/>
              </w:rPr>
              <w:t>表1-2  项目与洛环委办〔2024〕28号相符性分析一览表</w:t>
            </w:r>
          </w:p>
          <w:tbl>
            <w:tblPr>
              <w:tblStyle w:val="31"/>
              <w:tblW w:w="752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898"/>
              <w:gridCol w:w="1907"/>
              <w:gridCol w:w="718"/>
            </w:tblGrid>
            <w:tr w14:paraId="35849D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8" w:hRule="atLeast"/>
                <w:jc w:val="center"/>
              </w:trPr>
              <w:tc>
                <w:tcPr>
                  <w:tcW w:w="4898" w:type="dxa"/>
                  <w:tcBorders>
                    <w:tl2br w:val="nil"/>
                    <w:tr2bl w:val="nil"/>
                  </w:tcBorders>
                  <w:noWrap w:val="0"/>
                  <w:vAlign w:val="center"/>
                </w:tcPr>
                <w:p w14:paraId="3DE0111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文件相关要求</w:t>
                  </w:r>
                </w:p>
              </w:tc>
              <w:tc>
                <w:tcPr>
                  <w:tcW w:w="1907" w:type="dxa"/>
                  <w:tcBorders>
                    <w:tl2br w:val="nil"/>
                    <w:tr2bl w:val="nil"/>
                  </w:tcBorders>
                  <w:noWrap w:val="0"/>
                  <w:vAlign w:val="center"/>
                </w:tcPr>
                <w:p w14:paraId="03C612B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本项目情况</w:t>
                  </w:r>
                </w:p>
              </w:tc>
              <w:tc>
                <w:tcPr>
                  <w:tcW w:w="718" w:type="dxa"/>
                  <w:tcBorders>
                    <w:tl2br w:val="nil"/>
                    <w:tr2bl w:val="nil"/>
                  </w:tcBorders>
                  <w:noWrap w:val="0"/>
                  <w:vAlign w:val="center"/>
                </w:tcPr>
                <w:p w14:paraId="3351D7A4">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是否</w:t>
                  </w:r>
                </w:p>
                <w:p w14:paraId="26F2FE3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相符</w:t>
                  </w:r>
                </w:p>
              </w:tc>
            </w:tr>
            <w:tr w14:paraId="565091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523" w:type="dxa"/>
                  <w:gridSpan w:val="3"/>
                  <w:tcBorders>
                    <w:tl2br w:val="nil"/>
                    <w:tr2bl w:val="nil"/>
                  </w:tcBorders>
                  <w:noWrap w:val="0"/>
                  <w:vAlign w:val="center"/>
                </w:tcPr>
                <w:p w14:paraId="7FA416E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洛阳市2024年蓝天保卫战实施方案</w:t>
                  </w:r>
                </w:p>
              </w:tc>
            </w:tr>
            <w:tr w14:paraId="6855CE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523" w:type="dxa"/>
                  <w:gridSpan w:val="3"/>
                  <w:tcBorders>
                    <w:tl2br w:val="nil"/>
                    <w:tr2bl w:val="nil"/>
                  </w:tcBorders>
                  <w:noWrap w:val="0"/>
                  <w:vAlign w:val="center"/>
                </w:tcPr>
                <w:p w14:paraId="266C227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w:t>
                  </w:r>
                  <w:r>
                    <w:rPr>
                      <w:rFonts w:hint="default" w:ascii="Times New Roman" w:hAnsi="Times New Roman" w:eastAsia="宋体" w:cs="Times New Roman"/>
                      <w:b w:val="0"/>
                      <w:bCs w:val="0"/>
                      <w:sz w:val="21"/>
                      <w:szCs w:val="21"/>
                      <w:vertAlign w:val="baseline"/>
                      <w:lang w:val="en-US" w:eastAsia="zh-CN"/>
                    </w:rPr>
                    <w:t>二）工业污染治理减排行动 15.开展低效失效设施排查整治</w:t>
                  </w:r>
                  <w:r>
                    <w:rPr>
                      <w:rFonts w:hint="eastAsia" w:ascii="Times New Roman" w:hAnsi="Times New Roman" w:eastAsia="宋体" w:cs="Times New Roman"/>
                      <w:b w:val="0"/>
                      <w:bCs w:val="0"/>
                      <w:sz w:val="21"/>
                      <w:szCs w:val="21"/>
                      <w:vertAlign w:val="baseline"/>
                      <w:lang w:val="en-US" w:eastAsia="zh-CN"/>
                    </w:rPr>
                    <w:t>。</w:t>
                  </w:r>
                </w:p>
              </w:tc>
            </w:tr>
            <w:tr w14:paraId="066E65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9" w:hRule="atLeast"/>
                <w:jc w:val="center"/>
              </w:trPr>
              <w:tc>
                <w:tcPr>
                  <w:tcW w:w="4898" w:type="dxa"/>
                  <w:tcBorders>
                    <w:tl2br w:val="nil"/>
                    <w:tr2bl w:val="nil"/>
                  </w:tcBorders>
                  <w:noWrap w:val="0"/>
                  <w:vAlign w:val="center"/>
                </w:tcPr>
                <w:p w14:paraId="5121CD6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对工业炉窑、锅炉、涉VOCs等重点行业全面开展低效失效大气污染治理设施排查整治，制定排查整治方案，建立整治提升企业清单</w:t>
                  </w:r>
                  <w:r>
                    <w:rPr>
                      <w:rFonts w:hint="eastAsia"/>
                      <w:snapToGrid w:val="0"/>
                      <w:color w:val="auto"/>
                      <w:kern w:val="0"/>
                      <w:sz w:val="21"/>
                      <w:szCs w:val="21"/>
                    </w:rPr>
                    <w:t>……</w:t>
                  </w:r>
                </w:p>
              </w:tc>
              <w:tc>
                <w:tcPr>
                  <w:tcW w:w="1907" w:type="dxa"/>
                  <w:tcBorders>
                    <w:tl2br w:val="nil"/>
                    <w:tr2bl w:val="nil"/>
                  </w:tcBorders>
                  <w:noWrap w:val="0"/>
                  <w:vAlign w:val="center"/>
                </w:tcPr>
                <w:p w14:paraId="50E3815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vertAlign w:val="baseline"/>
                      <w:lang w:val="en-US" w:eastAsia="zh-CN"/>
                    </w:rPr>
                    <w:t>本项目废气经覆膜</w:t>
                  </w:r>
                  <w:r>
                    <w:rPr>
                      <w:rFonts w:hint="eastAsia" w:ascii="Times New Roman" w:cs="Times New Roman"/>
                      <w:sz w:val="21"/>
                      <w:szCs w:val="21"/>
                      <w:vertAlign w:val="baseline"/>
                      <w:lang w:val="en-US" w:eastAsia="zh-CN"/>
                    </w:rPr>
                    <w:t>袋</w:t>
                  </w:r>
                  <w:r>
                    <w:rPr>
                      <w:rFonts w:hint="default" w:ascii="Times New Roman" w:hAnsi="Times New Roman" w:cs="Times New Roman"/>
                      <w:sz w:val="21"/>
                      <w:szCs w:val="21"/>
                      <w:vertAlign w:val="baseline"/>
                      <w:lang w:val="en-US" w:eastAsia="zh-CN"/>
                    </w:rPr>
                    <w:t>式除尘器处理后达标排放，</w:t>
                  </w:r>
                  <w:r>
                    <w:rPr>
                      <w:rFonts w:hint="default" w:ascii="Times New Roman" w:hAnsi="Times New Roman" w:cs="Times New Roman"/>
                      <w:snapToGrid w:val="0"/>
                      <w:color w:val="auto"/>
                      <w:kern w:val="0"/>
                      <w:sz w:val="21"/>
                      <w:szCs w:val="21"/>
                    </w:rPr>
                    <w:t>不属于低效失效大气污染治理设施。</w:t>
                  </w:r>
                </w:p>
              </w:tc>
              <w:tc>
                <w:tcPr>
                  <w:tcW w:w="718" w:type="dxa"/>
                  <w:tcBorders>
                    <w:tl2br w:val="nil"/>
                    <w:tr2bl w:val="nil"/>
                  </w:tcBorders>
                  <w:noWrap w:val="0"/>
                  <w:vAlign w:val="center"/>
                </w:tcPr>
                <w:p w14:paraId="2396C4A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符合</w:t>
                  </w:r>
                </w:p>
              </w:tc>
            </w:tr>
            <w:tr w14:paraId="2666D0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7523" w:type="dxa"/>
                  <w:gridSpan w:val="3"/>
                  <w:tcBorders>
                    <w:tl2br w:val="nil"/>
                    <w:tr2bl w:val="nil"/>
                  </w:tcBorders>
                  <w:noWrap w:val="0"/>
                  <w:vAlign w:val="center"/>
                </w:tcPr>
                <w:p w14:paraId="168DD140">
                  <w:pPr>
                    <w:pStyle w:val="75"/>
                    <w:keepNext w:val="0"/>
                    <w:keepLines w:val="0"/>
                    <w:pageBreakBefore w:val="0"/>
                    <w:widowControl w:val="0"/>
                    <w:numPr>
                      <w:ilvl w:val="0"/>
                      <w:numId w:val="10"/>
                    </w:numP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val="0"/>
                      <w:bCs w:val="0"/>
                      <w:sz w:val="21"/>
                      <w:szCs w:val="21"/>
                      <w:vertAlign w:val="baseline"/>
                      <w:lang w:val="en-US" w:eastAsia="zh-CN"/>
                    </w:rPr>
                  </w:pPr>
                  <w:bookmarkStart w:id="1" w:name="_Hlk175863066"/>
                  <w:r>
                    <w:rPr>
                      <w:rFonts w:hint="default" w:ascii="Times New Roman" w:hAnsi="Times New Roman" w:cs="Times New Roman"/>
                      <w:snapToGrid w:val="0"/>
                      <w:color w:val="auto"/>
                      <w:kern w:val="0"/>
                      <w:sz w:val="21"/>
                    </w:rPr>
                    <w:t>面源污染综合防治攻坚行动</w:t>
                  </w:r>
                  <w:r>
                    <w:rPr>
                      <w:rFonts w:hint="default" w:ascii="Times New Roman" w:hAnsi="Times New Roman" w:cs="Times New Roman"/>
                      <w:snapToGrid w:val="0"/>
                      <w:color w:val="auto"/>
                      <w:kern w:val="0"/>
                      <w:sz w:val="21"/>
                      <w:lang w:val="en-US" w:eastAsia="zh-CN"/>
                    </w:rPr>
                    <w:t xml:space="preserve"> </w:t>
                  </w:r>
                  <w:r>
                    <w:rPr>
                      <w:rFonts w:hint="default" w:ascii="Times New Roman" w:hAnsi="Times New Roman" w:cs="Times New Roman"/>
                      <w:snapToGrid w:val="0"/>
                      <w:color w:val="auto"/>
                      <w:kern w:val="0"/>
                      <w:sz w:val="21"/>
                    </w:rPr>
                    <w:t>23.提升扬尘污染精细化管理水平</w:t>
                  </w:r>
                  <w:r>
                    <w:rPr>
                      <w:rFonts w:hint="default" w:ascii="Times New Roman" w:hAnsi="Times New Roman" w:cs="Times New Roman"/>
                      <w:snapToGrid w:val="0"/>
                      <w:color w:val="auto"/>
                      <w:kern w:val="0"/>
                      <w:sz w:val="21"/>
                      <w:lang w:eastAsia="zh-CN"/>
                    </w:rPr>
                    <w:t>。</w:t>
                  </w:r>
                </w:p>
              </w:tc>
            </w:tr>
            <w:bookmarkEnd w:id="1"/>
            <w:tr w14:paraId="09E355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898" w:type="dxa"/>
                  <w:tcBorders>
                    <w:tl2br w:val="nil"/>
                    <w:tr2bl w:val="nil"/>
                  </w:tcBorders>
                  <w:noWrap w:val="0"/>
                  <w:vAlign w:val="center"/>
                </w:tcPr>
                <w:p w14:paraId="66E83620">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val="0"/>
                      <w:color w:val="auto"/>
                      <w:kern w:val="0"/>
                      <w:sz w:val="21"/>
                      <w:lang w:val="en-US" w:eastAsia="zh-CN"/>
                    </w:rPr>
                  </w:pPr>
                  <w:r>
                    <w:rPr>
                      <w:rFonts w:hint="default" w:ascii="Times New Roman" w:hAnsi="Times New Roman" w:cs="Times New Roman"/>
                      <w:snapToGrid w:val="0"/>
                      <w:color w:val="auto"/>
                      <w:kern w:val="0"/>
                      <w:sz w:val="21"/>
                      <w:lang w:eastAsia="zh-CN"/>
                    </w:rPr>
                    <w:t>（</w:t>
                  </w:r>
                  <w:r>
                    <w:rPr>
                      <w:rFonts w:hint="default" w:ascii="Times New Roman" w:hAnsi="Times New Roman" w:cs="Times New Roman"/>
                      <w:snapToGrid w:val="0"/>
                      <w:color w:val="auto"/>
                      <w:kern w:val="0"/>
                      <w:sz w:val="21"/>
                      <w:lang w:val="en-US" w:eastAsia="zh-CN"/>
                    </w:rPr>
                    <w:t>1</w:t>
                  </w:r>
                  <w:r>
                    <w:rPr>
                      <w:rFonts w:hint="default" w:ascii="Times New Roman" w:hAnsi="Times New Roman" w:cs="Times New Roman"/>
                      <w:snapToGrid w:val="0"/>
                      <w:color w:val="auto"/>
                      <w:kern w:val="0"/>
                      <w:sz w:val="21"/>
                      <w:lang w:eastAsia="zh-CN"/>
                    </w:rPr>
                    <w:t>）</w:t>
                  </w:r>
                  <w:r>
                    <w:rPr>
                      <w:rFonts w:hint="default" w:ascii="Times New Roman" w:hAnsi="Times New Roman" w:cs="Times New Roman"/>
                      <w:snapToGrid w:val="0"/>
                      <w:color w:val="auto"/>
                      <w:kern w:val="0"/>
                      <w:sz w:val="21"/>
                    </w:rPr>
                    <w:t>强化施工扬尘治理。聚焦建筑施工、城市道路、车辆运输、线性工程、矿山开采和裸露地面重点领域，细化完善全市重点扬尘污染源管控清单，严格落实扬尘治理“两个标准”要求，按照“谁组织、谁监管”原则，明确监管责任，加大执法力度，加强施工围挡、车辆冲洗、湿法作业、密闭运输、地面硬化、物料覆盖等管理，持续提升市政、道路、交通、水利、房建、拆迁等各类施工工地精细化、智慧化管理水平</w:t>
                  </w:r>
                  <w:r>
                    <w:rPr>
                      <w:rFonts w:hint="default" w:ascii="Times New Roman" w:hAnsi="Times New Roman" w:cs="Times New Roman"/>
                      <w:snapToGrid w:val="0"/>
                      <w:color w:val="auto"/>
                      <w:kern w:val="0"/>
                      <w:sz w:val="21"/>
                      <w:lang w:eastAsia="zh-CN"/>
                    </w:rPr>
                    <w:t>。</w:t>
                  </w:r>
                </w:p>
              </w:tc>
              <w:tc>
                <w:tcPr>
                  <w:tcW w:w="1907" w:type="dxa"/>
                  <w:tcBorders>
                    <w:tl2br w:val="nil"/>
                    <w:tr2bl w:val="nil"/>
                  </w:tcBorders>
                  <w:noWrap w:val="0"/>
                  <w:vAlign w:val="center"/>
                </w:tcPr>
                <w:p w14:paraId="07E9A46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本项目施工期设置施工围挡、车辆冲洗、湿法作业、密闭运输、地面硬化、物料覆盖等措施，施工废气得到有效治理，不会对周围大气环境造成明显不利影响。</w:t>
                  </w:r>
                </w:p>
              </w:tc>
              <w:tc>
                <w:tcPr>
                  <w:tcW w:w="718" w:type="dxa"/>
                  <w:tcBorders>
                    <w:tl2br w:val="nil"/>
                    <w:tr2bl w:val="nil"/>
                  </w:tcBorders>
                  <w:noWrap w:val="0"/>
                  <w:vAlign w:val="center"/>
                </w:tcPr>
                <w:p w14:paraId="0498B08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符合</w:t>
                  </w:r>
                </w:p>
              </w:tc>
            </w:tr>
            <w:tr w14:paraId="66909C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523" w:type="dxa"/>
                  <w:gridSpan w:val="3"/>
                  <w:tcBorders>
                    <w:tl2br w:val="nil"/>
                    <w:tr2bl w:val="nil"/>
                  </w:tcBorders>
                  <w:noWrap w:val="0"/>
                  <w:vAlign w:val="center"/>
                </w:tcPr>
                <w:p w14:paraId="03B2876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snapToGrid w:val="0"/>
                      <w:color w:val="auto"/>
                      <w:kern w:val="0"/>
                      <w:sz w:val="21"/>
                    </w:rPr>
                    <w:t>洛阳市2024年碧水保卫战实施方案</w:t>
                  </w:r>
                </w:p>
              </w:tc>
            </w:tr>
            <w:tr w14:paraId="1AFC3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523" w:type="dxa"/>
                  <w:gridSpan w:val="3"/>
                  <w:tcBorders>
                    <w:tl2br w:val="nil"/>
                    <w:tr2bl w:val="nil"/>
                  </w:tcBorders>
                  <w:noWrap w:val="0"/>
                  <w:vAlign w:val="center"/>
                </w:tcPr>
                <w:p w14:paraId="59C51AEA">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snapToGrid w:val="0"/>
                      <w:color w:val="auto"/>
                      <w:kern w:val="0"/>
                      <w:sz w:val="21"/>
                      <w:lang w:eastAsia="zh-CN"/>
                    </w:rPr>
                  </w:pPr>
                  <w:r>
                    <w:rPr>
                      <w:rFonts w:hint="eastAsia" w:ascii="Times New Roman" w:hAnsi="Times New Roman" w:cs="Times New Roman"/>
                      <w:snapToGrid w:val="0"/>
                      <w:color w:val="auto"/>
                      <w:kern w:val="0"/>
                      <w:sz w:val="21"/>
                      <w:lang w:eastAsia="zh-CN"/>
                    </w:rPr>
                    <w:t>（</w:t>
                  </w:r>
                  <w:r>
                    <w:rPr>
                      <w:rFonts w:hint="eastAsia" w:ascii="Times New Roman" w:hAnsi="Times New Roman" w:cs="Times New Roman"/>
                      <w:snapToGrid w:val="0"/>
                      <w:color w:val="auto"/>
                      <w:kern w:val="0"/>
                      <w:sz w:val="21"/>
                      <w:lang w:val="en-US" w:eastAsia="zh-CN"/>
                    </w:rPr>
                    <w:t>三</w:t>
                  </w:r>
                  <w:r>
                    <w:rPr>
                      <w:rFonts w:hint="eastAsia" w:ascii="Times New Roman" w:hAnsi="Times New Roman" w:cs="Times New Roman"/>
                      <w:snapToGrid w:val="0"/>
                      <w:color w:val="auto"/>
                      <w:kern w:val="0"/>
                      <w:sz w:val="21"/>
                      <w:lang w:eastAsia="zh-CN"/>
                    </w:rPr>
                    <w:t>）</w:t>
                  </w:r>
                  <w:r>
                    <w:rPr>
                      <w:rFonts w:hint="default" w:ascii="Times New Roman" w:hAnsi="Times New Roman" w:cs="Times New Roman"/>
                      <w:snapToGrid w:val="0"/>
                      <w:color w:val="auto"/>
                      <w:kern w:val="0"/>
                      <w:sz w:val="21"/>
                    </w:rPr>
                    <w:t>巩固提升南水北调和饮用水水源地安全保</w:t>
                  </w:r>
                  <w:r>
                    <w:rPr>
                      <w:rFonts w:hint="eastAsia" w:ascii="Times New Roman" w:cs="Times New Roman"/>
                      <w:snapToGrid w:val="0"/>
                      <w:color w:val="auto"/>
                      <w:kern w:val="0"/>
                      <w:sz w:val="21"/>
                      <w:lang w:eastAsia="zh-CN"/>
                    </w:rPr>
                    <w:t>。</w:t>
                  </w:r>
                </w:p>
              </w:tc>
            </w:tr>
            <w:tr w14:paraId="7B430E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898" w:type="dxa"/>
                  <w:tcBorders>
                    <w:tl2br w:val="nil"/>
                    <w:tr2bl w:val="nil"/>
                  </w:tcBorders>
                  <w:noWrap w:val="0"/>
                  <w:vAlign w:val="center"/>
                </w:tcPr>
                <w:p w14:paraId="30079B0D">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Cs/>
                      <w:snapToGrid w:val="0"/>
                      <w:color w:val="auto"/>
                      <w:kern w:val="0"/>
                      <w:sz w:val="21"/>
                    </w:rPr>
                  </w:pPr>
                  <w:r>
                    <w:rPr>
                      <w:rFonts w:hint="default" w:ascii="Times New Roman" w:hAnsi="Times New Roman" w:cs="Times New Roman"/>
                      <w:bCs/>
                      <w:snapToGrid w:val="0"/>
                      <w:color w:val="auto"/>
                      <w:kern w:val="0"/>
                      <w:sz w:val="21"/>
                    </w:rPr>
                    <w:t>7.巩固整治效果，实现</w:t>
                  </w:r>
                  <w:r>
                    <w:rPr>
                      <w:rFonts w:hint="eastAsia" w:ascii="Times New Roman" w:cs="Times New Roman"/>
                      <w:bCs/>
                      <w:snapToGrid w:val="0"/>
                      <w:color w:val="auto"/>
                      <w:kern w:val="0"/>
                      <w:sz w:val="21"/>
                      <w:lang w:eastAsia="zh-CN"/>
                    </w:rPr>
                    <w:t>“</w:t>
                  </w:r>
                  <w:r>
                    <w:rPr>
                      <w:rFonts w:hint="default" w:ascii="Times New Roman" w:hAnsi="Times New Roman" w:cs="Times New Roman"/>
                      <w:bCs/>
                      <w:snapToGrid w:val="0"/>
                      <w:color w:val="auto"/>
                      <w:kern w:val="0"/>
                      <w:sz w:val="21"/>
                    </w:rPr>
                    <w:t>一泓清水永续北上</w:t>
                  </w:r>
                  <w:r>
                    <w:rPr>
                      <w:rFonts w:hint="eastAsia" w:ascii="Times New Roman" w:cs="Times New Roman"/>
                      <w:bCs/>
                      <w:snapToGrid w:val="0"/>
                      <w:color w:val="auto"/>
                      <w:kern w:val="0"/>
                      <w:sz w:val="21"/>
                      <w:lang w:eastAsia="zh-CN"/>
                    </w:rPr>
                    <w:t>”</w:t>
                  </w:r>
                  <w:r>
                    <w:rPr>
                      <w:rFonts w:hint="default" w:ascii="Times New Roman" w:hAnsi="Times New Roman" w:cs="Times New Roman"/>
                      <w:bCs/>
                      <w:snapToGrid w:val="0"/>
                      <w:color w:val="auto"/>
                      <w:kern w:val="0"/>
                      <w:sz w:val="21"/>
                    </w:rPr>
                    <w:t>。</w:t>
                  </w:r>
                </w:p>
                <w:p w14:paraId="3569E83E">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Cs/>
                      <w:snapToGrid w:val="0"/>
                      <w:color w:val="auto"/>
                      <w:kern w:val="0"/>
                      <w:sz w:val="21"/>
                      <w:lang w:val="en-US" w:eastAsia="zh-CN"/>
                    </w:rPr>
                  </w:pPr>
                  <w:r>
                    <w:rPr>
                      <w:rFonts w:hint="eastAsia"/>
                      <w:bCs/>
                      <w:snapToGrid w:val="0"/>
                      <w:color w:val="auto"/>
                      <w:kern w:val="0"/>
                      <w:sz w:val="21"/>
                    </w:rPr>
                    <w:t>以淯河流域重金属防控为重点，持续开展南水北调中线工程水源汇水区内环境问题整治和风险源排查，防范水质安全隐患；扎实做好环境风险防控和环境应急准备工作，加强水质变化情况分析研判，及时互通共享信息，统筹部门协调联动。</w:t>
                  </w:r>
                </w:p>
              </w:tc>
              <w:tc>
                <w:tcPr>
                  <w:tcW w:w="1907" w:type="dxa"/>
                  <w:tcBorders>
                    <w:tl2br w:val="nil"/>
                    <w:tr2bl w:val="nil"/>
                  </w:tcBorders>
                  <w:noWrap w:val="0"/>
                  <w:vAlign w:val="center"/>
                </w:tcPr>
                <w:p w14:paraId="2F2C31F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vertAlign w:val="baseline"/>
                      <w:lang w:val="en-US" w:eastAsia="zh-CN"/>
                    </w:rPr>
                    <w:t>项目产生的溢流水回用于栾川县惠顿矿业有限公司选矿厂</w:t>
                  </w:r>
                  <w:r>
                    <w:rPr>
                      <w:rFonts w:hint="eastAsia" w:ascii="Times New Roman" w:hAnsi="Times New Roman" w:cs="Times New Roman"/>
                      <w:sz w:val="21"/>
                      <w:szCs w:val="21"/>
                      <w:vertAlign w:val="baseline"/>
                      <w:lang w:val="en-US" w:eastAsia="zh-CN"/>
                    </w:rPr>
                    <w:t>，不外排。</w:t>
                  </w:r>
                </w:p>
              </w:tc>
              <w:tc>
                <w:tcPr>
                  <w:tcW w:w="718" w:type="dxa"/>
                  <w:tcBorders>
                    <w:tl2br w:val="nil"/>
                    <w:tr2bl w:val="nil"/>
                  </w:tcBorders>
                  <w:noWrap w:val="0"/>
                  <w:vAlign w:val="center"/>
                </w:tcPr>
                <w:p w14:paraId="082FACA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cs="Times New Roman"/>
                      <w:b w:val="0"/>
                      <w:bCs w:val="0"/>
                      <w:sz w:val="21"/>
                      <w:szCs w:val="21"/>
                      <w:vertAlign w:val="baseline"/>
                      <w:lang w:val="en-US" w:eastAsia="zh-CN"/>
                    </w:rPr>
                    <w:t>符合</w:t>
                  </w:r>
                </w:p>
              </w:tc>
            </w:tr>
            <w:tr w14:paraId="78C96F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898" w:type="dxa"/>
                  <w:tcBorders>
                    <w:tl2br w:val="nil"/>
                    <w:tr2bl w:val="nil"/>
                  </w:tcBorders>
                  <w:noWrap w:val="0"/>
                  <w:vAlign w:val="center"/>
                </w:tcPr>
                <w:p w14:paraId="5C2F1BE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Cs/>
                      <w:snapToGrid w:val="0"/>
                      <w:color w:val="auto"/>
                      <w:kern w:val="0"/>
                      <w:sz w:val="21"/>
                    </w:rPr>
                    <w:t>21.</w:t>
                  </w:r>
                  <w:r>
                    <w:rPr>
                      <w:snapToGrid w:val="0"/>
                      <w:color w:val="auto"/>
                      <w:kern w:val="0"/>
                      <w:sz w:val="21"/>
                    </w:rPr>
                    <w:t>推动企业绿色转型发展。</w:t>
                  </w:r>
                  <w:r>
                    <w:rPr>
                      <w:rFonts w:hint="eastAsia"/>
                      <w:snapToGrid w:val="0"/>
                      <w:color w:val="auto"/>
                      <w:kern w:val="0"/>
                      <w:sz w:val="21"/>
                    </w:rPr>
                    <w:t>培育壮大节能、节水、环保和资源综合利用产业，提高能源资源利用效率；对焦化、有色金属、化工、电镀、制革、石油开采、造纸、印染、农副食品加工等行业，全面推进清洁生产改造或清洁化改造，依法对重点行业企业实施强制性清洁生产审核。深入开展节水型企业创建、水效“领跑者”遴选工作，广泛开展水效对标达标活动，进一步提升工业水资源集约节约利用水平。</w:t>
                  </w:r>
                </w:p>
              </w:tc>
              <w:tc>
                <w:tcPr>
                  <w:tcW w:w="1907" w:type="dxa"/>
                  <w:tcBorders>
                    <w:tl2br w:val="nil"/>
                    <w:tr2bl w:val="nil"/>
                  </w:tcBorders>
                  <w:noWrap w:val="0"/>
                  <w:vAlign w:val="center"/>
                </w:tcPr>
                <w:p w14:paraId="0227386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sz w:val="21"/>
                      <w:szCs w:val="21"/>
                      <w:vertAlign w:val="baseline"/>
                      <w:lang w:val="en-US" w:eastAsia="zh-CN"/>
                    </w:rPr>
                  </w:pPr>
                  <w:r>
                    <w:rPr>
                      <w:rFonts w:hint="eastAsia"/>
                      <w:snapToGrid w:val="0"/>
                      <w:color w:val="auto"/>
                      <w:kern w:val="0"/>
                      <w:sz w:val="21"/>
                    </w:rPr>
                    <w:t>本项目废水不外排，</w:t>
                  </w:r>
                  <w:r>
                    <w:rPr>
                      <w:rFonts w:hint="eastAsia"/>
                      <w:snapToGrid w:val="0"/>
                      <w:color w:val="auto"/>
                      <w:kern w:val="0"/>
                      <w:sz w:val="21"/>
                      <w:lang w:val="en-US" w:eastAsia="zh-CN"/>
                    </w:rPr>
                    <w:t>全部回用于</w:t>
                  </w:r>
                  <w:r>
                    <w:rPr>
                      <w:rFonts w:hint="default" w:ascii="Times New Roman" w:hAnsi="Times New Roman" w:cs="Times New Roman"/>
                      <w:sz w:val="21"/>
                      <w:szCs w:val="21"/>
                      <w:vertAlign w:val="baseline"/>
                      <w:lang w:val="en-US" w:eastAsia="zh-CN"/>
                    </w:rPr>
                    <w:t>栾川县惠顿矿业有限公司选矿厂</w:t>
                  </w:r>
                  <w:r>
                    <w:rPr>
                      <w:rFonts w:hint="eastAsia"/>
                      <w:snapToGrid w:val="0"/>
                      <w:color w:val="auto"/>
                      <w:kern w:val="0"/>
                      <w:sz w:val="21"/>
                      <w:lang w:val="en-US" w:eastAsia="zh-CN"/>
                    </w:rPr>
                    <w:t>，</w:t>
                  </w:r>
                  <w:r>
                    <w:rPr>
                      <w:rFonts w:hint="eastAsia"/>
                      <w:snapToGrid w:val="0"/>
                      <w:color w:val="auto"/>
                      <w:kern w:val="0"/>
                      <w:sz w:val="21"/>
                    </w:rPr>
                    <w:t>一方面避免污染地表水体，同时实现水资源综合利用</w:t>
                  </w:r>
                  <w:r>
                    <w:rPr>
                      <w:rFonts w:hint="eastAsia"/>
                      <w:snapToGrid w:val="0"/>
                      <w:color w:val="auto"/>
                      <w:kern w:val="0"/>
                      <w:sz w:val="21"/>
                      <w:lang w:eastAsia="zh-CN"/>
                    </w:rPr>
                    <w:t>。</w:t>
                  </w:r>
                </w:p>
              </w:tc>
              <w:tc>
                <w:tcPr>
                  <w:tcW w:w="718" w:type="dxa"/>
                  <w:tcBorders>
                    <w:tl2br w:val="nil"/>
                    <w:tr2bl w:val="nil"/>
                  </w:tcBorders>
                  <w:noWrap w:val="0"/>
                  <w:vAlign w:val="center"/>
                </w:tcPr>
                <w:p w14:paraId="34516C7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cs="Times New Roman"/>
                      <w:b w:val="0"/>
                      <w:bCs w:val="0"/>
                      <w:sz w:val="21"/>
                      <w:szCs w:val="21"/>
                      <w:vertAlign w:val="baseline"/>
                      <w:lang w:val="en-US" w:eastAsia="zh-CN"/>
                    </w:rPr>
                    <w:t>符合</w:t>
                  </w:r>
                </w:p>
              </w:tc>
            </w:tr>
          </w:tbl>
          <w:p w14:paraId="3286040C">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b w:val="0"/>
                <w:bCs/>
                <w:color w:val="000000"/>
                <w:spacing w:val="0"/>
                <w:kern w:val="0"/>
                <w:sz w:val="24"/>
                <w:u w:val="none"/>
              </w:rPr>
            </w:pPr>
            <w:r>
              <w:rPr>
                <w:rFonts w:hint="default"/>
                <w:b w:val="0"/>
                <w:bCs/>
                <w:color w:val="000000"/>
                <w:spacing w:val="0"/>
                <w:kern w:val="0"/>
                <w:sz w:val="24"/>
                <w:u w:val="none"/>
              </w:rPr>
              <w:t>综上所述，本项目建设符合《洛阳市生态环境保护委员会办公室关于印发&lt;洛阳市2024年蓝天保卫战实施方案&gt; 、&lt;洛阳市2024年碧水保卫战实施方案&gt; 、&lt;洛阳市2024年净土保卫战实施方案&gt; 、&lt;洛阳市2024年柴油货车污染治理攻坚战实施方案&gt;的通知》（洛环委办〔2024〕28 号）相关要求。</w:t>
            </w:r>
          </w:p>
          <w:p w14:paraId="1943E32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bCs/>
                <w:color w:val="auto"/>
                <w:spacing w:val="0"/>
                <w:kern w:val="0"/>
                <w:sz w:val="24"/>
                <w:szCs w:val="24"/>
                <w:u w:val="none"/>
                <w:lang w:val="en-US" w:eastAsia="zh-CN" w:bidi="ar-SA"/>
              </w:rPr>
            </w:pPr>
            <w:r>
              <w:rPr>
                <w:rFonts w:hint="eastAsia"/>
                <w:b/>
                <w:bCs w:val="0"/>
                <w:color w:val="000000"/>
                <w:spacing w:val="0"/>
                <w:kern w:val="0"/>
                <w:sz w:val="24"/>
                <w:u w:val="none"/>
                <w:lang w:val="en-US" w:eastAsia="zh-CN"/>
              </w:rPr>
              <w:t>1.5</w:t>
            </w:r>
            <w:r>
              <w:rPr>
                <w:rFonts w:hint="eastAsia" w:cs="Times New Roman"/>
                <w:b/>
                <w:bCs/>
                <w:color w:val="auto"/>
                <w:spacing w:val="0"/>
                <w:kern w:val="0"/>
                <w:sz w:val="24"/>
                <w:szCs w:val="24"/>
                <w:u w:val="none"/>
                <w:lang w:val="en-US" w:eastAsia="zh-CN" w:bidi="ar-SA"/>
              </w:rPr>
              <w:t>与栾川县生态环境保护委员会办公室关于印发《栾川县2024年蓝天保卫战实施方案》、《栾川县2024年柴油货车污染治理攻坚战实施方案》、《栾川县2024年夏季挥发性有机物污染防治实施方案》的通知（栾环委办</w:t>
            </w:r>
            <w:r>
              <w:rPr>
                <w:rFonts w:hint="default" w:ascii="Times New Roman" w:hAnsi="Times New Roman" w:eastAsia="宋体" w:cs="Times New Roman"/>
                <w:b/>
                <w:bCs/>
                <w:kern w:val="2"/>
                <w:sz w:val="24"/>
                <w:szCs w:val="32"/>
                <w:u w:val="none"/>
                <w:lang w:val="en-US" w:eastAsia="zh-CN" w:bidi="ar-SA"/>
              </w:rPr>
              <w:t>〔2024〕</w:t>
            </w:r>
            <w:r>
              <w:rPr>
                <w:rFonts w:hint="eastAsia" w:cs="Times New Roman"/>
                <w:b/>
                <w:bCs/>
                <w:color w:val="auto"/>
                <w:spacing w:val="0"/>
                <w:kern w:val="0"/>
                <w:sz w:val="24"/>
                <w:szCs w:val="24"/>
                <w:u w:val="none"/>
                <w:lang w:val="en-US" w:eastAsia="zh-CN" w:bidi="ar-SA"/>
              </w:rPr>
              <w:t>13号）相符性分析。</w:t>
            </w:r>
          </w:p>
          <w:p w14:paraId="5D985F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表1-3  与（栾环委办</w:t>
            </w:r>
            <w:r>
              <w:rPr>
                <w:rFonts w:hint="default" w:ascii="黑体" w:hAnsi="黑体" w:eastAsia="黑体" w:cs="黑体"/>
                <w:b w:val="0"/>
                <w:bCs w:val="0"/>
                <w:sz w:val="24"/>
                <w:szCs w:val="24"/>
                <w:lang w:val="en-US" w:eastAsia="zh-CN"/>
              </w:rPr>
              <w:t>〔2024〕</w:t>
            </w:r>
            <w:r>
              <w:rPr>
                <w:rFonts w:hint="eastAsia" w:ascii="黑体" w:hAnsi="黑体" w:eastAsia="黑体" w:cs="黑体"/>
                <w:b w:val="0"/>
                <w:bCs w:val="0"/>
                <w:sz w:val="24"/>
                <w:szCs w:val="24"/>
                <w:lang w:val="en-US" w:eastAsia="zh-CN"/>
              </w:rPr>
              <w:t>13号）相符性分析</w:t>
            </w:r>
          </w:p>
          <w:tbl>
            <w:tblPr>
              <w:tblStyle w:val="32"/>
              <w:tblW w:w="759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09"/>
              <w:gridCol w:w="4297"/>
              <w:gridCol w:w="1821"/>
              <w:gridCol w:w="771"/>
            </w:tblGrid>
            <w:tr w14:paraId="6B144E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5006" w:type="dxa"/>
                  <w:gridSpan w:val="2"/>
                  <w:tcBorders>
                    <w:tl2br w:val="nil"/>
                    <w:tr2bl w:val="nil"/>
                  </w:tcBorders>
                  <w:tcMar>
                    <w:left w:w="57" w:type="dxa"/>
                    <w:right w:w="57" w:type="dxa"/>
                  </w:tcMar>
                  <w:vAlign w:val="center"/>
                </w:tcPr>
                <w:p w14:paraId="189E62CC">
                  <w:pPr>
                    <w:spacing w:line="240" w:lineRule="auto"/>
                    <w:ind w:firstLine="0" w:firstLineChars="0"/>
                    <w:jc w:val="center"/>
                    <w:rPr>
                      <w:color w:val="auto"/>
                      <w:sz w:val="21"/>
                      <w:szCs w:val="21"/>
                    </w:rPr>
                  </w:pPr>
                  <w:r>
                    <w:rPr>
                      <w:rFonts w:hint="eastAsia"/>
                      <w:color w:val="auto"/>
                      <w:sz w:val="21"/>
                      <w:szCs w:val="21"/>
                    </w:rPr>
                    <w:t>相关要求</w:t>
                  </w:r>
                </w:p>
              </w:tc>
              <w:tc>
                <w:tcPr>
                  <w:tcW w:w="1821" w:type="dxa"/>
                  <w:tcBorders>
                    <w:tl2br w:val="nil"/>
                    <w:tr2bl w:val="nil"/>
                  </w:tcBorders>
                  <w:tcMar>
                    <w:left w:w="57" w:type="dxa"/>
                    <w:right w:w="57" w:type="dxa"/>
                  </w:tcMar>
                  <w:vAlign w:val="center"/>
                </w:tcPr>
                <w:p w14:paraId="450B0E1A">
                  <w:pPr>
                    <w:spacing w:line="240" w:lineRule="auto"/>
                    <w:ind w:firstLine="0" w:firstLineChars="0"/>
                    <w:jc w:val="center"/>
                    <w:rPr>
                      <w:color w:val="auto"/>
                      <w:sz w:val="21"/>
                      <w:szCs w:val="21"/>
                    </w:rPr>
                  </w:pPr>
                  <w:r>
                    <w:rPr>
                      <w:rFonts w:hint="eastAsia"/>
                      <w:color w:val="auto"/>
                      <w:sz w:val="21"/>
                      <w:szCs w:val="21"/>
                    </w:rPr>
                    <w:t>本项目特点</w:t>
                  </w:r>
                </w:p>
              </w:tc>
              <w:tc>
                <w:tcPr>
                  <w:tcW w:w="771" w:type="dxa"/>
                  <w:tcBorders>
                    <w:tl2br w:val="nil"/>
                    <w:tr2bl w:val="nil"/>
                  </w:tcBorders>
                  <w:tcMar>
                    <w:left w:w="57" w:type="dxa"/>
                    <w:right w:w="57" w:type="dxa"/>
                  </w:tcMar>
                  <w:vAlign w:val="center"/>
                </w:tcPr>
                <w:p w14:paraId="211B36F0">
                  <w:pPr>
                    <w:spacing w:line="240" w:lineRule="auto"/>
                    <w:ind w:firstLine="0" w:firstLineChars="0"/>
                    <w:jc w:val="center"/>
                    <w:rPr>
                      <w:color w:val="auto"/>
                      <w:sz w:val="21"/>
                      <w:szCs w:val="21"/>
                    </w:rPr>
                  </w:pPr>
                  <w:r>
                    <w:rPr>
                      <w:rFonts w:hint="eastAsia"/>
                      <w:color w:val="auto"/>
                      <w:sz w:val="21"/>
                      <w:szCs w:val="21"/>
                    </w:rPr>
                    <w:t>相符性</w:t>
                  </w:r>
                </w:p>
              </w:tc>
            </w:tr>
            <w:tr w14:paraId="38796C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7598" w:type="dxa"/>
                  <w:gridSpan w:val="4"/>
                  <w:tcBorders>
                    <w:tl2br w:val="nil"/>
                    <w:tr2bl w:val="nil"/>
                  </w:tcBorders>
                  <w:tcMar>
                    <w:left w:w="57" w:type="dxa"/>
                    <w:right w:w="57" w:type="dxa"/>
                  </w:tcMar>
                  <w:vAlign w:val="center"/>
                </w:tcPr>
                <w:p w14:paraId="17E207F4">
                  <w:pPr>
                    <w:spacing w:line="240" w:lineRule="auto"/>
                    <w:ind w:firstLine="0" w:firstLineChars="0"/>
                    <w:jc w:val="center"/>
                    <w:rPr>
                      <w:color w:val="auto"/>
                      <w:sz w:val="21"/>
                      <w:szCs w:val="21"/>
                    </w:rPr>
                  </w:pPr>
                  <w:r>
                    <w:rPr>
                      <w:rFonts w:hint="eastAsia" w:ascii="宋体" w:hAnsi="宋体"/>
                      <w:color w:val="auto"/>
                      <w:sz w:val="21"/>
                      <w:szCs w:val="21"/>
                    </w:rPr>
                    <w:t>栾川</w:t>
                  </w:r>
                  <w:r>
                    <w:rPr>
                      <w:rFonts w:ascii="宋体" w:hAnsi="宋体"/>
                      <w:color w:val="auto"/>
                      <w:sz w:val="21"/>
                      <w:szCs w:val="21"/>
                    </w:rPr>
                    <w:t>县</w:t>
                  </w:r>
                  <w:r>
                    <w:rPr>
                      <w:rFonts w:ascii="TimesNewRomanPSMT" w:hAnsi="TimesNewRomanPSMT" w:eastAsia="TimesNewRomanPSMT"/>
                      <w:color w:val="auto"/>
                      <w:sz w:val="21"/>
                      <w:szCs w:val="21"/>
                    </w:rPr>
                    <w:t>202</w:t>
                  </w:r>
                  <w:r>
                    <w:rPr>
                      <w:rFonts w:hint="eastAsia" w:ascii="TimesNewRomanPSMT" w:hAnsi="TimesNewRomanPSMT" w:eastAsia="TimesNewRomanPSMT"/>
                      <w:color w:val="auto"/>
                      <w:sz w:val="21"/>
                      <w:szCs w:val="21"/>
                    </w:rPr>
                    <w:t>4</w:t>
                  </w:r>
                  <w:r>
                    <w:rPr>
                      <w:rFonts w:ascii="宋体" w:hAnsi="宋体"/>
                      <w:color w:val="auto"/>
                      <w:sz w:val="21"/>
                      <w:szCs w:val="21"/>
                    </w:rPr>
                    <w:t>年蓝天保卫战实施方案</w:t>
                  </w:r>
                </w:p>
              </w:tc>
            </w:tr>
            <w:tr w14:paraId="3BF1FE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33" w:hRule="atLeast"/>
                <w:jc w:val="center"/>
              </w:trPr>
              <w:tc>
                <w:tcPr>
                  <w:tcW w:w="709" w:type="dxa"/>
                  <w:tcBorders>
                    <w:tl2br w:val="nil"/>
                    <w:tr2bl w:val="nil"/>
                  </w:tcBorders>
                  <w:tcMar>
                    <w:left w:w="57" w:type="dxa"/>
                    <w:right w:w="57" w:type="dxa"/>
                  </w:tcMar>
                  <w:vAlign w:val="center"/>
                </w:tcPr>
                <w:p w14:paraId="25F09268">
                  <w:pPr>
                    <w:widowControl/>
                    <w:adjustRightInd/>
                    <w:snapToGrid/>
                    <w:spacing w:line="240" w:lineRule="auto"/>
                    <w:ind w:firstLine="0" w:firstLineChars="0"/>
                    <w:jc w:val="center"/>
                    <w:rPr>
                      <w:color w:val="auto"/>
                      <w:sz w:val="21"/>
                      <w:szCs w:val="21"/>
                    </w:rPr>
                  </w:pPr>
                  <w:r>
                    <w:rPr>
                      <w:rFonts w:hint="eastAsia"/>
                      <w:color w:val="auto"/>
                      <w:sz w:val="21"/>
                      <w:szCs w:val="21"/>
                    </w:rPr>
                    <w:t>（二）</w:t>
                  </w:r>
                  <w:r>
                    <w:rPr>
                      <w:color w:val="auto"/>
                      <w:sz w:val="21"/>
                      <w:szCs w:val="21"/>
                    </w:rPr>
                    <w:t>工业污染治理减排行动</w:t>
                  </w:r>
                </w:p>
              </w:tc>
              <w:tc>
                <w:tcPr>
                  <w:tcW w:w="4297" w:type="dxa"/>
                  <w:tcBorders>
                    <w:tl2br w:val="nil"/>
                    <w:tr2bl w:val="nil"/>
                  </w:tcBorders>
                  <w:tcMar>
                    <w:left w:w="57" w:type="dxa"/>
                    <w:right w:w="57" w:type="dxa"/>
                  </w:tcMar>
                  <w:vAlign w:val="center"/>
                </w:tcPr>
                <w:p w14:paraId="03430972">
                  <w:pPr>
                    <w:widowControl/>
                    <w:adjustRightInd/>
                    <w:snapToGrid/>
                    <w:spacing w:line="240" w:lineRule="auto"/>
                    <w:ind w:firstLine="0" w:firstLineChars="0"/>
                    <w:jc w:val="center"/>
                    <w:rPr>
                      <w:color w:val="auto"/>
                      <w:sz w:val="21"/>
                      <w:szCs w:val="21"/>
                    </w:rPr>
                  </w:pPr>
                  <w:r>
                    <w:rPr>
                      <w:color w:val="auto"/>
                      <w:sz w:val="21"/>
                      <w:szCs w:val="21"/>
                    </w:rPr>
                    <w:t>11.开展低效失效设施排查整治。对工业炉窑、锅炉、涉VOCs等重点行业全面开展低效失效大气污染理设施排查整治，按照“淘汰一批、整治一批、提升一批”的要求，制定排查整治方案</w:t>
                  </w:r>
                  <w:r>
                    <w:rPr>
                      <w:rFonts w:hint="eastAsia"/>
                      <w:color w:val="auto"/>
                      <w:sz w:val="21"/>
                      <w:szCs w:val="21"/>
                    </w:rPr>
                    <w:t>……</w:t>
                  </w:r>
                </w:p>
              </w:tc>
              <w:tc>
                <w:tcPr>
                  <w:tcW w:w="1821" w:type="dxa"/>
                  <w:tcBorders>
                    <w:tl2br w:val="nil"/>
                    <w:tr2bl w:val="nil"/>
                  </w:tcBorders>
                  <w:tcMar>
                    <w:left w:w="57" w:type="dxa"/>
                    <w:right w:w="57" w:type="dxa"/>
                  </w:tcMar>
                  <w:vAlign w:val="center"/>
                </w:tcPr>
                <w:p w14:paraId="110A1CDA">
                  <w:pPr>
                    <w:widowControl/>
                    <w:adjustRightInd/>
                    <w:snapToGrid/>
                    <w:spacing w:line="240" w:lineRule="auto"/>
                    <w:ind w:firstLine="0" w:firstLineChars="0"/>
                    <w:jc w:val="center"/>
                    <w:rPr>
                      <w:color w:val="auto"/>
                      <w:sz w:val="21"/>
                      <w:szCs w:val="21"/>
                    </w:rPr>
                  </w:pPr>
                  <w:r>
                    <w:rPr>
                      <w:rFonts w:hint="default" w:ascii="Times New Roman" w:hAnsi="Times New Roman" w:cs="Times New Roman"/>
                      <w:sz w:val="21"/>
                      <w:szCs w:val="21"/>
                      <w:vertAlign w:val="baseline"/>
                      <w:lang w:val="en-US" w:eastAsia="zh-CN"/>
                    </w:rPr>
                    <w:t>本项目废气经覆膜</w:t>
                  </w:r>
                  <w:r>
                    <w:rPr>
                      <w:rFonts w:hint="eastAsia" w:ascii="Times New Roman" w:cs="Times New Roman"/>
                      <w:sz w:val="21"/>
                      <w:szCs w:val="21"/>
                      <w:vertAlign w:val="baseline"/>
                      <w:lang w:val="en-US" w:eastAsia="zh-CN"/>
                    </w:rPr>
                    <w:t>袋</w:t>
                  </w:r>
                  <w:r>
                    <w:rPr>
                      <w:rFonts w:hint="default" w:ascii="Times New Roman" w:hAnsi="Times New Roman" w:cs="Times New Roman"/>
                      <w:sz w:val="21"/>
                      <w:szCs w:val="21"/>
                      <w:vertAlign w:val="baseline"/>
                      <w:lang w:val="en-US" w:eastAsia="zh-CN"/>
                    </w:rPr>
                    <w:t>式除尘器处理后达标排放，</w:t>
                  </w:r>
                  <w:r>
                    <w:rPr>
                      <w:rFonts w:hint="default" w:ascii="Times New Roman" w:hAnsi="Times New Roman" w:cs="Times New Roman"/>
                      <w:snapToGrid w:val="0"/>
                      <w:color w:val="auto"/>
                      <w:kern w:val="0"/>
                      <w:sz w:val="21"/>
                      <w:szCs w:val="21"/>
                    </w:rPr>
                    <w:t>不属于低效失效大气污染治理设施。</w:t>
                  </w:r>
                </w:p>
              </w:tc>
              <w:tc>
                <w:tcPr>
                  <w:tcW w:w="771" w:type="dxa"/>
                  <w:tcBorders>
                    <w:tl2br w:val="nil"/>
                    <w:tr2bl w:val="nil"/>
                  </w:tcBorders>
                  <w:tcMar>
                    <w:left w:w="57" w:type="dxa"/>
                    <w:right w:w="57" w:type="dxa"/>
                  </w:tcMar>
                  <w:vAlign w:val="center"/>
                </w:tcPr>
                <w:p w14:paraId="337A6863">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符合</w:t>
                  </w:r>
                </w:p>
              </w:tc>
            </w:tr>
            <w:tr w14:paraId="0BF90E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25" w:hRule="atLeast"/>
                <w:jc w:val="center"/>
              </w:trPr>
              <w:tc>
                <w:tcPr>
                  <w:tcW w:w="709" w:type="dxa"/>
                  <w:tcBorders>
                    <w:tl2br w:val="nil"/>
                    <w:tr2bl w:val="nil"/>
                  </w:tcBorders>
                  <w:tcMar>
                    <w:left w:w="57" w:type="dxa"/>
                    <w:right w:w="57" w:type="dxa"/>
                  </w:tcMar>
                  <w:vAlign w:val="center"/>
                </w:tcPr>
                <w:p w14:paraId="43EB01EB">
                  <w:pPr>
                    <w:widowControl/>
                    <w:adjustRightInd/>
                    <w:snapToGrid/>
                    <w:spacing w:line="240" w:lineRule="auto"/>
                    <w:ind w:firstLine="0" w:firstLineChars="0"/>
                    <w:jc w:val="center"/>
                    <w:rPr>
                      <w:color w:val="auto"/>
                      <w:sz w:val="21"/>
                      <w:szCs w:val="21"/>
                    </w:rPr>
                  </w:pPr>
                  <w:r>
                    <w:rPr>
                      <w:snapToGrid w:val="0"/>
                      <w:color w:val="auto"/>
                      <w:kern w:val="0"/>
                      <w:sz w:val="21"/>
                    </w:rPr>
                    <w:t>（四）面源污染综合防治攻坚行动</w:t>
                  </w:r>
                </w:p>
              </w:tc>
              <w:tc>
                <w:tcPr>
                  <w:tcW w:w="4297" w:type="dxa"/>
                  <w:tcBorders>
                    <w:tl2br w:val="nil"/>
                    <w:tr2bl w:val="nil"/>
                  </w:tcBorders>
                  <w:tcMar>
                    <w:left w:w="57" w:type="dxa"/>
                    <w:right w:w="57" w:type="dxa"/>
                  </w:tcMar>
                  <w:vAlign w:val="center"/>
                </w:tcPr>
                <w:p w14:paraId="00292067">
                  <w:pPr>
                    <w:widowControl/>
                    <w:adjustRightInd/>
                    <w:snapToGrid/>
                    <w:spacing w:line="240" w:lineRule="auto"/>
                    <w:ind w:firstLine="0" w:firstLineChars="0"/>
                    <w:jc w:val="left"/>
                    <w:rPr>
                      <w:snapToGrid w:val="0"/>
                      <w:color w:val="auto"/>
                      <w:kern w:val="0"/>
                      <w:sz w:val="21"/>
                    </w:rPr>
                  </w:pPr>
                  <w:r>
                    <w:rPr>
                      <w:rFonts w:hint="eastAsia"/>
                      <w:snapToGrid w:val="0"/>
                      <w:color w:val="auto"/>
                      <w:kern w:val="0"/>
                      <w:sz w:val="21"/>
                    </w:rPr>
                    <w:t>19.提升扬尘污染精细化管理水平。</w:t>
                  </w:r>
                </w:p>
                <w:p w14:paraId="08C241DB">
                  <w:pPr>
                    <w:widowControl/>
                    <w:adjustRightInd/>
                    <w:snapToGrid/>
                    <w:spacing w:line="240" w:lineRule="auto"/>
                    <w:ind w:firstLine="0" w:firstLineChars="0"/>
                    <w:jc w:val="center"/>
                    <w:rPr>
                      <w:rFonts w:hint="eastAsia" w:ascii="宋体" w:hAnsi="宋体"/>
                      <w:color w:val="auto"/>
                      <w:sz w:val="21"/>
                      <w:szCs w:val="21"/>
                    </w:rPr>
                  </w:pPr>
                  <w:r>
                    <w:rPr>
                      <w:rFonts w:hint="eastAsia"/>
                      <w:snapToGrid w:val="0"/>
                      <w:color w:val="auto"/>
                      <w:kern w:val="0"/>
                      <w:sz w:val="21"/>
                    </w:rPr>
                    <w:t>（1）强化施工扬尘治理。聚焦建筑施工、城市道路、车辆运输、线性工程、矿山开采和裸露地面重点领域，细化完善全市重点扬尘污染源管控清单，严格落实扬尘治理“两个标准”要求，按照“谁组织、谁监管”原则，明确监管责任，加大执法力度，加强施工围挡、车辆冲洗、湿法作业、密闭运输、地面硬化、物料覆盖等管理，持续提升市政、道路、交通、水利、房建、拆迁等各类施工工地精细化、智慧化管理水平。</w:t>
                  </w:r>
                </w:p>
              </w:tc>
              <w:tc>
                <w:tcPr>
                  <w:tcW w:w="1821" w:type="dxa"/>
                  <w:tcBorders>
                    <w:tl2br w:val="nil"/>
                    <w:tr2bl w:val="nil"/>
                  </w:tcBorders>
                  <w:tcMar>
                    <w:left w:w="57" w:type="dxa"/>
                    <w:right w:w="57" w:type="dxa"/>
                  </w:tcMar>
                  <w:vAlign w:val="center"/>
                </w:tcPr>
                <w:p w14:paraId="5D279615">
                  <w:pPr>
                    <w:widowControl/>
                    <w:adjustRightInd/>
                    <w:snapToGrid/>
                    <w:spacing w:line="240" w:lineRule="auto"/>
                    <w:ind w:firstLine="0" w:firstLineChars="0"/>
                    <w:jc w:val="center"/>
                    <w:rPr>
                      <w:rStyle w:val="72"/>
                      <w:rFonts w:hint="default"/>
                      <w:color w:val="auto"/>
                      <w:sz w:val="21"/>
                      <w:szCs w:val="21"/>
                    </w:rPr>
                  </w:pPr>
                  <w:r>
                    <w:rPr>
                      <w:rFonts w:hint="default" w:ascii="Times New Roman" w:hAnsi="Times New Roman" w:eastAsia="宋体" w:cs="Times New Roman"/>
                      <w:b w:val="0"/>
                      <w:bCs w:val="0"/>
                      <w:sz w:val="21"/>
                      <w:szCs w:val="21"/>
                      <w:vertAlign w:val="baseline"/>
                      <w:lang w:val="en-US" w:eastAsia="zh-CN"/>
                    </w:rPr>
                    <w:t>本项目施工期设置施工围挡、车辆冲洗、湿法作业、密闭运输、地面硬化、物料覆盖等措施，施工废气得到有效治理，不会对周围大气环境造成明显不利影响。</w:t>
                  </w:r>
                </w:p>
              </w:tc>
              <w:tc>
                <w:tcPr>
                  <w:tcW w:w="771" w:type="dxa"/>
                  <w:tcBorders>
                    <w:tl2br w:val="nil"/>
                    <w:tr2bl w:val="nil"/>
                  </w:tcBorders>
                  <w:tcMar>
                    <w:left w:w="57" w:type="dxa"/>
                    <w:right w:w="57" w:type="dxa"/>
                  </w:tcMar>
                  <w:vAlign w:val="center"/>
                </w:tcPr>
                <w:p w14:paraId="51D100DE">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符合</w:t>
                  </w:r>
                </w:p>
              </w:tc>
            </w:tr>
          </w:tbl>
          <w:p w14:paraId="53B79640">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b w:val="0"/>
                <w:bCs/>
                <w:color w:val="000000"/>
                <w:spacing w:val="0"/>
                <w:kern w:val="0"/>
                <w:sz w:val="24"/>
                <w:u w:val="none"/>
                <w:lang w:val="en-US" w:eastAsia="zh-CN"/>
              </w:rPr>
            </w:pPr>
            <w:r>
              <w:rPr>
                <w:rFonts w:hint="eastAsia"/>
                <w:b w:val="0"/>
                <w:bCs/>
                <w:color w:val="000000"/>
                <w:spacing w:val="0"/>
                <w:kern w:val="0"/>
                <w:sz w:val="24"/>
                <w:u w:val="none"/>
              </w:rPr>
              <w:t>综上，本项目符合栾川县生态环境保护委员会办公室关于印发《栾川县2024年蓝天保卫战实施方案》、《栾川县2024年柴油货车污染治理攻坚战实施方案》、《栾川县2024年夏季挥发性有机物污染防治实施方案》的通知（栾环委办[2024]13号）有关要求。</w:t>
            </w:r>
          </w:p>
          <w:p w14:paraId="4FAF83A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黑体" w:hAnsi="黑体" w:eastAsia="黑体" w:cs="黑体"/>
                <w:b w:val="0"/>
                <w:bCs w:val="0"/>
                <w:snapToGrid/>
                <w:kern w:val="2"/>
                <w:sz w:val="24"/>
                <w:szCs w:val="21"/>
                <w:u w:val="none"/>
                <w:lang w:val="en-US" w:eastAsia="zh-CN" w:bidi="ar-SA"/>
              </w:rPr>
            </w:pPr>
            <w:r>
              <w:rPr>
                <w:rFonts w:hint="eastAsia" w:ascii="Times New Roman" w:hAnsi="Times New Roman" w:eastAsia="宋体" w:cs="Times New Roman"/>
                <w:b/>
                <w:bCs/>
                <w:color w:val="000000"/>
                <w:sz w:val="24"/>
                <w:szCs w:val="24"/>
                <w:u w:val="none"/>
                <w:lang w:val="en-US" w:eastAsia="zh-CN"/>
              </w:rPr>
              <w:t>1.</w:t>
            </w:r>
            <w:r>
              <w:rPr>
                <w:rFonts w:hint="eastAsia" w:cs="Times New Roman"/>
                <w:b/>
                <w:bCs/>
                <w:color w:val="000000"/>
                <w:sz w:val="24"/>
                <w:szCs w:val="24"/>
                <w:u w:val="none"/>
                <w:lang w:val="en-US" w:eastAsia="zh-CN"/>
              </w:rPr>
              <w:t>6</w:t>
            </w:r>
            <w:r>
              <w:rPr>
                <w:rFonts w:hint="eastAsia" w:ascii="Times New Roman" w:hAnsi="Times New Roman" w:eastAsia="宋体" w:cs="Times New Roman"/>
                <w:b/>
                <w:bCs/>
                <w:color w:val="000000"/>
                <w:kern w:val="2"/>
                <w:sz w:val="24"/>
                <w:szCs w:val="24"/>
                <w:u w:val="none"/>
                <w:lang w:val="en-US" w:eastAsia="zh-CN" w:bidi="ar-SA"/>
              </w:rPr>
              <w:t>与《金属非金属矿山充填工程技术标准》（GB/T51450-2022）的符合性分析</w:t>
            </w:r>
            <w:r>
              <w:rPr>
                <w:rFonts w:hint="eastAsia" w:ascii="Times New Roman" w:hAnsi="Times New Roman" w:eastAsia="宋体" w:cs="Times New Roman"/>
                <w:b/>
                <w:bCs/>
                <w:color w:val="000000"/>
                <w:kern w:val="2"/>
                <w:sz w:val="24"/>
                <w:szCs w:val="24"/>
                <w:u w:val="none"/>
                <w:lang w:val="en-US" w:eastAsia="zh-CN" w:bidi="ar-SA"/>
              </w:rPr>
              <w:br w:type="textWrapping"/>
            </w:r>
            <w:r>
              <w:rPr>
                <w:rFonts w:hint="eastAsia" w:cs="Times New Roman"/>
                <w:b/>
                <w:bCs/>
                <w:color w:val="000000"/>
                <w:kern w:val="2"/>
                <w:sz w:val="24"/>
                <w:szCs w:val="24"/>
                <w:u w:val="none"/>
                <w:lang w:val="en-US" w:eastAsia="zh-CN" w:bidi="ar-SA"/>
              </w:rPr>
              <w:t xml:space="preserve">   </w:t>
            </w:r>
            <w:r>
              <w:rPr>
                <w:rFonts w:hint="eastAsia" w:ascii="黑体" w:hAnsi="黑体" w:eastAsia="黑体" w:cs="黑体"/>
                <w:b w:val="0"/>
                <w:bCs w:val="0"/>
                <w:snapToGrid/>
                <w:kern w:val="2"/>
                <w:sz w:val="24"/>
                <w:szCs w:val="21"/>
                <w:u w:val="none"/>
                <w:lang w:val="en-US" w:eastAsia="zh-CN" w:bidi="ar-SA"/>
              </w:rPr>
              <w:t>表1-4  项目与《金属非金属矿山充填工程技术标准》的相符性分析</w:t>
            </w:r>
          </w:p>
          <w:tbl>
            <w:tblPr>
              <w:tblStyle w:val="31"/>
              <w:tblW w:w="760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732"/>
              <w:gridCol w:w="2992"/>
              <w:gridCol w:w="880"/>
            </w:tblGrid>
            <w:tr w14:paraId="25F636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732" w:type="dxa"/>
                  <w:tcBorders>
                    <w:tl2br w:val="nil"/>
                    <w:tr2bl w:val="nil"/>
                  </w:tcBorders>
                  <w:noWrap w:val="0"/>
                  <w:vAlign w:val="center"/>
                </w:tcPr>
                <w:p w14:paraId="12C5A11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标准内容</w:t>
                  </w:r>
                </w:p>
              </w:tc>
              <w:tc>
                <w:tcPr>
                  <w:tcW w:w="2992" w:type="dxa"/>
                  <w:tcBorders>
                    <w:tl2br w:val="nil"/>
                    <w:tr2bl w:val="nil"/>
                  </w:tcBorders>
                  <w:noWrap w:val="0"/>
                  <w:vAlign w:val="center"/>
                </w:tcPr>
                <w:p w14:paraId="2B85E15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w:t>
                  </w:r>
                </w:p>
              </w:tc>
              <w:tc>
                <w:tcPr>
                  <w:tcW w:w="880" w:type="dxa"/>
                  <w:tcBorders>
                    <w:tl2br w:val="nil"/>
                    <w:tr2bl w:val="nil"/>
                  </w:tcBorders>
                  <w:noWrap w:val="0"/>
                  <w:vAlign w:val="center"/>
                </w:tcPr>
                <w:p w14:paraId="5CAD194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相符性</w:t>
                  </w:r>
                </w:p>
              </w:tc>
            </w:tr>
            <w:tr w14:paraId="17E7C2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32" w:type="dxa"/>
                  <w:tcBorders>
                    <w:tl2br w:val="nil"/>
                    <w:tr2bl w:val="nil"/>
                  </w:tcBorders>
                  <w:noWrap w:val="0"/>
                  <w:vAlign w:val="center"/>
                </w:tcPr>
                <w:p w14:paraId="139622F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3.1.1</w:t>
                  </w:r>
                  <w:r>
                    <w:rPr>
                      <w:rFonts w:hint="default" w:ascii="Times New Roman" w:hAnsi="Times New Roman" w:cs="Times New Roman"/>
                      <w:b w:val="0"/>
                      <w:bCs w:val="0"/>
                      <w:sz w:val="21"/>
                      <w:szCs w:val="21"/>
                      <w:vertAlign w:val="baseline"/>
                      <w:lang w:val="en-US" w:eastAsia="zh-CN"/>
                    </w:rPr>
                    <w:t>充填材料应符合我国环保和安全相关要求，不应对人体、环境及充填体性能产生有害影响。</w:t>
                  </w:r>
                </w:p>
              </w:tc>
              <w:tc>
                <w:tcPr>
                  <w:tcW w:w="2992" w:type="dxa"/>
                  <w:tcBorders>
                    <w:tl2br w:val="nil"/>
                    <w:tr2bl w:val="nil"/>
                  </w:tcBorders>
                  <w:noWrap w:val="0"/>
                  <w:vAlign w:val="center"/>
                </w:tcPr>
                <w:p w14:paraId="5E981D3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本项目充填材料为选厂尾矿浆，为第 </w:t>
                  </w:r>
                  <w:r>
                    <w:rPr>
                      <w:rFonts w:hint="default" w:ascii="Times New Roman" w:hAnsi="Times New Roman" w:cs="Times New Roman"/>
                      <w:b w:val="0"/>
                      <w:bCs w:val="0"/>
                      <w:sz w:val="21"/>
                      <w:szCs w:val="21"/>
                      <w:vertAlign w:val="baseline"/>
                      <w:lang w:val="en-US" w:eastAsia="zh-CN"/>
                    </w:rPr>
                    <w:t xml:space="preserve">I </w:t>
                  </w:r>
                  <w:r>
                    <w:rPr>
                      <w:rFonts w:hint="eastAsia" w:ascii="Times New Roman" w:hAnsi="Times New Roman" w:cs="Times New Roman"/>
                      <w:b w:val="0"/>
                      <w:bCs w:val="0"/>
                      <w:sz w:val="21"/>
                      <w:szCs w:val="21"/>
                      <w:vertAlign w:val="baseline"/>
                      <w:lang w:val="en-US" w:eastAsia="zh-CN"/>
                    </w:rPr>
                    <w:t>类一般工业固体废物，另辅料为水泥和聚丙烯酰胺，</w:t>
                  </w:r>
                  <w:r>
                    <w:rPr>
                      <w:rFonts w:hint="default" w:ascii="Times New Roman" w:hAnsi="Times New Roman" w:cs="Times New Roman"/>
                      <w:b w:val="0"/>
                      <w:bCs w:val="0"/>
                      <w:sz w:val="21"/>
                      <w:szCs w:val="21"/>
                      <w:vertAlign w:val="baseline"/>
                      <w:lang w:val="en-US" w:eastAsia="zh-CN"/>
                    </w:rPr>
                    <w:t>不</w:t>
                  </w:r>
                  <w:r>
                    <w:rPr>
                      <w:rFonts w:hint="eastAsia" w:ascii="Times New Roman" w:hAnsi="Times New Roman" w:cs="Times New Roman"/>
                      <w:b w:val="0"/>
                      <w:bCs w:val="0"/>
                      <w:sz w:val="21"/>
                      <w:szCs w:val="21"/>
                      <w:vertAlign w:val="baseline"/>
                      <w:lang w:val="en-US" w:eastAsia="zh-CN"/>
                    </w:rPr>
                    <w:t>会</w:t>
                  </w:r>
                  <w:r>
                    <w:rPr>
                      <w:rFonts w:hint="default" w:ascii="Times New Roman" w:hAnsi="Times New Roman" w:cs="Times New Roman"/>
                      <w:b w:val="0"/>
                      <w:bCs w:val="0"/>
                      <w:sz w:val="21"/>
                      <w:szCs w:val="21"/>
                      <w:vertAlign w:val="baseline"/>
                      <w:lang w:val="en-US" w:eastAsia="zh-CN"/>
                    </w:rPr>
                    <w:t>对人体、环境及充填体性能产生有害影响</w:t>
                  </w:r>
                  <w:r>
                    <w:rPr>
                      <w:rFonts w:hint="eastAsia" w:ascii="Times New Roman" w:cs="Times New Roman"/>
                      <w:b w:val="0"/>
                      <w:bCs w:val="0"/>
                      <w:sz w:val="21"/>
                      <w:szCs w:val="21"/>
                      <w:vertAlign w:val="baseline"/>
                      <w:lang w:val="en-US" w:eastAsia="zh-CN"/>
                    </w:rPr>
                    <w:t>。</w:t>
                  </w:r>
                </w:p>
              </w:tc>
              <w:tc>
                <w:tcPr>
                  <w:tcW w:w="880" w:type="dxa"/>
                  <w:tcBorders>
                    <w:tl2br w:val="nil"/>
                    <w:tr2bl w:val="nil"/>
                  </w:tcBorders>
                  <w:noWrap w:val="0"/>
                  <w:vAlign w:val="center"/>
                </w:tcPr>
                <w:p w14:paraId="41AA169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052D8F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732" w:type="dxa"/>
                  <w:tcBorders>
                    <w:tl2br w:val="nil"/>
                    <w:tr2bl w:val="nil"/>
                  </w:tcBorders>
                  <w:noWrap w:val="0"/>
                  <w:vAlign w:val="center"/>
                </w:tcPr>
                <w:p w14:paraId="61C0D0B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3.1.2充填集料的选择应符合下列规定：</w:t>
                  </w:r>
                </w:p>
                <w:p w14:paraId="1996BDC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1充填集料应符合现行国家标准《一般工业固体废物贮存和填埋污染控制标准》GB18599的有关规定；</w:t>
                  </w:r>
                </w:p>
                <w:p w14:paraId="5BA34B3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2充填集料宜采用尾砂、废石等矿山</w:t>
                  </w:r>
                </w:p>
                <w:p w14:paraId="171DCC8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固体废弃物或一般工业固体废物</w:t>
                  </w:r>
                  <w:r>
                    <w:rPr>
                      <w:rFonts w:hint="eastAsia" w:ascii="Times New Roman" w:cs="Times New Roman"/>
                      <w:b w:val="0"/>
                      <w:bCs w:val="0"/>
                      <w:sz w:val="21"/>
                      <w:szCs w:val="21"/>
                      <w:vertAlign w:val="baseline"/>
                      <w:lang w:val="en-US" w:eastAsia="zh-CN"/>
                    </w:rPr>
                    <w:t>。</w:t>
                  </w:r>
                </w:p>
              </w:tc>
              <w:tc>
                <w:tcPr>
                  <w:tcW w:w="2992" w:type="dxa"/>
                  <w:tcBorders>
                    <w:tl2br w:val="nil"/>
                    <w:tr2bl w:val="nil"/>
                  </w:tcBorders>
                  <w:noWrap w:val="0"/>
                  <w:vAlign w:val="center"/>
                </w:tcPr>
                <w:p w14:paraId="3E1A98E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w:t>
                  </w:r>
                  <w:r>
                    <w:rPr>
                      <w:rFonts w:hint="default" w:ascii="Times New Roman" w:hAnsi="Times New Roman" w:cs="Times New Roman"/>
                      <w:b w:val="0"/>
                      <w:bCs w:val="0"/>
                      <w:sz w:val="21"/>
                      <w:szCs w:val="21"/>
                      <w:vertAlign w:val="baseline"/>
                      <w:lang w:val="en-US" w:eastAsia="zh-CN"/>
                    </w:rPr>
                    <w:t>充填集料符合《一般工业固体废物贮存和填埋污染控制标准》GB18599的有关规定；</w:t>
                  </w:r>
                </w:p>
                <w:p w14:paraId="26C1DBB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充填集料采用矿山固体废弃物</w:t>
                  </w:r>
                  <w:r>
                    <w:rPr>
                      <w:rFonts w:hint="eastAsia" w:ascii="Times New Roman" w:hAnsi="Times New Roman" w:cs="Times New Roman"/>
                      <w:b w:val="0"/>
                      <w:bCs w:val="0"/>
                      <w:sz w:val="21"/>
                      <w:szCs w:val="21"/>
                      <w:vertAlign w:val="baseline"/>
                      <w:lang w:val="en-US" w:eastAsia="zh-CN"/>
                    </w:rPr>
                    <w:t xml:space="preserve">选厂尾砂，为第 </w:t>
                  </w:r>
                  <w:r>
                    <w:rPr>
                      <w:rFonts w:hint="default" w:ascii="Times New Roman" w:hAnsi="Times New Roman" w:cs="Times New Roman"/>
                      <w:b w:val="0"/>
                      <w:bCs w:val="0"/>
                      <w:sz w:val="21"/>
                      <w:szCs w:val="21"/>
                      <w:vertAlign w:val="baseline"/>
                      <w:lang w:val="en-US" w:eastAsia="zh-CN"/>
                    </w:rPr>
                    <w:t xml:space="preserve">I </w:t>
                  </w:r>
                  <w:r>
                    <w:rPr>
                      <w:rFonts w:hint="eastAsia" w:ascii="Times New Roman" w:hAnsi="Times New Roman" w:cs="Times New Roman"/>
                      <w:b w:val="0"/>
                      <w:bCs w:val="0"/>
                      <w:sz w:val="21"/>
                      <w:szCs w:val="21"/>
                      <w:vertAlign w:val="baseline"/>
                      <w:lang w:val="en-US" w:eastAsia="zh-CN"/>
                    </w:rPr>
                    <w:t>类一般工业固体废物</w:t>
                  </w:r>
                  <w:r>
                    <w:rPr>
                      <w:rFonts w:hint="eastAsia" w:ascii="Times New Roman" w:cs="Times New Roman"/>
                      <w:b w:val="0"/>
                      <w:bCs w:val="0"/>
                      <w:sz w:val="21"/>
                      <w:szCs w:val="21"/>
                      <w:vertAlign w:val="baseline"/>
                      <w:lang w:val="en-US" w:eastAsia="zh-CN"/>
                    </w:rPr>
                    <w:t>。</w:t>
                  </w:r>
                </w:p>
              </w:tc>
              <w:tc>
                <w:tcPr>
                  <w:tcW w:w="880" w:type="dxa"/>
                  <w:tcBorders>
                    <w:tl2br w:val="nil"/>
                    <w:tr2bl w:val="nil"/>
                  </w:tcBorders>
                  <w:noWrap w:val="0"/>
                  <w:vAlign w:val="center"/>
                </w:tcPr>
                <w:p w14:paraId="6922FDE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543A7E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732" w:type="dxa"/>
                  <w:tcBorders>
                    <w:tl2br w:val="nil"/>
                    <w:tr2bl w:val="nil"/>
                  </w:tcBorders>
                  <w:noWrap w:val="0"/>
                  <w:vAlign w:val="center"/>
                </w:tcPr>
                <w:p w14:paraId="2875E53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3.1.3胶凝材料应采用水泥或具有胶凝作用的其他材料。</w:t>
                  </w:r>
                </w:p>
              </w:tc>
              <w:tc>
                <w:tcPr>
                  <w:tcW w:w="2992" w:type="dxa"/>
                  <w:tcBorders>
                    <w:tl2br w:val="nil"/>
                    <w:tr2bl w:val="nil"/>
                  </w:tcBorders>
                  <w:noWrap w:val="0"/>
                  <w:vAlign w:val="center"/>
                </w:tcPr>
                <w:p w14:paraId="52AC21B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本项目胶凝材料为水泥</w:t>
                  </w:r>
                  <w:r>
                    <w:rPr>
                      <w:rFonts w:hint="eastAsia" w:ascii="Times New Roman" w:cs="Times New Roman"/>
                      <w:b w:val="0"/>
                      <w:bCs w:val="0"/>
                      <w:sz w:val="21"/>
                      <w:szCs w:val="21"/>
                      <w:vertAlign w:val="baseline"/>
                      <w:lang w:val="en-US" w:eastAsia="zh-CN"/>
                    </w:rPr>
                    <w:t>。</w:t>
                  </w:r>
                </w:p>
              </w:tc>
              <w:tc>
                <w:tcPr>
                  <w:tcW w:w="880" w:type="dxa"/>
                  <w:tcBorders>
                    <w:tl2br w:val="nil"/>
                    <w:tr2bl w:val="nil"/>
                  </w:tcBorders>
                  <w:noWrap w:val="0"/>
                  <w:vAlign w:val="center"/>
                </w:tcPr>
                <w:p w14:paraId="7F58E9F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456AFF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732" w:type="dxa"/>
                  <w:tcBorders>
                    <w:tl2br w:val="nil"/>
                    <w:tr2bl w:val="nil"/>
                  </w:tcBorders>
                  <w:noWrap w:val="0"/>
                  <w:vAlign w:val="center"/>
                </w:tcPr>
                <w:p w14:paraId="78FB75C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3.1.5充填系统建设方案初步设计前，应完成充填材料试验。</w:t>
                  </w:r>
                </w:p>
              </w:tc>
              <w:tc>
                <w:tcPr>
                  <w:tcW w:w="2992" w:type="dxa"/>
                  <w:tcBorders>
                    <w:tl2br w:val="nil"/>
                    <w:tr2bl w:val="nil"/>
                  </w:tcBorders>
                  <w:noWrap w:val="0"/>
                  <w:vAlign w:val="center"/>
                </w:tcPr>
                <w:p w14:paraId="3709A4D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项目已完成建设方案初步设计，并完成充填材料试验</w:t>
                  </w:r>
                  <w:r>
                    <w:rPr>
                      <w:rFonts w:hint="eastAsia" w:ascii="Times New Roman" w:cs="Times New Roman"/>
                      <w:b w:val="0"/>
                      <w:bCs w:val="0"/>
                      <w:sz w:val="21"/>
                      <w:szCs w:val="21"/>
                      <w:vertAlign w:val="baseline"/>
                      <w:lang w:val="en-US" w:eastAsia="zh-CN"/>
                    </w:rPr>
                    <w:t>。</w:t>
                  </w:r>
                </w:p>
              </w:tc>
              <w:tc>
                <w:tcPr>
                  <w:tcW w:w="880" w:type="dxa"/>
                  <w:tcBorders>
                    <w:tl2br w:val="nil"/>
                    <w:tr2bl w:val="nil"/>
                  </w:tcBorders>
                  <w:noWrap w:val="0"/>
                  <w:vAlign w:val="center"/>
                </w:tcPr>
                <w:p w14:paraId="20DE4CB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3C7D24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3732" w:type="dxa"/>
                  <w:tcBorders>
                    <w:tl2br w:val="nil"/>
                    <w:tr2bl w:val="nil"/>
                  </w:tcBorders>
                  <w:noWrap w:val="0"/>
                  <w:vAlign w:val="center"/>
                </w:tcPr>
                <w:p w14:paraId="287EB54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3.1.6 充填材料变更或性质发生变化时，应重新开展相应的充填材料试验。</w:t>
                  </w:r>
                </w:p>
              </w:tc>
              <w:tc>
                <w:tcPr>
                  <w:tcW w:w="2992" w:type="dxa"/>
                  <w:tcBorders>
                    <w:tl2br w:val="nil"/>
                    <w:tr2bl w:val="nil"/>
                  </w:tcBorders>
                  <w:noWrap w:val="0"/>
                  <w:vAlign w:val="center"/>
                </w:tcPr>
                <w:p w14:paraId="0E10BE6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充填材料变更或性质发生变化时，应重新开展相应的充填材料试验。</w:t>
                  </w:r>
                </w:p>
              </w:tc>
              <w:tc>
                <w:tcPr>
                  <w:tcW w:w="880" w:type="dxa"/>
                  <w:tcBorders>
                    <w:tl2br w:val="nil"/>
                    <w:tr2bl w:val="nil"/>
                  </w:tcBorders>
                  <w:noWrap w:val="0"/>
                  <w:vAlign w:val="center"/>
                </w:tcPr>
                <w:p w14:paraId="0511B54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572C57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8" w:hRule="atLeast"/>
                <w:jc w:val="center"/>
              </w:trPr>
              <w:tc>
                <w:tcPr>
                  <w:tcW w:w="3732" w:type="dxa"/>
                  <w:tcBorders>
                    <w:tl2br w:val="nil"/>
                    <w:tr2bl w:val="nil"/>
                  </w:tcBorders>
                  <w:noWrap w:val="0"/>
                  <w:vAlign w:val="center"/>
                </w:tcPr>
                <w:p w14:paraId="2979F19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4.4.1 制备尾砂集料宜符合下列规定：</w:t>
                  </w:r>
                </w:p>
                <w:p w14:paraId="7B8B955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1采用全尾砂或分级溢流尾砂充填时，宜选择膏体充填方式；</w:t>
                  </w:r>
                </w:p>
                <w:p w14:paraId="596223D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2采用分级尾砂作为充填集料的水力充填方式时，尾砂渗透系数宜大于8cm/h。</w:t>
                  </w:r>
                </w:p>
              </w:tc>
              <w:tc>
                <w:tcPr>
                  <w:tcW w:w="2992" w:type="dxa"/>
                  <w:tcBorders>
                    <w:tl2br w:val="nil"/>
                    <w:tr2bl w:val="nil"/>
                  </w:tcBorders>
                  <w:noWrap w:val="0"/>
                  <w:vAlign w:val="center"/>
                </w:tcPr>
                <w:p w14:paraId="334458E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本项目利用尾砂充填，为膏体充填方式</w:t>
                  </w:r>
                  <w:r>
                    <w:rPr>
                      <w:rFonts w:hint="eastAsia" w:ascii="Times New Roman" w:cs="Times New Roman"/>
                      <w:b w:val="0"/>
                      <w:bCs w:val="0"/>
                      <w:sz w:val="21"/>
                      <w:szCs w:val="21"/>
                      <w:vertAlign w:val="baseline"/>
                      <w:lang w:val="en-US" w:eastAsia="zh-CN"/>
                    </w:rPr>
                    <w:t>。</w:t>
                  </w:r>
                </w:p>
              </w:tc>
              <w:tc>
                <w:tcPr>
                  <w:tcW w:w="880" w:type="dxa"/>
                  <w:tcBorders>
                    <w:tl2br w:val="nil"/>
                    <w:tr2bl w:val="nil"/>
                  </w:tcBorders>
                  <w:noWrap w:val="0"/>
                  <w:vAlign w:val="center"/>
                </w:tcPr>
                <w:p w14:paraId="5E5226A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4847A5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732" w:type="dxa"/>
                  <w:tcBorders>
                    <w:tl2br w:val="nil"/>
                    <w:tr2bl w:val="nil"/>
                  </w:tcBorders>
                  <w:noWrap w:val="0"/>
                  <w:vAlign w:val="center"/>
                </w:tcPr>
                <w:p w14:paraId="0077B87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4.4.2尾砂浓缩应采用重力沉降浓缩或过滤浓缩方式。沉降浓缩装置宜采用砂仓、深锥浓密机等，过滤浓缩装置宜采用真空过滤机、压滤机等。</w:t>
                  </w:r>
                </w:p>
              </w:tc>
              <w:tc>
                <w:tcPr>
                  <w:tcW w:w="2992" w:type="dxa"/>
                  <w:tcBorders>
                    <w:tl2br w:val="nil"/>
                    <w:tr2bl w:val="nil"/>
                  </w:tcBorders>
                  <w:noWrap w:val="0"/>
                  <w:vAlign w:val="center"/>
                </w:tcPr>
                <w:p w14:paraId="44A6A98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本项目尾砂浓缩为重力沉降浓缩，采用仓储浓密机</w:t>
                  </w:r>
                  <w:r>
                    <w:rPr>
                      <w:rFonts w:hint="eastAsia" w:ascii="Times New Roman" w:cs="Times New Roman"/>
                      <w:b w:val="0"/>
                      <w:bCs w:val="0"/>
                      <w:sz w:val="21"/>
                      <w:szCs w:val="21"/>
                      <w:vertAlign w:val="baseline"/>
                      <w:lang w:val="en-US" w:eastAsia="zh-CN"/>
                    </w:rPr>
                    <w:t>。</w:t>
                  </w:r>
                </w:p>
              </w:tc>
              <w:tc>
                <w:tcPr>
                  <w:tcW w:w="880" w:type="dxa"/>
                  <w:tcBorders>
                    <w:tl2br w:val="nil"/>
                    <w:tr2bl w:val="nil"/>
                  </w:tcBorders>
                  <w:noWrap w:val="0"/>
                  <w:vAlign w:val="center"/>
                </w:tcPr>
                <w:p w14:paraId="1E7ECD3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3C2714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732" w:type="dxa"/>
                  <w:tcBorders>
                    <w:tl2br w:val="nil"/>
                    <w:tr2bl w:val="nil"/>
                  </w:tcBorders>
                  <w:noWrap w:val="0"/>
                  <w:vAlign w:val="center"/>
                </w:tcPr>
                <w:p w14:paraId="3DF0F41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4.9.1 充填制备站应配置事故池及事故池泵送系统，事故池有效容积不宜小于2h充填料浆量。</w:t>
                  </w:r>
                </w:p>
              </w:tc>
              <w:tc>
                <w:tcPr>
                  <w:tcW w:w="2992" w:type="dxa"/>
                  <w:tcBorders>
                    <w:tl2br w:val="nil"/>
                    <w:tr2bl w:val="nil"/>
                  </w:tcBorders>
                  <w:noWrap w:val="0"/>
                  <w:vAlign w:val="center"/>
                </w:tcPr>
                <w:p w14:paraId="330185F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w:t>
                  </w:r>
                  <w:r>
                    <w:rPr>
                      <w:rFonts w:hint="default" w:ascii="Times New Roman" w:hAnsi="Times New Roman" w:cs="Times New Roman"/>
                      <w:b w:val="0"/>
                      <w:bCs w:val="0"/>
                      <w:sz w:val="21"/>
                      <w:szCs w:val="21"/>
                      <w:vertAlign w:val="baseline"/>
                      <w:lang w:val="en-US" w:eastAsia="zh-CN"/>
                    </w:rPr>
                    <w:t>充填制备站</w:t>
                  </w:r>
                  <w:r>
                    <w:rPr>
                      <w:rFonts w:hint="eastAsia" w:ascii="Times New Roman" w:hAnsi="Times New Roman" w:cs="Times New Roman"/>
                      <w:b w:val="0"/>
                      <w:bCs w:val="0"/>
                      <w:sz w:val="21"/>
                      <w:szCs w:val="21"/>
                      <w:vertAlign w:val="baseline"/>
                      <w:lang w:val="en-US" w:eastAsia="zh-CN"/>
                    </w:rPr>
                    <w:t>配置有事故池(50m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1"/>
                      <w:szCs w:val="21"/>
                      <w:vertAlign w:val="baseline"/>
                      <w:lang w:val="en-US" w:eastAsia="zh-CN"/>
                    </w:rPr>
                    <w:t>及事故池泵送系统</w:t>
                  </w:r>
                  <w:r>
                    <w:rPr>
                      <w:rFonts w:hint="eastAsia" w:ascii="Times New Roman" w:hAnsi="Times New Roman" w:cs="Times New Roman"/>
                      <w:b w:val="0"/>
                      <w:bCs w:val="0"/>
                      <w:sz w:val="21"/>
                      <w:szCs w:val="21"/>
                      <w:vertAlign w:val="baseline"/>
                      <w:lang w:val="en-US" w:eastAsia="zh-CN"/>
                    </w:rPr>
                    <w:t>，事故池主要用来收集事故状态下搅拌桶里的料浆，管道内料浆自流、进充填采空区内。</w:t>
                  </w:r>
                </w:p>
              </w:tc>
              <w:tc>
                <w:tcPr>
                  <w:tcW w:w="880" w:type="dxa"/>
                  <w:tcBorders>
                    <w:tl2br w:val="nil"/>
                    <w:tr2bl w:val="nil"/>
                  </w:tcBorders>
                  <w:noWrap w:val="0"/>
                  <w:vAlign w:val="center"/>
                </w:tcPr>
                <w:p w14:paraId="2A54721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bl>
          <w:p w14:paraId="7199D81C">
            <w:pPr>
              <w:pStyle w:val="138"/>
              <w:spacing w:before="120"/>
              <w:ind w:firstLine="482" w:firstLineChars="200"/>
              <w:jc w:val="both"/>
              <w:rPr>
                <w:rFonts w:hint="eastAsia" w:cs="Times New Roman"/>
                <w:b/>
                <w:bCs/>
                <w:color w:val="000000"/>
                <w:kern w:val="2"/>
                <w:sz w:val="24"/>
                <w:szCs w:val="24"/>
                <w:u w:val="none"/>
                <w:lang w:val="en-US" w:eastAsia="zh-CN" w:bidi="ar-SA"/>
              </w:rPr>
            </w:pPr>
            <w:r>
              <w:rPr>
                <w:rFonts w:hint="eastAsia" w:cs="Times New Roman"/>
                <w:b/>
                <w:bCs/>
                <w:color w:val="000000"/>
                <w:kern w:val="2"/>
                <w:sz w:val="24"/>
                <w:szCs w:val="24"/>
                <w:u w:val="none"/>
                <w:lang w:val="en-US" w:eastAsia="zh-CN" w:bidi="ar-SA"/>
              </w:rPr>
              <w:t>1.7</w:t>
            </w:r>
            <w:r>
              <w:rPr>
                <w:snapToGrid w:val="0"/>
                <w:u w:val="none"/>
              </w:rPr>
              <w:t>与</w:t>
            </w:r>
            <w:r>
              <w:rPr>
                <w:rFonts w:hint="eastAsia" w:ascii="宋体" w:hAnsi="宋体" w:eastAsia="宋体" w:cs="宋体"/>
                <w:u w:val="none"/>
              </w:rPr>
              <w:t>洛市环</w:t>
            </w:r>
            <w:r>
              <w:rPr>
                <w:u w:val="none"/>
              </w:rPr>
              <w:t>[2021]47</w:t>
            </w:r>
            <w:r>
              <w:rPr>
                <w:rFonts w:hint="eastAsia" w:ascii="宋体" w:hAnsi="宋体" w:eastAsia="宋体" w:cs="宋体"/>
                <w:u w:val="none"/>
              </w:rPr>
              <w:t>号</w:t>
            </w:r>
            <w:r>
              <w:rPr>
                <w:rFonts w:hint="eastAsia"/>
                <w:snapToGrid w:val="0"/>
                <w:u w:val="none"/>
              </w:rPr>
              <w:t>中通用行业涉颗粒物企业要求</w:t>
            </w:r>
            <w:r>
              <w:rPr>
                <w:snapToGrid w:val="0"/>
                <w:u w:val="none"/>
              </w:rPr>
              <w:t>相符性分析</w:t>
            </w:r>
          </w:p>
          <w:p w14:paraId="34588CC9">
            <w:pPr>
              <w:pStyle w:val="138"/>
              <w:spacing w:before="120"/>
              <w:rPr>
                <w:snapToGrid w:val="0"/>
              </w:rPr>
            </w:pPr>
            <w:r>
              <w:rPr>
                <w:rFonts w:hint="eastAsia" w:ascii="黑体" w:hAnsi="黑体" w:eastAsia="黑体" w:cs="黑体"/>
                <w:b w:val="0"/>
                <w:bCs w:val="0"/>
                <w:snapToGrid/>
                <w:kern w:val="2"/>
                <w:sz w:val="24"/>
                <w:szCs w:val="21"/>
                <w:u w:val="none"/>
                <w:lang w:val="en-US" w:eastAsia="zh-CN" w:bidi="ar-SA"/>
              </w:rPr>
              <w:t>表1-5 与洛市环[2021]47号中通用行业涉颗粒物企业要求的相符性分析</w:t>
            </w:r>
          </w:p>
          <w:tbl>
            <w:tblPr>
              <w:tblStyle w:val="31"/>
              <w:tblW w:w="756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20"/>
              <w:gridCol w:w="726"/>
              <w:gridCol w:w="3400"/>
              <w:gridCol w:w="2009"/>
              <w:gridCol w:w="913"/>
            </w:tblGrid>
            <w:tr w14:paraId="399BE3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46" w:type="dxa"/>
                  <w:gridSpan w:val="2"/>
                  <w:tcBorders>
                    <w:tl2br w:val="nil"/>
                    <w:tr2bl w:val="nil"/>
                  </w:tcBorders>
                  <w:vAlign w:val="center"/>
                </w:tcPr>
                <w:p w14:paraId="193486A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差异化指标</w:t>
                  </w:r>
                </w:p>
              </w:tc>
              <w:tc>
                <w:tcPr>
                  <w:tcW w:w="3400" w:type="dxa"/>
                  <w:tcBorders>
                    <w:tl2br w:val="nil"/>
                    <w:tr2bl w:val="nil"/>
                  </w:tcBorders>
                  <w:vAlign w:val="center"/>
                </w:tcPr>
                <w:p w14:paraId="68BA0D2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绩效先进性指标要求</w:t>
                  </w:r>
                </w:p>
              </w:tc>
              <w:tc>
                <w:tcPr>
                  <w:tcW w:w="2009" w:type="dxa"/>
                  <w:tcBorders>
                    <w:tl2br w:val="nil"/>
                    <w:tr2bl w:val="nil"/>
                  </w:tcBorders>
                  <w:vAlign w:val="center"/>
                </w:tcPr>
                <w:p w14:paraId="3406CC6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w:t>
                  </w:r>
                </w:p>
              </w:tc>
              <w:tc>
                <w:tcPr>
                  <w:tcW w:w="913" w:type="dxa"/>
                  <w:tcBorders>
                    <w:tl2br w:val="nil"/>
                    <w:tr2bl w:val="nil"/>
                  </w:tcBorders>
                  <w:vAlign w:val="center"/>
                </w:tcPr>
                <w:p w14:paraId="24374BE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相符性</w:t>
                  </w:r>
                </w:p>
              </w:tc>
            </w:tr>
            <w:tr w14:paraId="78A347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2" w:hRule="atLeast"/>
                <w:jc w:val="center"/>
              </w:trPr>
              <w:tc>
                <w:tcPr>
                  <w:tcW w:w="1246" w:type="dxa"/>
                  <w:gridSpan w:val="2"/>
                  <w:tcBorders>
                    <w:tl2br w:val="nil"/>
                    <w:tr2bl w:val="nil"/>
                  </w:tcBorders>
                  <w:vAlign w:val="center"/>
                </w:tcPr>
                <w:p w14:paraId="61ED221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能源类型</w:t>
                  </w:r>
                </w:p>
              </w:tc>
              <w:tc>
                <w:tcPr>
                  <w:tcW w:w="3400" w:type="dxa"/>
                  <w:tcBorders>
                    <w:tl2br w:val="nil"/>
                    <w:tr2bl w:val="nil"/>
                  </w:tcBorders>
                  <w:vAlign w:val="center"/>
                </w:tcPr>
                <w:p w14:paraId="3FD479C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以电、天然气为能源</w:t>
                  </w:r>
                  <w:r>
                    <w:rPr>
                      <w:rFonts w:hint="eastAsia" w:ascii="Times New Roman" w:cs="Times New Roman"/>
                      <w:b w:val="0"/>
                      <w:bCs w:val="0"/>
                      <w:sz w:val="21"/>
                      <w:szCs w:val="21"/>
                      <w:vertAlign w:val="baseline"/>
                      <w:lang w:val="en-US" w:eastAsia="zh-CN"/>
                    </w:rPr>
                    <w:t>。</w:t>
                  </w:r>
                </w:p>
              </w:tc>
              <w:tc>
                <w:tcPr>
                  <w:tcW w:w="2009" w:type="dxa"/>
                  <w:tcBorders>
                    <w:tl2br w:val="nil"/>
                    <w:tr2bl w:val="nil"/>
                  </w:tcBorders>
                  <w:vAlign w:val="center"/>
                </w:tcPr>
                <w:p w14:paraId="685BD49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本项目以电为能源</w:t>
                  </w:r>
                  <w:r>
                    <w:rPr>
                      <w:rFonts w:hint="eastAsia" w:ascii="Times New Roman" w:cs="Times New Roman"/>
                      <w:b w:val="0"/>
                      <w:bCs w:val="0"/>
                      <w:sz w:val="21"/>
                      <w:szCs w:val="21"/>
                      <w:vertAlign w:val="baseline"/>
                      <w:lang w:val="en-US" w:eastAsia="zh-CN"/>
                    </w:rPr>
                    <w:t>。</w:t>
                  </w:r>
                </w:p>
              </w:tc>
              <w:tc>
                <w:tcPr>
                  <w:tcW w:w="913" w:type="dxa"/>
                  <w:tcBorders>
                    <w:tl2br w:val="nil"/>
                    <w:tr2bl w:val="nil"/>
                  </w:tcBorders>
                  <w:vAlign w:val="center"/>
                </w:tcPr>
                <w:p w14:paraId="3F2812F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33C7F2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76" w:hRule="atLeast"/>
                <w:jc w:val="center"/>
              </w:trPr>
              <w:tc>
                <w:tcPr>
                  <w:tcW w:w="1246" w:type="dxa"/>
                  <w:gridSpan w:val="2"/>
                  <w:tcBorders>
                    <w:tl2br w:val="nil"/>
                    <w:tr2bl w:val="nil"/>
                  </w:tcBorders>
                  <w:vAlign w:val="center"/>
                </w:tcPr>
                <w:p w14:paraId="4C0B573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生产工艺</w:t>
                  </w:r>
                </w:p>
              </w:tc>
              <w:tc>
                <w:tcPr>
                  <w:tcW w:w="3400" w:type="dxa"/>
                  <w:tcBorders>
                    <w:tl2br w:val="nil"/>
                    <w:tr2bl w:val="nil"/>
                  </w:tcBorders>
                  <w:vAlign w:val="center"/>
                </w:tcPr>
                <w:p w14:paraId="36EE090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不属于《产业结构调整指导目录（ 2019年版）》淘汰类，不属于省级和市级政府部门明确列入已经限期淘汰类项目。</w:t>
                  </w:r>
                </w:p>
              </w:tc>
              <w:tc>
                <w:tcPr>
                  <w:tcW w:w="2009" w:type="dxa"/>
                  <w:tcBorders>
                    <w:tl2br w:val="nil"/>
                    <w:tr2bl w:val="nil"/>
                  </w:tcBorders>
                  <w:vAlign w:val="center"/>
                </w:tcPr>
                <w:p w14:paraId="128556D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本项目不属于《产业结构调整指导目录（2019）年版》淘汰类，不属于省级和市级政府部门明确列入已经限期淘汰类项目</w:t>
                  </w:r>
                  <w:r>
                    <w:rPr>
                      <w:rFonts w:hint="eastAsia" w:ascii="Times New Roman" w:cs="Times New Roman"/>
                      <w:b w:val="0"/>
                      <w:bCs w:val="0"/>
                      <w:sz w:val="21"/>
                      <w:szCs w:val="21"/>
                      <w:vertAlign w:val="baseline"/>
                      <w:lang w:val="en-US" w:eastAsia="zh-CN"/>
                    </w:rPr>
                    <w:t>。</w:t>
                  </w:r>
                </w:p>
              </w:tc>
              <w:tc>
                <w:tcPr>
                  <w:tcW w:w="913" w:type="dxa"/>
                  <w:tcBorders>
                    <w:tl2br w:val="nil"/>
                    <w:tr2bl w:val="nil"/>
                  </w:tcBorders>
                  <w:vAlign w:val="center"/>
                </w:tcPr>
                <w:p w14:paraId="778F977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652000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46" w:type="dxa"/>
                  <w:gridSpan w:val="2"/>
                  <w:tcBorders>
                    <w:tl2br w:val="nil"/>
                    <w:tr2bl w:val="nil"/>
                  </w:tcBorders>
                  <w:vAlign w:val="center"/>
                </w:tcPr>
                <w:p w14:paraId="39FD3D6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污染治理技术</w:t>
                  </w:r>
                </w:p>
              </w:tc>
              <w:tc>
                <w:tcPr>
                  <w:tcW w:w="3400" w:type="dxa"/>
                  <w:tcBorders>
                    <w:tl2br w:val="nil"/>
                    <w:tr2bl w:val="nil"/>
                  </w:tcBorders>
                  <w:vAlign w:val="center"/>
                </w:tcPr>
                <w:p w14:paraId="6DF7574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除尘器采用覆膜滤袋、滤筒等高效除尘技术（设计除尘效率不低于99%）</w:t>
                  </w:r>
                  <w:r>
                    <w:rPr>
                      <w:rFonts w:hint="eastAsia" w:ascii="Times New Roman" w:cs="Times New Roman"/>
                      <w:b w:val="0"/>
                      <w:bCs w:val="0"/>
                      <w:sz w:val="21"/>
                      <w:szCs w:val="21"/>
                      <w:vertAlign w:val="baseline"/>
                      <w:lang w:val="en-US" w:eastAsia="zh-CN"/>
                    </w:rPr>
                    <w:t>。</w:t>
                  </w:r>
                </w:p>
              </w:tc>
              <w:tc>
                <w:tcPr>
                  <w:tcW w:w="2009" w:type="dxa"/>
                  <w:tcBorders>
                    <w:tl2br w:val="nil"/>
                    <w:tr2bl w:val="nil"/>
                  </w:tcBorders>
                  <w:vAlign w:val="center"/>
                </w:tcPr>
                <w:p w14:paraId="69ACEAF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本项目采用高效覆膜袋式除尘器处理，除尘器设计处理效率不低于99%</w:t>
                  </w:r>
                  <w:r>
                    <w:rPr>
                      <w:rFonts w:hint="eastAsia" w:ascii="Times New Roman" w:cs="Times New Roman"/>
                      <w:b w:val="0"/>
                      <w:bCs w:val="0"/>
                      <w:sz w:val="21"/>
                      <w:szCs w:val="21"/>
                      <w:vertAlign w:val="baseline"/>
                      <w:lang w:val="en-US" w:eastAsia="zh-CN"/>
                    </w:rPr>
                    <w:t>。</w:t>
                  </w:r>
                </w:p>
              </w:tc>
              <w:tc>
                <w:tcPr>
                  <w:tcW w:w="913" w:type="dxa"/>
                  <w:tcBorders>
                    <w:tl2br w:val="nil"/>
                    <w:tr2bl w:val="nil"/>
                  </w:tcBorders>
                  <w:vAlign w:val="center"/>
                </w:tcPr>
                <w:p w14:paraId="31C5BEC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304E34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0" w:type="dxa"/>
                  <w:vMerge w:val="restart"/>
                  <w:tcBorders>
                    <w:tl2br w:val="nil"/>
                    <w:tr2bl w:val="nil"/>
                  </w:tcBorders>
                  <w:vAlign w:val="center"/>
                </w:tcPr>
                <w:p w14:paraId="28FE0AE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无组织管控</w:t>
                  </w:r>
                </w:p>
              </w:tc>
              <w:tc>
                <w:tcPr>
                  <w:tcW w:w="726" w:type="dxa"/>
                  <w:tcBorders>
                    <w:tl2br w:val="nil"/>
                    <w:tr2bl w:val="nil"/>
                  </w:tcBorders>
                  <w:vAlign w:val="center"/>
                </w:tcPr>
                <w:p w14:paraId="5FA284C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物料装卸</w:t>
                  </w:r>
                </w:p>
              </w:tc>
              <w:tc>
                <w:tcPr>
                  <w:tcW w:w="3400" w:type="dxa"/>
                  <w:vMerge w:val="restart"/>
                  <w:tcBorders>
                    <w:tl2br w:val="nil"/>
                    <w:tr2bl w:val="nil"/>
                  </w:tcBorders>
                  <w:vAlign w:val="center"/>
                </w:tcPr>
                <w:p w14:paraId="4479AAF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符合河南省通用行业基本</w:t>
                  </w:r>
                </w:p>
                <w:p w14:paraId="37B1BA5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要求</w:t>
                  </w:r>
                  <w:r>
                    <w:rPr>
                      <w:rFonts w:hint="eastAsia" w:ascii="Times New Roman" w:cs="Times New Roman"/>
                      <w:b w:val="0"/>
                      <w:bCs w:val="0"/>
                      <w:sz w:val="21"/>
                      <w:szCs w:val="21"/>
                      <w:vertAlign w:val="baseline"/>
                      <w:lang w:val="en-US" w:eastAsia="zh-CN"/>
                    </w:rPr>
                    <w:t>。</w:t>
                  </w:r>
                </w:p>
              </w:tc>
              <w:tc>
                <w:tcPr>
                  <w:tcW w:w="2009" w:type="dxa"/>
                  <w:vMerge w:val="restart"/>
                  <w:tcBorders>
                    <w:tl2br w:val="nil"/>
                    <w:tr2bl w:val="nil"/>
                  </w:tcBorders>
                  <w:vAlign w:val="center"/>
                </w:tcPr>
                <w:p w14:paraId="2182CA0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项目符合河南省通用行业基本要求</w:t>
                  </w:r>
                  <w:r>
                    <w:rPr>
                      <w:rFonts w:hint="eastAsia" w:ascii="Times New Roman" w:cs="Times New Roman"/>
                      <w:b w:val="0"/>
                      <w:bCs w:val="0"/>
                      <w:sz w:val="21"/>
                      <w:szCs w:val="21"/>
                      <w:vertAlign w:val="baseline"/>
                      <w:lang w:val="en-US" w:eastAsia="zh-CN"/>
                    </w:rPr>
                    <w:t>。</w:t>
                  </w:r>
                </w:p>
              </w:tc>
              <w:tc>
                <w:tcPr>
                  <w:tcW w:w="913" w:type="dxa"/>
                  <w:vMerge w:val="restart"/>
                  <w:tcBorders>
                    <w:tl2br w:val="nil"/>
                    <w:tr2bl w:val="nil"/>
                  </w:tcBorders>
                  <w:vAlign w:val="center"/>
                </w:tcPr>
                <w:p w14:paraId="4622CEB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02D15C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20" w:type="dxa"/>
                  <w:vMerge w:val="continue"/>
                  <w:tcBorders>
                    <w:tl2br w:val="nil"/>
                    <w:tr2bl w:val="nil"/>
                  </w:tcBorders>
                  <w:vAlign w:val="center"/>
                </w:tcPr>
                <w:p w14:paraId="584735A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726" w:type="dxa"/>
                  <w:tcBorders>
                    <w:tl2br w:val="nil"/>
                    <w:tr2bl w:val="nil"/>
                  </w:tcBorders>
                  <w:vAlign w:val="center"/>
                </w:tcPr>
                <w:p w14:paraId="58F72FC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物料储存</w:t>
                  </w:r>
                </w:p>
              </w:tc>
              <w:tc>
                <w:tcPr>
                  <w:tcW w:w="3400" w:type="dxa"/>
                  <w:vMerge w:val="continue"/>
                  <w:tcBorders>
                    <w:tl2br w:val="nil"/>
                    <w:tr2bl w:val="nil"/>
                  </w:tcBorders>
                  <w:vAlign w:val="center"/>
                </w:tcPr>
                <w:p w14:paraId="18C8AC8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2009" w:type="dxa"/>
                  <w:vMerge w:val="continue"/>
                  <w:tcBorders>
                    <w:tl2br w:val="nil"/>
                    <w:tr2bl w:val="nil"/>
                  </w:tcBorders>
                  <w:vAlign w:val="center"/>
                </w:tcPr>
                <w:p w14:paraId="45CD901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913" w:type="dxa"/>
                  <w:vMerge w:val="continue"/>
                  <w:tcBorders>
                    <w:tl2br w:val="nil"/>
                    <w:tr2bl w:val="nil"/>
                  </w:tcBorders>
                </w:tcPr>
                <w:p w14:paraId="4A43D0A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r>
            <w:tr w14:paraId="40E001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jc w:val="center"/>
              </w:trPr>
              <w:tc>
                <w:tcPr>
                  <w:tcW w:w="520" w:type="dxa"/>
                  <w:vMerge w:val="continue"/>
                  <w:tcBorders>
                    <w:tl2br w:val="nil"/>
                    <w:tr2bl w:val="nil"/>
                  </w:tcBorders>
                  <w:vAlign w:val="center"/>
                </w:tcPr>
                <w:p w14:paraId="2B7AEC4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726" w:type="dxa"/>
                  <w:tcBorders>
                    <w:tl2br w:val="nil"/>
                    <w:tr2bl w:val="nil"/>
                  </w:tcBorders>
                  <w:vAlign w:val="center"/>
                </w:tcPr>
                <w:p w14:paraId="769E909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物料转移和输送</w:t>
                  </w:r>
                </w:p>
              </w:tc>
              <w:tc>
                <w:tcPr>
                  <w:tcW w:w="3400" w:type="dxa"/>
                  <w:vMerge w:val="continue"/>
                  <w:tcBorders>
                    <w:tl2br w:val="nil"/>
                    <w:tr2bl w:val="nil"/>
                  </w:tcBorders>
                  <w:vAlign w:val="center"/>
                </w:tcPr>
                <w:p w14:paraId="63A011B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2009" w:type="dxa"/>
                  <w:vMerge w:val="continue"/>
                  <w:tcBorders>
                    <w:tl2br w:val="nil"/>
                    <w:tr2bl w:val="nil"/>
                  </w:tcBorders>
                  <w:vAlign w:val="center"/>
                </w:tcPr>
                <w:p w14:paraId="09EFD23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913" w:type="dxa"/>
                  <w:vMerge w:val="continue"/>
                  <w:tcBorders>
                    <w:tl2br w:val="nil"/>
                    <w:tr2bl w:val="nil"/>
                  </w:tcBorders>
                </w:tcPr>
                <w:p w14:paraId="0959255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r>
            <w:tr w14:paraId="031C0D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20" w:type="dxa"/>
                  <w:vMerge w:val="continue"/>
                  <w:tcBorders>
                    <w:tl2br w:val="nil"/>
                    <w:tr2bl w:val="nil"/>
                  </w:tcBorders>
                  <w:vAlign w:val="center"/>
                </w:tcPr>
                <w:p w14:paraId="193A35E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726" w:type="dxa"/>
                  <w:tcBorders>
                    <w:tl2br w:val="nil"/>
                    <w:tr2bl w:val="nil"/>
                  </w:tcBorders>
                  <w:vAlign w:val="center"/>
                </w:tcPr>
                <w:p w14:paraId="57F5657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成品包装</w:t>
                  </w:r>
                </w:p>
              </w:tc>
              <w:tc>
                <w:tcPr>
                  <w:tcW w:w="3400" w:type="dxa"/>
                  <w:vMerge w:val="continue"/>
                  <w:tcBorders>
                    <w:tl2br w:val="nil"/>
                    <w:tr2bl w:val="nil"/>
                  </w:tcBorders>
                  <w:vAlign w:val="center"/>
                </w:tcPr>
                <w:p w14:paraId="35E92A1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2009" w:type="dxa"/>
                  <w:vMerge w:val="continue"/>
                  <w:tcBorders>
                    <w:tl2br w:val="nil"/>
                    <w:tr2bl w:val="nil"/>
                  </w:tcBorders>
                  <w:vAlign w:val="center"/>
                </w:tcPr>
                <w:p w14:paraId="6ED650C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913" w:type="dxa"/>
                  <w:vMerge w:val="continue"/>
                  <w:tcBorders>
                    <w:tl2br w:val="nil"/>
                    <w:tr2bl w:val="nil"/>
                  </w:tcBorders>
                </w:tcPr>
                <w:p w14:paraId="3A8E151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r>
            <w:tr w14:paraId="08A96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2" w:hRule="atLeast"/>
                <w:jc w:val="center"/>
              </w:trPr>
              <w:tc>
                <w:tcPr>
                  <w:tcW w:w="520" w:type="dxa"/>
                  <w:vMerge w:val="continue"/>
                  <w:tcBorders>
                    <w:tl2br w:val="nil"/>
                    <w:tr2bl w:val="nil"/>
                  </w:tcBorders>
                  <w:vAlign w:val="center"/>
                </w:tcPr>
                <w:p w14:paraId="3F92D36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726" w:type="dxa"/>
                  <w:tcBorders>
                    <w:tl2br w:val="nil"/>
                    <w:tr2bl w:val="nil"/>
                  </w:tcBorders>
                  <w:vAlign w:val="center"/>
                </w:tcPr>
                <w:p w14:paraId="794C633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工艺过程</w:t>
                  </w:r>
                </w:p>
              </w:tc>
              <w:tc>
                <w:tcPr>
                  <w:tcW w:w="3400" w:type="dxa"/>
                  <w:vMerge w:val="continue"/>
                  <w:tcBorders>
                    <w:tl2br w:val="nil"/>
                    <w:tr2bl w:val="nil"/>
                  </w:tcBorders>
                  <w:vAlign w:val="center"/>
                </w:tcPr>
                <w:p w14:paraId="0D7A4A4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2009" w:type="dxa"/>
                  <w:vMerge w:val="continue"/>
                  <w:tcBorders>
                    <w:tl2br w:val="nil"/>
                    <w:tr2bl w:val="nil"/>
                  </w:tcBorders>
                  <w:vAlign w:val="center"/>
                </w:tcPr>
                <w:p w14:paraId="3F0E2A9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913" w:type="dxa"/>
                  <w:vMerge w:val="continue"/>
                  <w:tcBorders>
                    <w:tl2br w:val="nil"/>
                    <w:tr2bl w:val="nil"/>
                  </w:tcBorders>
                </w:tcPr>
                <w:p w14:paraId="6F6C610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r>
            <w:tr w14:paraId="462C5E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520" w:type="dxa"/>
                  <w:vMerge w:val="continue"/>
                  <w:tcBorders>
                    <w:tl2br w:val="nil"/>
                    <w:tr2bl w:val="nil"/>
                  </w:tcBorders>
                  <w:vAlign w:val="center"/>
                </w:tcPr>
                <w:p w14:paraId="4A1828A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726" w:type="dxa"/>
                  <w:tcBorders>
                    <w:tl2br w:val="nil"/>
                    <w:tr2bl w:val="nil"/>
                  </w:tcBorders>
                  <w:vAlign w:val="center"/>
                </w:tcPr>
                <w:p w14:paraId="510484A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厂容厂貌</w:t>
                  </w:r>
                </w:p>
              </w:tc>
              <w:tc>
                <w:tcPr>
                  <w:tcW w:w="3400" w:type="dxa"/>
                  <w:tcBorders>
                    <w:tl2br w:val="nil"/>
                    <w:tr2bl w:val="nil"/>
                  </w:tcBorders>
                  <w:vAlign w:val="center"/>
                </w:tcPr>
                <w:p w14:paraId="6E31EA9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厂区内道路、原辅材料和燃料堆场等路面硬化。厂区内道路采取定期清扫、洒水等措施，保持清洁，路面无明显可见积尘。其他未利用地优先绿化，或进行硬化，无成片裸露土地。</w:t>
                  </w:r>
                </w:p>
              </w:tc>
              <w:tc>
                <w:tcPr>
                  <w:tcW w:w="2009" w:type="dxa"/>
                  <w:tcBorders>
                    <w:tl2br w:val="nil"/>
                    <w:tr2bl w:val="nil"/>
                  </w:tcBorders>
                  <w:vAlign w:val="center"/>
                </w:tcPr>
                <w:p w14:paraId="4DADA43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本项目厂区地面均采取绿化或硬化，无成片裸露土地。</w:t>
                  </w:r>
                </w:p>
              </w:tc>
              <w:tc>
                <w:tcPr>
                  <w:tcW w:w="913" w:type="dxa"/>
                  <w:vMerge w:val="continue"/>
                  <w:tcBorders>
                    <w:tl2br w:val="nil"/>
                    <w:tr2bl w:val="nil"/>
                  </w:tcBorders>
                </w:tcPr>
                <w:p w14:paraId="21128C0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r>
            <w:tr w14:paraId="222EB3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2" w:hRule="atLeast"/>
                <w:jc w:val="center"/>
              </w:trPr>
              <w:tc>
                <w:tcPr>
                  <w:tcW w:w="1246" w:type="dxa"/>
                  <w:gridSpan w:val="2"/>
                  <w:tcBorders>
                    <w:tl2br w:val="nil"/>
                    <w:tr2bl w:val="nil"/>
                  </w:tcBorders>
                  <w:vAlign w:val="center"/>
                </w:tcPr>
                <w:p w14:paraId="4179865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排放限值</w:t>
                  </w:r>
                </w:p>
              </w:tc>
              <w:tc>
                <w:tcPr>
                  <w:tcW w:w="3400" w:type="dxa"/>
                  <w:tcBorders>
                    <w:tl2br w:val="nil"/>
                    <w:tr2bl w:val="nil"/>
                  </w:tcBorders>
                  <w:vAlign w:val="center"/>
                </w:tcPr>
                <w:p w14:paraId="34825EA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1.PM排放浓度不高于10mg/m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w:t>
                  </w:r>
                </w:p>
                <w:p w14:paraId="1A053B6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2.其他特定污染物符合所属行业相关排放要求。</w:t>
                  </w:r>
                </w:p>
              </w:tc>
              <w:tc>
                <w:tcPr>
                  <w:tcW w:w="2009" w:type="dxa"/>
                  <w:tcBorders>
                    <w:tl2br w:val="nil"/>
                    <w:tr2bl w:val="nil"/>
                  </w:tcBorders>
                  <w:vAlign w:val="center"/>
                </w:tcPr>
                <w:p w14:paraId="0E7C52E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本项目废气均得到合理处置，颗粒物排放可以达到“</w:t>
                  </w:r>
                  <w:bookmarkStart w:id="2" w:name="OLE_LINK13"/>
                  <w:r>
                    <w:rPr>
                      <w:rFonts w:hint="eastAsia" w:ascii="Times New Roman" w:hAnsi="Times New Roman" w:cs="Times New Roman"/>
                      <w:b w:val="0"/>
                      <w:bCs w:val="0"/>
                      <w:sz w:val="21"/>
                      <w:szCs w:val="21"/>
                      <w:vertAlign w:val="baseline"/>
                      <w:lang w:val="en-US" w:eastAsia="zh-CN"/>
                    </w:rPr>
                    <w:t>PM排放浓度不高于10mg/m</w:t>
                  </w:r>
                  <w:r>
                    <w:rPr>
                      <w:rFonts w:hint="eastAsia" w:ascii="Times New Roman" w:hAnsi="Times New Roman" w:cs="Times New Roman"/>
                      <w:b w:val="0"/>
                      <w:bCs w:val="0"/>
                      <w:sz w:val="21"/>
                      <w:szCs w:val="21"/>
                      <w:vertAlign w:val="superscript"/>
                      <w:lang w:val="en-US" w:eastAsia="zh-CN"/>
                    </w:rPr>
                    <w:t>3</w:t>
                  </w:r>
                  <w:bookmarkEnd w:id="2"/>
                  <w:r>
                    <w:rPr>
                      <w:rFonts w:hint="eastAsia" w:ascii="Times New Roman" w:hAnsi="Times New Roman" w:cs="Times New Roman"/>
                      <w:b w:val="0"/>
                      <w:bCs w:val="0"/>
                      <w:sz w:val="21"/>
                      <w:szCs w:val="21"/>
                      <w:vertAlign w:val="baseline"/>
                      <w:lang w:val="en-US" w:eastAsia="zh-CN"/>
                    </w:rPr>
                    <w:t>”；本项目不涉及其他特定污染物。</w:t>
                  </w:r>
                </w:p>
              </w:tc>
              <w:tc>
                <w:tcPr>
                  <w:tcW w:w="913" w:type="dxa"/>
                  <w:tcBorders>
                    <w:tl2br w:val="nil"/>
                    <w:tr2bl w:val="nil"/>
                  </w:tcBorders>
                  <w:vAlign w:val="center"/>
                </w:tcPr>
                <w:p w14:paraId="3FEF143A">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287EB1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gridSpan w:val="2"/>
                  <w:tcBorders>
                    <w:tl2br w:val="nil"/>
                    <w:tr2bl w:val="nil"/>
                  </w:tcBorders>
                  <w:vAlign w:val="center"/>
                </w:tcPr>
                <w:p w14:paraId="207EFBD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监测监控要求</w:t>
                  </w:r>
                </w:p>
              </w:tc>
              <w:tc>
                <w:tcPr>
                  <w:tcW w:w="3400" w:type="dxa"/>
                  <w:tcBorders>
                    <w:tl2br w:val="nil"/>
                    <w:tr2bl w:val="nil"/>
                  </w:tcBorders>
                  <w:vAlign w:val="center"/>
                </w:tcPr>
                <w:p w14:paraId="1E9BF7F3">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1.重点排污单位按照生态环境部门要求安装烟气排放自动监控设施（CEMS），并按要求联网；</w:t>
                  </w:r>
                </w:p>
                <w:p w14:paraId="7F2CBF46">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2.有组织排放口按照排污许可证要求开展自行监测；</w:t>
                  </w:r>
                </w:p>
                <w:p w14:paraId="07B7BA94">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3.主要涉气生产工序、生产装置及污染治理设施，按生态环境部门要求安装用电监管设备，用电监管设备与省、市生态环境部门用电监管平台联网；</w:t>
                  </w:r>
                </w:p>
                <w:p w14:paraId="724ADCC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4.未安装在线监控和用电监管企业，应在主要生产设备（投料口、卸料口等位置）安装视频监控设施，</w:t>
                  </w:r>
                </w:p>
                <w:p w14:paraId="2521AFE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相关数据可保存三个月以上。</w:t>
                  </w:r>
                </w:p>
              </w:tc>
              <w:tc>
                <w:tcPr>
                  <w:tcW w:w="2009" w:type="dxa"/>
                  <w:tcBorders>
                    <w:tl2br w:val="nil"/>
                    <w:tr2bl w:val="nil"/>
                  </w:tcBorders>
                  <w:vAlign w:val="center"/>
                </w:tcPr>
                <w:p w14:paraId="4A4EF8E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本项目建设单位不属于重点排污单位；本项目要求企业对有组织排放口按照排污许可证要求开展自行监测；本项目设置视频监控，相关数据可保存三个月以上。</w:t>
                  </w:r>
                </w:p>
              </w:tc>
              <w:tc>
                <w:tcPr>
                  <w:tcW w:w="913" w:type="dxa"/>
                  <w:tcBorders>
                    <w:tl2br w:val="nil"/>
                    <w:tr2bl w:val="nil"/>
                  </w:tcBorders>
                  <w:vAlign w:val="center"/>
                </w:tcPr>
                <w:p w14:paraId="615D677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19AA2D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4" w:hRule="atLeast"/>
                <w:jc w:val="center"/>
              </w:trPr>
              <w:tc>
                <w:tcPr>
                  <w:tcW w:w="520" w:type="dxa"/>
                  <w:vMerge w:val="restart"/>
                  <w:tcBorders>
                    <w:tl2br w:val="nil"/>
                    <w:tr2bl w:val="nil"/>
                  </w:tcBorders>
                  <w:vAlign w:val="center"/>
                </w:tcPr>
                <w:p w14:paraId="242834B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环境管理水平</w:t>
                  </w:r>
                </w:p>
              </w:tc>
              <w:tc>
                <w:tcPr>
                  <w:tcW w:w="726" w:type="dxa"/>
                  <w:tcBorders>
                    <w:tl2br w:val="nil"/>
                    <w:tr2bl w:val="nil"/>
                  </w:tcBorders>
                  <w:vAlign w:val="center"/>
                </w:tcPr>
                <w:p w14:paraId="3960888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环保档案</w:t>
                  </w:r>
                </w:p>
              </w:tc>
              <w:tc>
                <w:tcPr>
                  <w:tcW w:w="3400" w:type="dxa"/>
                  <w:tcBorders>
                    <w:tl2br w:val="nil"/>
                    <w:tr2bl w:val="nil"/>
                  </w:tcBorders>
                  <w:vAlign w:val="center"/>
                </w:tcPr>
                <w:p w14:paraId="7CCF8DA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1.环评批复文件和竣工环保验收文件或环境现状评估备案证明；</w:t>
                  </w:r>
                </w:p>
                <w:p w14:paraId="1F0CDE0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2.国家版排污许可证；</w:t>
                  </w:r>
                </w:p>
                <w:p w14:paraId="1D9F948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3.环境管理制度（有组织、无组织排放长效管理机制，主要包括岗位责任制度、标公示制度和定期巡查维护制度等）；</w:t>
                  </w:r>
                </w:p>
                <w:p w14:paraId="5171EF0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4.废气治理设施运行管理规程；</w:t>
                  </w:r>
                </w:p>
                <w:p w14:paraId="4D99325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5.一年内废气监测报告（符合排污许可证监测项目及频次要求）。</w:t>
                  </w:r>
                </w:p>
              </w:tc>
              <w:tc>
                <w:tcPr>
                  <w:tcW w:w="2009" w:type="dxa"/>
                  <w:vMerge w:val="restart"/>
                  <w:tcBorders>
                    <w:tl2br w:val="nil"/>
                    <w:tr2bl w:val="nil"/>
                  </w:tcBorders>
                  <w:vAlign w:val="center"/>
                </w:tcPr>
                <w:p w14:paraId="3095CE4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本项目建设完成后将按要求完善环保档案、记录台账，保证相关资料齐全。</w:t>
                  </w:r>
                </w:p>
              </w:tc>
              <w:tc>
                <w:tcPr>
                  <w:tcW w:w="913" w:type="dxa"/>
                  <w:vMerge w:val="restart"/>
                  <w:tcBorders>
                    <w:tl2br w:val="nil"/>
                    <w:tr2bl w:val="nil"/>
                  </w:tcBorders>
                  <w:vAlign w:val="center"/>
                </w:tcPr>
                <w:p w14:paraId="0326A0E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6D72B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2" w:hRule="atLeast"/>
                <w:jc w:val="center"/>
              </w:trPr>
              <w:tc>
                <w:tcPr>
                  <w:tcW w:w="520" w:type="dxa"/>
                  <w:vMerge w:val="continue"/>
                  <w:tcBorders>
                    <w:tl2br w:val="nil"/>
                    <w:tr2bl w:val="nil"/>
                  </w:tcBorders>
                  <w:vAlign w:val="center"/>
                </w:tcPr>
                <w:p w14:paraId="36CEB95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726" w:type="dxa"/>
                  <w:tcBorders>
                    <w:tl2br w:val="nil"/>
                    <w:tr2bl w:val="nil"/>
                  </w:tcBorders>
                  <w:vAlign w:val="center"/>
                </w:tcPr>
                <w:p w14:paraId="00528455">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台账记录</w:t>
                  </w:r>
                </w:p>
              </w:tc>
              <w:tc>
                <w:tcPr>
                  <w:tcW w:w="3400" w:type="dxa"/>
                  <w:tcBorders>
                    <w:tl2br w:val="nil"/>
                    <w:tr2bl w:val="nil"/>
                  </w:tcBorders>
                  <w:vAlign w:val="center"/>
                </w:tcPr>
                <w:p w14:paraId="3A13C7E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1.生产设施运行管理信息（生产时间、运行负荷、产品产量等）；</w:t>
                  </w:r>
                </w:p>
                <w:p w14:paraId="3C40B69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2.废气污染治理设施运行管理信</w:t>
                  </w:r>
                </w:p>
                <w:p w14:paraId="5ECFC6E7">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息；</w:t>
                  </w:r>
                </w:p>
                <w:p w14:paraId="2AF99129">
                  <w:pPr>
                    <w:pStyle w:val="75"/>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监测记录信息（主要污染排放</w:t>
                  </w:r>
                </w:p>
                <w:p w14:paraId="7AE232B2">
                  <w:pPr>
                    <w:pStyle w:val="7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口废气排放记录等）；</w:t>
                  </w:r>
                </w:p>
                <w:p w14:paraId="6847517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4.主要原辅材料消耗记录；</w:t>
                  </w:r>
                </w:p>
                <w:p w14:paraId="1CE2B4E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5.燃料消耗记录；</w:t>
                  </w:r>
                </w:p>
                <w:p w14:paraId="62FD480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6.固废、危废处理记录；</w:t>
                  </w:r>
                </w:p>
                <w:p w14:paraId="22BCACA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7.运输车辆、厂内车辆、非道路移动机械电子台账(进出场时间、车辆或非道路移动机械信息、运送货物名称及运量等)。</w:t>
                  </w:r>
                </w:p>
              </w:tc>
              <w:tc>
                <w:tcPr>
                  <w:tcW w:w="2009" w:type="dxa"/>
                  <w:vMerge w:val="continue"/>
                  <w:tcBorders>
                    <w:tl2br w:val="nil"/>
                    <w:tr2bl w:val="nil"/>
                  </w:tcBorders>
                  <w:vAlign w:val="center"/>
                </w:tcPr>
                <w:p w14:paraId="5062D2A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913" w:type="dxa"/>
                  <w:vMerge w:val="continue"/>
                  <w:tcBorders>
                    <w:tl2br w:val="nil"/>
                    <w:tr2bl w:val="nil"/>
                  </w:tcBorders>
                  <w:vAlign w:val="center"/>
                </w:tcPr>
                <w:p w14:paraId="7E28674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r>
            <w:tr w14:paraId="51F71A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2" w:hRule="atLeast"/>
                <w:jc w:val="center"/>
              </w:trPr>
              <w:tc>
                <w:tcPr>
                  <w:tcW w:w="520" w:type="dxa"/>
                  <w:vMerge w:val="continue"/>
                  <w:tcBorders>
                    <w:tl2br w:val="nil"/>
                    <w:tr2bl w:val="nil"/>
                  </w:tcBorders>
                  <w:vAlign w:val="center"/>
                </w:tcPr>
                <w:p w14:paraId="56D45DA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c>
                <w:tcPr>
                  <w:tcW w:w="726" w:type="dxa"/>
                  <w:tcBorders>
                    <w:tl2br w:val="nil"/>
                    <w:tr2bl w:val="nil"/>
                  </w:tcBorders>
                  <w:vAlign w:val="center"/>
                </w:tcPr>
                <w:p w14:paraId="093F9A9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人员配置</w:t>
                  </w:r>
                </w:p>
              </w:tc>
              <w:tc>
                <w:tcPr>
                  <w:tcW w:w="3400" w:type="dxa"/>
                  <w:tcBorders>
                    <w:tl2br w:val="nil"/>
                    <w:tr2bl w:val="nil"/>
                  </w:tcBorders>
                  <w:vAlign w:val="center"/>
                </w:tcPr>
                <w:p w14:paraId="29757E6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配备专职环保人员，并具备相应的环境管理能力（学历、培训、从业经验等）。</w:t>
                  </w:r>
                </w:p>
              </w:tc>
              <w:tc>
                <w:tcPr>
                  <w:tcW w:w="2009" w:type="dxa"/>
                  <w:tcBorders>
                    <w:tl2br w:val="nil"/>
                    <w:tr2bl w:val="nil"/>
                  </w:tcBorders>
                  <w:vAlign w:val="center"/>
                </w:tcPr>
                <w:p w14:paraId="332DB35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项目建成后，配备专职环保人员，并具备相应的环境管理能力。</w:t>
                  </w:r>
                </w:p>
              </w:tc>
              <w:tc>
                <w:tcPr>
                  <w:tcW w:w="913" w:type="dxa"/>
                  <w:vMerge w:val="continue"/>
                  <w:tcBorders>
                    <w:tl2br w:val="nil"/>
                    <w:tr2bl w:val="nil"/>
                  </w:tcBorders>
                  <w:vAlign w:val="center"/>
                </w:tcPr>
                <w:p w14:paraId="13F9D630">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p>
              </w:tc>
            </w:tr>
            <w:tr w14:paraId="064053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46" w:type="dxa"/>
                  <w:gridSpan w:val="2"/>
                  <w:tcBorders>
                    <w:tl2br w:val="nil"/>
                    <w:tr2bl w:val="nil"/>
                  </w:tcBorders>
                  <w:vAlign w:val="center"/>
                </w:tcPr>
                <w:p w14:paraId="348B5554">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运输方式</w:t>
                  </w:r>
                </w:p>
              </w:tc>
              <w:tc>
                <w:tcPr>
                  <w:tcW w:w="3400" w:type="dxa"/>
                  <w:tcBorders>
                    <w:tl2br w:val="nil"/>
                    <w:tr2bl w:val="nil"/>
                  </w:tcBorders>
                  <w:vAlign w:val="center"/>
                </w:tcPr>
                <w:p w14:paraId="0D2377E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物料、产品公路运输全部使用国五及以上排放标准车辆的重型载货车辆（重型燃气车辆重型燃气车辆达到国六排放标准）或新能源车辆；</w:t>
                  </w:r>
                </w:p>
                <w:p w14:paraId="41ABF92C">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2.厂区车辆全部达国五及以上排放标准（重型燃气车辆达到国六排放标准）或使用新能源车辆；</w:t>
                  </w:r>
                </w:p>
                <w:p w14:paraId="364274C8">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3.厂内非道路移动机械达到国三及以上排放标准或使用新能源机械。</w:t>
                  </w:r>
                </w:p>
              </w:tc>
              <w:tc>
                <w:tcPr>
                  <w:tcW w:w="2009" w:type="dxa"/>
                  <w:tcBorders>
                    <w:tl2br w:val="nil"/>
                    <w:tr2bl w:val="nil"/>
                  </w:tcBorders>
                  <w:vAlign w:val="center"/>
                </w:tcPr>
                <w:p w14:paraId="16A1830E">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投产运行后，物料、产品公路运输全部使用国五及以上排放标准车辆的重型载货车辆；厂区车辆全部达国五及以上排放标准或使用新能源车辆。</w:t>
                  </w:r>
                </w:p>
              </w:tc>
              <w:tc>
                <w:tcPr>
                  <w:tcW w:w="913" w:type="dxa"/>
                  <w:tcBorders>
                    <w:tl2br w:val="nil"/>
                    <w:tr2bl w:val="nil"/>
                  </w:tcBorders>
                  <w:vAlign w:val="center"/>
                </w:tcPr>
                <w:p w14:paraId="21FF6D42">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r w14:paraId="683E2A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46" w:type="dxa"/>
                  <w:gridSpan w:val="2"/>
                  <w:tcBorders>
                    <w:tl2br w:val="nil"/>
                    <w:tr2bl w:val="nil"/>
                  </w:tcBorders>
                  <w:vAlign w:val="center"/>
                </w:tcPr>
                <w:p w14:paraId="5251A2E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运输监管</w:t>
                  </w:r>
                </w:p>
              </w:tc>
              <w:tc>
                <w:tcPr>
                  <w:tcW w:w="3400" w:type="dxa"/>
                  <w:tcBorders>
                    <w:tl2br w:val="nil"/>
                    <w:tr2bl w:val="nil"/>
                  </w:tcBorders>
                  <w:vAlign w:val="center"/>
                </w:tcPr>
                <w:p w14:paraId="436C555B">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日均进出货物150吨（或载货车辆日进出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电子台账。</w:t>
                  </w:r>
                </w:p>
              </w:tc>
              <w:tc>
                <w:tcPr>
                  <w:tcW w:w="2009" w:type="dxa"/>
                  <w:tcBorders>
                    <w:tl2br w:val="nil"/>
                    <w:tr2bl w:val="nil"/>
                  </w:tcBorders>
                  <w:vAlign w:val="center"/>
                </w:tcPr>
                <w:p w14:paraId="2BEA96BD">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本项目日均进出货物小于150吨，按要求建立电子台账。</w:t>
                  </w:r>
                </w:p>
              </w:tc>
              <w:tc>
                <w:tcPr>
                  <w:tcW w:w="913" w:type="dxa"/>
                  <w:tcBorders>
                    <w:tl2br w:val="nil"/>
                    <w:tr2bl w:val="nil"/>
                  </w:tcBorders>
                  <w:vAlign w:val="center"/>
                </w:tcPr>
                <w:p w14:paraId="7E9EBD2F">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符合</w:t>
                  </w:r>
                </w:p>
              </w:tc>
            </w:tr>
          </w:tbl>
          <w:p w14:paraId="52E8B356">
            <w:pPr>
              <w:pStyle w:val="63"/>
              <w:ind w:firstLine="480"/>
              <w:rPr>
                <w:rFonts w:hint="default"/>
                <w:u w:val="none"/>
                <w:lang w:val="en-US" w:eastAsia="zh-CN"/>
              </w:rPr>
            </w:pPr>
            <w:r>
              <w:rPr>
                <w:rFonts w:hint="eastAsia" w:ascii="宋体" w:hAnsi="宋体" w:eastAsia="宋体" w:cs="宋体"/>
                <w:u w:val="none"/>
              </w:rPr>
              <w:t>根据以上分析，本项目符合《洛阳市重污染天气通用行业差异化应急减排措施制定技术指南》（洛市环</w:t>
            </w:r>
            <w:r>
              <w:rPr>
                <w:u w:val="none"/>
              </w:rPr>
              <w:t>[2021]47</w:t>
            </w:r>
            <w:r>
              <w:rPr>
                <w:rFonts w:hint="eastAsia" w:ascii="宋体" w:hAnsi="宋体" w:eastAsia="宋体" w:cs="宋体"/>
                <w:u w:val="none"/>
              </w:rPr>
              <w:t>号）中通用行业涉颗粒物企业要求。</w:t>
            </w:r>
          </w:p>
          <w:p w14:paraId="354104FA">
            <w:pPr>
              <w:pStyle w:val="8"/>
              <w:numPr>
                <w:ilvl w:val="0"/>
                <w:numId w:val="0"/>
              </w:numPr>
              <w:spacing w:before="120" w:beforeLines="50" w:after="0" w:line="360" w:lineRule="auto"/>
              <w:ind w:firstLine="482" w:firstLineChars="200"/>
              <w:rPr>
                <w:rFonts w:hint="eastAsia" w:cs="Times New Roman"/>
                <w:b w:val="0"/>
                <w:bCs w:val="0"/>
                <w:color w:val="000000"/>
                <w:kern w:val="2"/>
                <w:sz w:val="24"/>
                <w:szCs w:val="24"/>
                <w:u w:val="none"/>
                <w:lang w:val="en-US" w:eastAsia="zh-CN" w:bidi="ar-SA"/>
              </w:rPr>
            </w:pPr>
            <w:r>
              <w:rPr>
                <w:rFonts w:hint="eastAsia" w:cs="Times New Roman"/>
                <w:b/>
                <w:bCs/>
                <w:color w:val="000000"/>
                <w:kern w:val="2"/>
                <w:sz w:val="24"/>
                <w:szCs w:val="24"/>
                <w:u w:val="none"/>
                <w:lang w:val="en-US" w:eastAsia="zh-CN" w:bidi="ar-SA"/>
              </w:rPr>
              <w:t>1.8与《洛阳市人民政府关于印发洛阳市“十四五”生态环境保护和生态经济发展规划的通知》（洛政〔2022〕32 号）相符性分析</w:t>
            </w:r>
            <w:r>
              <w:rPr>
                <w:rFonts w:hint="eastAsia" w:cs="Times New Roman"/>
                <w:b/>
                <w:bCs/>
                <w:color w:val="000000"/>
                <w:kern w:val="2"/>
                <w:sz w:val="24"/>
                <w:szCs w:val="24"/>
                <w:u w:val="none"/>
                <w:lang w:val="en-US" w:eastAsia="zh-CN" w:bidi="ar-SA"/>
              </w:rPr>
              <w:br w:type="textWrapping"/>
            </w:r>
            <w:r>
              <w:rPr>
                <w:rFonts w:hint="eastAsia" w:cs="Times New Roman"/>
                <w:b/>
                <w:bCs/>
                <w:color w:val="000000"/>
                <w:kern w:val="2"/>
                <w:sz w:val="24"/>
                <w:szCs w:val="24"/>
                <w:u w:val="none"/>
                <w:lang w:val="en-US" w:eastAsia="zh-CN" w:bidi="ar-SA"/>
              </w:rPr>
              <w:t xml:space="preserve">       </w:t>
            </w:r>
            <w:r>
              <w:rPr>
                <w:rFonts w:hint="eastAsia" w:ascii="黑体" w:hAnsi="黑体" w:eastAsia="黑体" w:cs="黑体"/>
                <w:b w:val="0"/>
                <w:bCs w:val="0"/>
                <w:snapToGrid/>
                <w:kern w:val="2"/>
                <w:sz w:val="24"/>
                <w:szCs w:val="21"/>
                <w:u w:val="none"/>
                <w:lang w:val="en-US" w:eastAsia="zh-CN" w:bidi="ar-SA"/>
              </w:rPr>
              <w:t>表1-6 与本项目与洛政〔2022〕32 号文件相符性分析</w:t>
            </w:r>
          </w:p>
          <w:tbl>
            <w:tblPr>
              <w:tblStyle w:val="32"/>
              <w:tblW w:w="7553"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228"/>
              <w:gridCol w:w="1425"/>
              <w:gridCol w:w="900"/>
            </w:tblGrid>
            <w:tr w14:paraId="6BFB65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7920E403">
                  <w:pPr>
                    <w:pStyle w:val="103"/>
                    <w:bidi w:val="0"/>
                    <w:rPr>
                      <w:rFonts w:hint="default"/>
                      <w:lang w:val="en-US" w:eastAsia="zh-CN"/>
                    </w:rPr>
                  </w:pPr>
                  <w:r>
                    <w:rPr>
                      <w:rFonts w:hint="eastAsia"/>
                      <w:lang w:val="en-US" w:eastAsia="zh-CN"/>
                    </w:rPr>
                    <w:t>文件要求</w:t>
                  </w:r>
                </w:p>
              </w:tc>
              <w:tc>
                <w:tcPr>
                  <w:tcW w:w="1425" w:type="dxa"/>
                  <w:tcBorders>
                    <w:tl2br w:val="nil"/>
                    <w:tr2bl w:val="nil"/>
                  </w:tcBorders>
                </w:tcPr>
                <w:p w14:paraId="42510FB5">
                  <w:pPr>
                    <w:pStyle w:val="103"/>
                    <w:bidi w:val="0"/>
                    <w:rPr>
                      <w:rFonts w:hint="default"/>
                      <w:lang w:val="en-US" w:eastAsia="zh-CN"/>
                    </w:rPr>
                  </w:pPr>
                  <w:r>
                    <w:rPr>
                      <w:rFonts w:hint="eastAsia"/>
                      <w:lang w:val="en-US" w:eastAsia="zh-CN"/>
                    </w:rPr>
                    <w:t>本项目情况</w:t>
                  </w:r>
                </w:p>
              </w:tc>
              <w:tc>
                <w:tcPr>
                  <w:tcW w:w="900" w:type="dxa"/>
                  <w:tcBorders>
                    <w:tl2br w:val="nil"/>
                    <w:tr2bl w:val="nil"/>
                  </w:tcBorders>
                </w:tcPr>
                <w:p w14:paraId="30C8297E">
                  <w:pPr>
                    <w:pStyle w:val="103"/>
                    <w:bidi w:val="0"/>
                    <w:rPr>
                      <w:rFonts w:hint="default"/>
                      <w:lang w:val="en-US" w:eastAsia="zh-CN"/>
                    </w:rPr>
                  </w:pPr>
                  <w:r>
                    <w:rPr>
                      <w:rFonts w:hint="eastAsia"/>
                      <w:lang w:val="en-US" w:eastAsia="zh-CN"/>
                    </w:rPr>
                    <w:t>相符性</w:t>
                  </w:r>
                </w:p>
              </w:tc>
            </w:tr>
            <w:tr w14:paraId="61E26E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1EF21934">
                  <w:pPr>
                    <w:bidi w:val="0"/>
                    <w:rPr>
                      <w:rFonts w:hint="eastAsia" w:eastAsia="宋体"/>
                      <w:lang w:val="en-US" w:eastAsia="zh-CN"/>
                    </w:rPr>
                  </w:pPr>
                  <w:r>
                    <w:rPr>
                      <w:rFonts w:hint="eastAsia"/>
                    </w:rPr>
                    <w:t>着力推进产业结构深度优化。建立“两高”项目清单，落实产能置换、煤炭消费减量替代和污染物排放区域削减等要求，分类处置、动态监控，坚决遏制“两高”项目盲目发展。以“两高”项目为重点，推进钢铁、焦化、铸造、建材、有色、石化、化、工业涂装、包装印刷、电镀、造纸、纺织印染、农副食品加工行业开展全流程清洁化、循环化、低碳化改造。支持钢铁、水泥、电解铝、玻璃等重点行业进行产能置换、装备大型化改造、重组整合，依法依规淘汰落后产能和化解过剩产能。原则上禁止新增钢铁、电解铝、水泥、平板玻璃、传统煤化工（甲醇、合成氨）、焦化、铝用炭素、砖瓦窑、耐火材料、铅锌冶炼（含再生铅）等行业产能，合理控制煤制油气产能，严控新增炼油</w:t>
                  </w:r>
                  <w:r>
                    <w:rPr>
                      <w:rFonts w:hint="eastAsia"/>
                      <w:lang w:val="en-US" w:eastAsia="zh-CN"/>
                    </w:rPr>
                    <w:t>产能。</w:t>
                  </w:r>
                </w:p>
              </w:tc>
              <w:tc>
                <w:tcPr>
                  <w:tcW w:w="1425" w:type="dxa"/>
                  <w:tcBorders>
                    <w:tl2br w:val="nil"/>
                    <w:tr2bl w:val="nil"/>
                  </w:tcBorders>
                </w:tcPr>
                <w:p w14:paraId="281092DB">
                  <w:pPr>
                    <w:bidi w:val="0"/>
                    <w:rPr>
                      <w:rFonts w:hint="eastAsia"/>
                      <w:lang w:val="en-US" w:eastAsia="zh-CN"/>
                    </w:rPr>
                  </w:pPr>
                </w:p>
                <w:p w14:paraId="63C1787D">
                  <w:pPr>
                    <w:bidi w:val="0"/>
                    <w:rPr>
                      <w:rFonts w:hint="eastAsia"/>
                      <w:lang w:val="en-US" w:eastAsia="zh-CN"/>
                    </w:rPr>
                  </w:pPr>
                </w:p>
                <w:p w14:paraId="5362B430">
                  <w:pPr>
                    <w:bidi w:val="0"/>
                    <w:rPr>
                      <w:rFonts w:hint="eastAsia"/>
                      <w:lang w:val="en-US" w:eastAsia="zh-CN"/>
                    </w:rPr>
                  </w:pPr>
                </w:p>
                <w:p w14:paraId="3447D5AE">
                  <w:pPr>
                    <w:bidi w:val="0"/>
                    <w:rPr>
                      <w:rFonts w:hint="eastAsia"/>
                      <w:lang w:val="en-US" w:eastAsia="zh-CN"/>
                    </w:rPr>
                  </w:pPr>
                </w:p>
                <w:p w14:paraId="3FE1AE56">
                  <w:pPr>
                    <w:bidi w:val="0"/>
                    <w:rPr>
                      <w:rFonts w:hint="default"/>
                      <w:lang w:val="en-US" w:eastAsia="zh-CN"/>
                    </w:rPr>
                  </w:pPr>
                  <w:r>
                    <w:rPr>
                      <w:rFonts w:hint="eastAsia"/>
                      <w:lang w:val="en-US" w:eastAsia="zh-CN"/>
                    </w:rPr>
                    <w:t>本项目属于</w:t>
                  </w:r>
                  <w:r>
                    <w:rPr>
                      <w:rFonts w:hint="eastAsia" w:ascii="Times New Roman" w:hAnsi="Times New Roman"/>
                      <w:kern w:val="0"/>
                      <w:sz w:val="21"/>
                      <w:szCs w:val="21"/>
                      <w:lang w:val="en-US" w:eastAsia="zh-CN"/>
                    </w:rPr>
                    <w:t>尾矿充填材料制造与输送</w:t>
                  </w:r>
                  <w:r>
                    <w:rPr>
                      <w:rFonts w:hint="eastAsia"/>
                      <w:kern w:val="0"/>
                      <w:sz w:val="21"/>
                      <w:szCs w:val="21"/>
                      <w:lang w:val="en-US" w:eastAsia="zh-CN"/>
                    </w:rPr>
                    <w:t>项目，不属于淘汰落后产能和过剩产能项目。</w:t>
                  </w:r>
                </w:p>
              </w:tc>
              <w:tc>
                <w:tcPr>
                  <w:tcW w:w="900" w:type="dxa"/>
                  <w:tcBorders>
                    <w:tl2br w:val="nil"/>
                    <w:tr2bl w:val="nil"/>
                  </w:tcBorders>
                </w:tcPr>
                <w:p w14:paraId="1A573285">
                  <w:pPr>
                    <w:bidi w:val="0"/>
                    <w:rPr>
                      <w:rFonts w:hint="eastAsia"/>
                      <w:lang w:val="en-US" w:eastAsia="zh-CN"/>
                    </w:rPr>
                  </w:pPr>
                </w:p>
                <w:p w14:paraId="638BBE03">
                  <w:pPr>
                    <w:bidi w:val="0"/>
                    <w:rPr>
                      <w:rFonts w:hint="eastAsia"/>
                      <w:lang w:val="en-US" w:eastAsia="zh-CN"/>
                    </w:rPr>
                  </w:pPr>
                </w:p>
                <w:p w14:paraId="5DD2BDFD">
                  <w:pPr>
                    <w:bidi w:val="0"/>
                    <w:rPr>
                      <w:rFonts w:hint="eastAsia"/>
                      <w:lang w:val="en-US" w:eastAsia="zh-CN"/>
                    </w:rPr>
                  </w:pPr>
                </w:p>
                <w:p w14:paraId="34B56302">
                  <w:pPr>
                    <w:bidi w:val="0"/>
                    <w:rPr>
                      <w:rFonts w:hint="eastAsia"/>
                      <w:lang w:val="en-US" w:eastAsia="zh-CN"/>
                    </w:rPr>
                  </w:pPr>
                </w:p>
                <w:p w14:paraId="107B250D">
                  <w:pPr>
                    <w:bidi w:val="0"/>
                    <w:rPr>
                      <w:rFonts w:hint="eastAsia"/>
                      <w:lang w:val="en-US" w:eastAsia="zh-CN"/>
                    </w:rPr>
                  </w:pPr>
                </w:p>
                <w:p w14:paraId="4B0BB923">
                  <w:pPr>
                    <w:bidi w:val="0"/>
                    <w:rPr>
                      <w:rFonts w:hint="eastAsia"/>
                      <w:lang w:val="en-US" w:eastAsia="zh-CN"/>
                    </w:rPr>
                  </w:pPr>
                </w:p>
                <w:p w14:paraId="14655E66">
                  <w:pPr>
                    <w:bidi w:val="0"/>
                    <w:rPr>
                      <w:rFonts w:hint="eastAsia"/>
                      <w:lang w:val="en-US" w:eastAsia="zh-CN"/>
                    </w:rPr>
                  </w:pPr>
                </w:p>
                <w:p w14:paraId="2938F2B5">
                  <w:pPr>
                    <w:bidi w:val="0"/>
                    <w:jc w:val="center"/>
                    <w:rPr>
                      <w:rFonts w:hint="default"/>
                      <w:lang w:val="en-US" w:eastAsia="zh-CN"/>
                    </w:rPr>
                  </w:pPr>
                  <w:r>
                    <w:rPr>
                      <w:rFonts w:hint="eastAsia"/>
                      <w:lang w:val="en-US" w:eastAsia="zh-CN"/>
                    </w:rPr>
                    <w:t>符合</w:t>
                  </w:r>
                </w:p>
              </w:tc>
            </w:tr>
            <w:tr w14:paraId="650DD3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0D765B90">
                  <w:pPr>
                    <w:bidi w:val="0"/>
                    <w:rPr>
                      <w:rFonts w:hint="eastAsia"/>
                      <w:lang w:val="en-US" w:eastAsia="zh-CN"/>
                    </w:rPr>
                  </w:pPr>
                  <w:r>
                    <w:rPr>
                      <w:rFonts w:hint="eastAsia"/>
                      <w:lang w:val="en-US" w:eastAsia="zh-CN"/>
                    </w:rPr>
                    <w:t>持续推进噪声污染防治。建立声环境功能区动态调整机制，推进完善噪声自动监测系统的建设。明确各类噪声污染防治责任主体，严格噪声污染监管执法。强化噪声污染防治的源头预防，将隔声降噪技术融合到绿色建筑设计领域。深化施工、交通、工业、社会生活噪声污染防治，加大夜间违法施工噪声扰民行为的查处力度。科学划定禁鸣区域、路段和时段，设立禁鸣标志，推广使用低噪声路面材料。推进工业企业噪声纳入排污许可管理，加大空调、风机、冷却塔等室外固定设备噪声整治力度。严格街道、广场、公园等公共场所集会及文体活动噪声管理，强化对重要时段和敏感区域噪声控制。到 2025年，全市实现功能区声环境质量自动监测，声功能区夜间达标率达到85%。</w:t>
                  </w:r>
                </w:p>
              </w:tc>
              <w:tc>
                <w:tcPr>
                  <w:tcW w:w="1425" w:type="dxa"/>
                  <w:tcBorders>
                    <w:tl2br w:val="nil"/>
                    <w:tr2bl w:val="nil"/>
                  </w:tcBorders>
                </w:tcPr>
                <w:p w14:paraId="0AD3755C">
                  <w:pPr>
                    <w:bidi w:val="0"/>
                    <w:rPr>
                      <w:rFonts w:hint="eastAsia"/>
                      <w:lang w:val="en-US" w:eastAsia="zh-CN"/>
                    </w:rPr>
                  </w:pPr>
                  <w:r>
                    <w:rPr>
                      <w:rFonts w:hint="eastAsia"/>
                      <w:lang w:val="en-US" w:eastAsia="zh-CN"/>
                    </w:rPr>
                    <w:t>根据预测，本项目生产设备产生的噪声经过减震降噪、隔声及距离衰减后，项目厂界噪声贡献值均满足其标准排放要求，  对周边噪声环境影响较小。</w:t>
                  </w:r>
                </w:p>
              </w:tc>
              <w:tc>
                <w:tcPr>
                  <w:tcW w:w="900" w:type="dxa"/>
                  <w:tcBorders>
                    <w:tl2br w:val="nil"/>
                    <w:tr2bl w:val="nil"/>
                  </w:tcBorders>
                </w:tcPr>
                <w:p w14:paraId="1E43D463">
                  <w:pPr>
                    <w:bidi w:val="0"/>
                    <w:rPr>
                      <w:rFonts w:hint="eastAsia"/>
                      <w:lang w:val="en-US" w:eastAsia="zh-CN"/>
                    </w:rPr>
                  </w:pPr>
                </w:p>
                <w:p w14:paraId="30DA133B">
                  <w:pPr>
                    <w:bidi w:val="0"/>
                    <w:rPr>
                      <w:rFonts w:hint="eastAsia"/>
                      <w:lang w:val="en-US" w:eastAsia="zh-CN"/>
                    </w:rPr>
                  </w:pPr>
                </w:p>
                <w:p w14:paraId="4F0F4736">
                  <w:pPr>
                    <w:bidi w:val="0"/>
                    <w:rPr>
                      <w:rFonts w:hint="eastAsia"/>
                      <w:lang w:val="en-US" w:eastAsia="zh-CN"/>
                    </w:rPr>
                  </w:pPr>
                </w:p>
                <w:p w14:paraId="32B0241A">
                  <w:pPr>
                    <w:bidi w:val="0"/>
                    <w:rPr>
                      <w:rFonts w:hint="eastAsia"/>
                      <w:lang w:val="en-US" w:eastAsia="zh-CN"/>
                    </w:rPr>
                  </w:pPr>
                </w:p>
                <w:p w14:paraId="51372E8B">
                  <w:pPr>
                    <w:bidi w:val="0"/>
                    <w:rPr>
                      <w:rFonts w:hint="eastAsia"/>
                      <w:lang w:val="en-US" w:eastAsia="zh-CN"/>
                    </w:rPr>
                  </w:pPr>
                </w:p>
                <w:p w14:paraId="6A2474D7">
                  <w:pPr>
                    <w:bidi w:val="0"/>
                    <w:rPr>
                      <w:rFonts w:hint="eastAsia"/>
                      <w:lang w:val="en-US" w:eastAsia="zh-CN"/>
                    </w:rPr>
                  </w:pPr>
                </w:p>
                <w:p w14:paraId="692631CF">
                  <w:pPr>
                    <w:bidi w:val="0"/>
                    <w:rPr>
                      <w:rFonts w:hint="eastAsia"/>
                      <w:lang w:val="en-US" w:eastAsia="zh-CN"/>
                    </w:rPr>
                  </w:pPr>
                </w:p>
                <w:p w14:paraId="2EC24932">
                  <w:pPr>
                    <w:bidi w:val="0"/>
                    <w:jc w:val="center"/>
                    <w:rPr>
                      <w:rFonts w:hint="default"/>
                      <w:lang w:val="en-US" w:eastAsia="zh-CN"/>
                    </w:rPr>
                  </w:pPr>
                  <w:r>
                    <w:rPr>
                      <w:rFonts w:hint="eastAsia"/>
                      <w:lang w:val="en-US" w:eastAsia="zh-CN"/>
                    </w:rPr>
                    <w:t>符合</w:t>
                  </w:r>
                </w:p>
              </w:tc>
            </w:tr>
            <w:tr w14:paraId="434EDF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6A7773D2">
                  <w:pPr>
                    <w:bidi w:val="0"/>
                    <w:rPr>
                      <w:rFonts w:hint="eastAsia"/>
                      <w:lang w:val="en-US" w:eastAsia="zh-CN"/>
                    </w:rPr>
                  </w:pPr>
                  <w:r>
                    <w:rPr>
                      <w:rFonts w:hint="eastAsia"/>
                      <w:lang w:val="en-US" w:eastAsia="zh-CN"/>
                    </w:rPr>
                    <w:t>筑牢守好生态保护红线。推动建立生态保护红线监管制度。定期对生态保护红线保护和管理实施情况进行评估。加强生态保护红线面积、功能、性质和管理实施情况的监控，依托卫星遥感、定期巡查、公众举报等手段，加强全市生态保护红线监测预警能力。开展生态保护红线常态化执法监督检查，及时发现各类生态破坏行为并跟踪督办。</w:t>
                  </w:r>
                </w:p>
              </w:tc>
              <w:tc>
                <w:tcPr>
                  <w:tcW w:w="1425" w:type="dxa"/>
                  <w:tcBorders>
                    <w:tl2br w:val="nil"/>
                    <w:tr2bl w:val="nil"/>
                  </w:tcBorders>
                </w:tcPr>
                <w:p w14:paraId="33F25BC4">
                  <w:pPr>
                    <w:bidi w:val="0"/>
                    <w:rPr>
                      <w:rFonts w:hint="eastAsia"/>
                      <w:lang w:val="en-US" w:eastAsia="zh-CN"/>
                    </w:rPr>
                  </w:pPr>
                  <w:r>
                    <w:rPr>
                      <w:rFonts w:hint="eastAsia"/>
                      <w:lang w:val="en-US" w:eastAsia="zh-CN"/>
                    </w:rPr>
                    <w:t>本项目位于洛阳市栾川县三川镇火神庙村，不涉及生态保护红线。</w:t>
                  </w:r>
                </w:p>
              </w:tc>
              <w:tc>
                <w:tcPr>
                  <w:tcW w:w="900" w:type="dxa"/>
                  <w:tcBorders>
                    <w:tl2br w:val="nil"/>
                    <w:tr2bl w:val="nil"/>
                  </w:tcBorders>
                </w:tcPr>
                <w:p w14:paraId="44590BF9">
                  <w:pPr>
                    <w:bidi w:val="0"/>
                    <w:rPr>
                      <w:rFonts w:hint="eastAsia"/>
                      <w:lang w:val="en-US" w:eastAsia="zh-CN"/>
                    </w:rPr>
                  </w:pPr>
                </w:p>
                <w:p w14:paraId="7FB6E4FB">
                  <w:pPr>
                    <w:bidi w:val="0"/>
                    <w:rPr>
                      <w:rFonts w:hint="eastAsia"/>
                      <w:lang w:val="en-US" w:eastAsia="zh-CN"/>
                    </w:rPr>
                  </w:pPr>
                </w:p>
                <w:p w14:paraId="2E561F48">
                  <w:pPr>
                    <w:bidi w:val="0"/>
                    <w:rPr>
                      <w:rFonts w:hint="eastAsia"/>
                      <w:lang w:val="en-US" w:eastAsia="zh-CN"/>
                    </w:rPr>
                  </w:pPr>
                </w:p>
                <w:p w14:paraId="1023238F">
                  <w:pPr>
                    <w:bidi w:val="0"/>
                    <w:jc w:val="center"/>
                    <w:rPr>
                      <w:rFonts w:hint="default"/>
                      <w:lang w:val="en-US" w:eastAsia="zh-CN"/>
                    </w:rPr>
                  </w:pPr>
                  <w:r>
                    <w:rPr>
                      <w:rFonts w:hint="eastAsia"/>
                      <w:lang w:val="en-US" w:eastAsia="zh-CN"/>
                    </w:rPr>
                    <w:t>符合</w:t>
                  </w:r>
                </w:p>
              </w:tc>
            </w:tr>
            <w:tr w14:paraId="0697B8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5156BCD2">
                  <w:pPr>
                    <w:bidi w:val="0"/>
                    <w:rPr>
                      <w:rFonts w:hint="eastAsia"/>
                      <w:lang w:val="en-US" w:eastAsia="zh-CN"/>
                    </w:rPr>
                  </w:pPr>
                  <w:r>
                    <w:rPr>
                      <w:rFonts w:hint="eastAsia"/>
                      <w:lang w:val="en-US" w:eastAsia="zh-CN"/>
                    </w:rPr>
                    <w:t>降低工业固体废物处置压力。重点从推动产业结构转型升级、加快能源结构优化调整、稳步推进碳达峰碳中和等方面着手，扎实推进工业绿色低碳转型发展。深入推进工业固体废物源头减量，严格控制高耗能、高排放项目准入，积极推动清洁生产审核工作。开展绿色制造体系建设，探索高值化利用途径，推动产业绿色低碳发展，不断提高工业固体废物资源利用。深入开展大宗工业固体废物堆场综合整治，积极引导工业固体废物无害化处理处置，严格防控工业固体废物环境风险。</w:t>
                  </w:r>
                </w:p>
              </w:tc>
              <w:tc>
                <w:tcPr>
                  <w:tcW w:w="1425" w:type="dxa"/>
                  <w:tcBorders>
                    <w:tl2br w:val="nil"/>
                    <w:tr2bl w:val="nil"/>
                  </w:tcBorders>
                </w:tcPr>
                <w:p w14:paraId="64C52CA2">
                  <w:pPr>
                    <w:bidi w:val="0"/>
                    <w:rPr>
                      <w:rFonts w:hint="eastAsia"/>
                      <w:lang w:val="en-US" w:eastAsia="zh-CN"/>
                    </w:rPr>
                  </w:pPr>
                  <w:r>
                    <w:rPr>
                      <w:rFonts w:hint="eastAsia"/>
                      <w:lang w:val="en-US" w:eastAsia="zh-CN"/>
                    </w:rPr>
                    <w:t>本项目利用尾砂作为充填骨料，将尾砂重新加工成充填材料回填至井下采空区，提高了一般工业固废资源的利用。</w:t>
                  </w:r>
                </w:p>
              </w:tc>
              <w:tc>
                <w:tcPr>
                  <w:tcW w:w="900" w:type="dxa"/>
                  <w:tcBorders>
                    <w:tl2br w:val="nil"/>
                    <w:tr2bl w:val="nil"/>
                  </w:tcBorders>
                </w:tcPr>
                <w:p w14:paraId="475D7DAB">
                  <w:pPr>
                    <w:bidi w:val="0"/>
                    <w:rPr>
                      <w:rFonts w:hint="eastAsia"/>
                      <w:lang w:val="en-US" w:eastAsia="zh-CN"/>
                    </w:rPr>
                  </w:pPr>
                </w:p>
                <w:p w14:paraId="45174154">
                  <w:pPr>
                    <w:bidi w:val="0"/>
                    <w:rPr>
                      <w:rFonts w:hint="eastAsia"/>
                      <w:lang w:val="en-US" w:eastAsia="zh-CN"/>
                    </w:rPr>
                  </w:pPr>
                </w:p>
                <w:p w14:paraId="4F39D8AE">
                  <w:pPr>
                    <w:bidi w:val="0"/>
                    <w:rPr>
                      <w:rFonts w:hint="eastAsia"/>
                      <w:lang w:val="en-US" w:eastAsia="zh-CN"/>
                    </w:rPr>
                  </w:pPr>
                </w:p>
                <w:p w14:paraId="07AB425C">
                  <w:pPr>
                    <w:bidi w:val="0"/>
                    <w:rPr>
                      <w:rFonts w:hint="eastAsia"/>
                      <w:lang w:val="en-US" w:eastAsia="zh-CN"/>
                    </w:rPr>
                  </w:pPr>
                </w:p>
                <w:p w14:paraId="38F4F9B8">
                  <w:pPr>
                    <w:bidi w:val="0"/>
                    <w:rPr>
                      <w:rFonts w:hint="default"/>
                      <w:lang w:val="en-US" w:eastAsia="zh-CN"/>
                    </w:rPr>
                  </w:pPr>
                  <w:r>
                    <w:rPr>
                      <w:rFonts w:hint="eastAsia"/>
                      <w:lang w:val="en-US" w:eastAsia="zh-CN"/>
                    </w:rPr>
                    <w:t xml:space="preserve"> 符合</w:t>
                  </w:r>
                </w:p>
              </w:tc>
            </w:tr>
          </w:tbl>
          <w:p w14:paraId="552F354F">
            <w:pPr>
              <w:pStyle w:val="63"/>
              <w:ind w:firstLine="480"/>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综上所述，本项目的建设符合《洛阳市人民政府关于印发洛阳市“十</w:t>
            </w:r>
          </w:p>
          <w:p w14:paraId="12DF5BE4">
            <w:pPr>
              <w:pStyle w:val="63"/>
              <w:ind w:left="0" w:leftChars="0" w:firstLine="0" w:firstLineChars="0"/>
              <w:rPr>
                <w:rFonts w:hint="eastAsia" w:ascii="宋体" w:hAnsi="宋体" w:eastAsia="宋体" w:cs="宋体"/>
                <w:u w:val="none"/>
                <w:lang w:val="en-US" w:eastAsia="zh-CN"/>
              </w:rPr>
            </w:pPr>
            <w:r>
              <w:rPr>
                <w:rFonts w:hint="default" w:ascii="Times New Roman" w:hAnsi="Times New Roman" w:eastAsia="宋体" w:cs="Times New Roman"/>
                <w:u w:val="none"/>
                <w:lang w:val="en-US" w:eastAsia="zh-CN"/>
              </w:rPr>
              <w:t>四五”生态环境保护和生态经济发展规划的通知》（洛政【2022】32 号）的相关要求。</w:t>
            </w:r>
          </w:p>
          <w:p w14:paraId="46566288">
            <w:pPr>
              <w:pStyle w:val="8"/>
              <w:numPr>
                <w:ilvl w:val="0"/>
                <w:numId w:val="0"/>
              </w:numPr>
              <w:spacing w:before="120" w:beforeLines="50" w:after="0" w:line="360" w:lineRule="auto"/>
              <w:ind w:firstLine="482" w:firstLineChars="200"/>
              <w:rPr>
                <w:rFonts w:hint="eastAsia" w:ascii="黑体" w:hAnsi="黑体" w:eastAsia="黑体" w:cs="黑体"/>
                <w:b w:val="0"/>
                <w:bCs w:val="0"/>
                <w:snapToGrid/>
                <w:color w:val="auto"/>
                <w:kern w:val="2"/>
                <w:sz w:val="24"/>
                <w:szCs w:val="21"/>
                <w:u w:val="single"/>
                <w:lang w:val="en-US" w:eastAsia="zh-CN" w:bidi="ar-SA"/>
              </w:rPr>
            </w:pPr>
            <w:r>
              <w:rPr>
                <w:rFonts w:hint="eastAsia" w:cs="Times New Roman"/>
                <w:b/>
                <w:bCs/>
                <w:color w:val="auto"/>
                <w:kern w:val="2"/>
                <w:sz w:val="24"/>
                <w:szCs w:val="24"/>
                <w:u w:val="none"/>
                <w:lang w:val="en-US" w:eastAsia="zh-CN" w:bidi="ar-SA"/>
              </w:rPr>
              <w:t>1.9</w:t>
            </w:r>
            <w:r>
              <w:rPr>
                <w:rFonts w:hint="eastAsia" w:cs="Times New Roman"/>
                <w:b/>
                <w:bCs/>
                <w:color w:val="auto"/>
                <w:kern w:val="2"/>
                <w:sz w:val="24"/>
                <w:szCs w:val="24"/>
                <w:u w:val="single"/>
                <w:lang w:val="en-US" w:eastAsia="zh-CN" w:bidi="ar-SA"/>
              </w:rPr>
              <w:t>与《洛阳市人民政府办公室关于印发洛阳市空气质量持续改善实施方案的通知》（洛政办〔2024〕30号）相符性分析</w:t>
            </w:r>
          </w:p>
          <w:p w14:paraId="0AF2D68D">
            <w:pPr>
              <w:pStyle w:val="8"/>
              <w:numPr>
                <w:ilvl w:val="0"/>
                <w:numId w:val="0"/>
              </w:numPr>
              <w:spacing w:before="120" w:beforeLines="50" w:after="0" w:line="360" w:lineRule="auto"/>
              <w:jc w:val="center"/>
              <w:rPr>
                <w:rFonts w:hint="eastAsia" w:cs="Times New Roman"/>
                <w:b w:val="0"/>
                <w:bCs w:val="0"/>
                <w:color w:val="auto"/>
                <w:kern w:val="2"/>
                <w:sz w:val="24"/>
                <w:szCs w:val="24"/>
                <w:u w:val="none"/>
                <w:lang w:val="en-US" w:eastAsia="zh-CN" w:bidi="ar-SA"/>
              </w:rPr>
            </w:pPr>
            <w:r>
              <w:rPr>
                <w:rFonts w:hint="eastAsia" w:ascii="黑体" w:hAnsi="黑体" w:eastAsia="黑体" w:cs="黑体"/>
                <w:b w:val="0"/>
                <w:bCs w:val="0"/>
                <w:snapToGrid/>
                <w:color w:val="auto"/>
                <w:kern w:val="2"/>
                <w:sz w:val="24"/>
                <w:szCs w:val="21"/>
                <w:u w:val="single"/>
                <w:lang w:val="en-US" w:eastAsia="zh-CN" w:bidi="ar-SA"/>
              </w:rPr>
              <w:t>表1-7 与本项目与洛政办〔2024〕30号文件相符性分析</w:t>
            </w:r>
          </w:p>
          <w:tbl>
            <w:tblPr>
              <w:tblStyle w:val="32"/>
              <w:tblW w:w="7553"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228"/>
              <w:gridCol w:w="1425"/>
              <w:gridCol w:w="900"/>
            </w:tblGrid>
            <w:tr w14:paraId="78A07F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406A54CA">
                  <w:pPr>
                    <w:pStyle w:val="103"/>
                    <w:bidi w:val="0"/>
                    <w:rPr>
                      <w:rFonts w:hint="default"/>
                      <w:color w:val="auto"/>
                      <w:u w:val="single"/>
                      <w:lang w:val="en-US" w:eastAsia="zh-CN"/>
                    </w:rPr>
                  </w:pPr>
                  <w:r>
                    <w:rPr>
                      <w:rFonts w:hint="eastAsia"/>
                      <w:color w:val="auto"/>
                      <w:u w:val="single"/>
                      <w:lang w:val="en-US" w:eastAsia="zh-CN"/>
                    </w:rPr>
                    <w:t>文件要求</w:t>
                  </w:r>
                </w:p>
              </w:tc>
              <w:tc>
                <w:tcPr>
                  <w:tcW w:w="1425" w:type="dxa"/>
                  <w:tcBorders>
                    <w:tl2br w:val="nil"/>
                    <w:tr2bl w:val="nil"/>
                  </w:tcBorders>
                </w:tcPr>
                <w:p w14:paraId="5AC92C54">
                  <w:pPr>
                    <w:pStyle w:val="103"/>
                    <w:bidi w:val="0"/>
                    <w:rPr>
                      <w:rFonts w:hint="default"/>
                      <w:color w:val="auto"/>
                      <w:u w:val="single"/>
                      <w:lang w:val="en-US" w:eastAsia="zh-CN"/>
                    </w:rPr>
                  </w:pPr>
                  <w:r>
                    <w:rPr>
                      <w:rFonts w:hint="eastAsia"/>
                      <w:color w:val="auto"/>
                      <w:u w:val="single"/>
                      <w:lang w:val="en-US" w:eastAsia="zh-CN"/>
                    </w:rPr>
                    <w:t>本项目情况</w:t>
                  </w:r>
                </w:p>
              </w:tc>
              <w:tc>
                <w:tcPr>
                  <w:tcW w:w="900" w:type="dxa"/>
                  <w:tcBorders>
                    <w:tl2br w:val="nil"/>
                    <w:tr2bl w:val="nil"/>
                  </w:tcBorders>
                </w:tcPr>
                <w:p w14:paraId="0A6F55D9">
                  <w:pPr>
                    <w:pStyle w:val="103"/>
                    <w:bidi w:val="0"/>
                    <w:rPr>
                      <w:rFonts w:hint="default"/>
                      <w:color w:val="auto"/>
                      <w:u w:val="single"/>
                      <w:lang w:val="en-US" w:eastAsia="zh-CN"/>
                    </w:rPr>
                  </w:pPr>
                  <w:r>
                    <w:rPr>
                      <w:rFonts w:hint="eastAsia"/>
                      <w:color w:val="auto"/>
                      <w:u w:val="single"/>
                      <w:lang w:val="en-US" w:eastAsia="zh-CN"/>
                    </w:rPr>
                    <w:t>相符性</w:t>
                  </w:r>
                </w:p>
              </w:tc>
            </w:tr>
            <w:tr w14:paraId="2C7C2A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553" w:type="dxa"/>
                  <w:gridSpan w:val="3"/>
                  <w:tcBorders>
                    <w:tl2br w:val="nil"/>
                    <w:tr2bl w:val="nil"/>
                  </w:tcBorders>
                </w:tcPr>
                <w:p w14:paraId="0D0DE7B8">
                  <w:pPr>
                    <w:bidi w:val="0"/>
                    <w:jc w:val="both"/>
                    <w:rPr>
                      <w:rFonts w:hint="eastAsia"/>
                      <w:color w:val="auto"/>
                      <w:u w:val="single"/>
                      <w:lang w:val="en-US" w:eastAsia="zh-CN"/>
                    </w:rPr>
                  </w:pPr>
                  <w:r>
                    <w:rPr>
                      <w:rFonts w:hint="eastAsia"/>
                      <w:color w:val="auto"/>
                      <w:u w:val="single"/>
                      <w:lang w:val="en-US" w:eastAsia="zh-CN"/>
                    </w:rPr>
                    <w:t>二、优化产业结构，促进产业绿色转型发展</w:t>
                  </w:r>
                </w:p>
              </w:tc>
            </w:tr>
            <w:tr w14:paraId="5262B8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63B0E90F">
                  <w:pPr>
                    <w:bidi w:val="0"/>
                    <w:rPr>
                      <w:rFonts w:hint="eastAsia" w:eastAsia="宋体"/>
                      <w:color w:val="auto"/>
                      <w:u w:val="single"/>
                      <w:lang w:val="en-US" w:eastAsia="zh-CN"/>
                    </w:rPr>
                  </w:pPr>
                  <w:r>
                    <w:rPr>
                      <w:rFonts w:hint="eastAsia"/>
                      <w:color w:val="auto"/>
                      <w:u w:val="single"/>
                      <w:lang w:val="en-US" w:eastAsia="zh-CN"/>
                    </w:rPr>
                    <w:t>坚决遏制“两高”项目盲目发展。严格落实国家和省坚决遏制高耗能高排放低水平项目盲目发展的政策要求，建立完善“两高”项目管理清单，实施动态监管，坚决把好项目准入关。严禁新增钢铁产能，严格执行有关行业产能置换政策，被置换产能及其配套设施关停后，新建项目方可投产。国家、省绩效分级重点行业以及涉及锅炉炉窑的其他行业，新（改、扩）建项目原则上达到环境绩效A级和国内清洁生产先进水平</w:t>
                  </w:r>
                </w:p>
              </w:tc>
              <w:tc>
                <w:tcPr>
                  <w:tcW w:w="1425" w:type="dxa"/>
                  <w:tcBorders>
                    <w:tl2br w:val="nil"/>
                    <w:tr2bl w:val="nil"/>
                  </w:tcBorders>
                </w:tcPr>
                <w:p w14:paraId="5B40429A">
                  <w:pPr>
                    <w:bidi w:val="0"/>
                    <w:rPr>
                      <w:rFonts w:hint="default"/>
                      <w:color w:val="auto"/>
                      <w:u w:val="single"/>
                      <w:lang w:val="en-US" w:eastAsia="zh-CN"/>
                    </w:rPr>
                  </w:pPr>
                  <w:r>
                    <w:rPr>
                      <w:rFonts w:hint="eastAsia"/>
                      <w:color w:val="auto"/>
                      <w:u w:val="single"/>
                      <w:lang w:val="en-US" w:eastAsia="zh-CN"/>
                    </w:rPr>
                    <w:t>本项目属于</w:t>
                  </w:r>
                  <w:r>
                    <w:rPr>
                      <w:rFonts w:hint="eastAsia" w:ascii="Times New Roman" w:hAnsi="Times New Roman"/>
                      <w:color w:val="auto"/>
                      <w:kern w:val="0"/>
                      <w:sz w:val="21"/>
                      <w:szCs w:val="21"/>
                      <w:u w:val="single"/>
                      <w:lang w:val="en-US" w:eastAsia="zh-CN"/>
                    </w:rPr>
                    <w:t>尾矿充填材料制造与输送</w:t>
                  </w:r>
                  <w:r>
                    <w:rPr>
                      <w:rFonts w:hint="eastAsia"/>
                      <w:color w:val="auto"/>
                      <w:kern w:val="0"/>
                      <w:sz w:val="21"/>
                      <w:szCs w:val="21"/>
                      <w:u w:val="single"/>
                      <w:lang w:val="en-US" w:eastAsia="zh-CN"/>
                    </w:rPr>
                    <w:t>项目，不属于两高项目。</w:t>
                  </w:r>
                </w:p>
              </w:tc>
              <w:tc>
                <w:tcPr>
                  <w:tcW w:w="900" w:type="dxa"/>
                  <w:tcBorders>
                    <w:tl2br w:val="nil"/>
                    <w:tr2bl w:val="nil"/>
                  </w:tcBorders>
                </w:tcPr>
                <w:p w14:paraId="19E0884E">
                  <w:pPr>
                    <w:bidi w:val="0"/>
                    <w:rPr>
                      <w:rFonts w:hint="eastAsia"/>
                      <w:color w:val="auto"/>
                      <w:u w:val="single"/>
                      <w:lang w:val="en-US" w:eastAsia="zh-CN"/>
                    </w:rPr>
                  </w:pPr>
                </w:p>
                <w:p w14:paraId="169321B5">
                  <w:pPr>
                    <w:bidi w:val="0"/>
                    <w:rPr>
                      <w:rFonts w:hint="eastAsia"/>
                      <w:color w:val="auto"/>
                      <w:u w:val="single"/>
                      <w:lang w:val="en-US" w:eastAsia="zh-CN"/>
                    </w:rPr>
                  </w:pPr>
                </w:p>
                <w:p w14:paraId="41070BFA">
                  <w:pPr>
                    <w:bidi w:val="0"/>
                    <w:rPr>
                      <w:rFonts w:hint="eastAsia"/>
                      <w:color w:val="auto"/>
                      <w:u w:val="single"/>
                      <w:lang w:val="en-US" w:eastAsia="zh-CN"/>
                    </w:rPr>
                  </w:pPr>
                </w:p>
                <w:p w14:paraId="1D452AAA">
                  <w:pPr>
                    <w:bidi w:val="0"/>
                    <w:rPr>
                      <w:rFonts w:hint="eastAsia"/>
                      <w:color w:val="auto"/>
                      <w:u w:val="single"/>
                      <w:lang w:val="en-US" w:eastAsia="zh-CN"/>
                    </w:rPr>
                  </w:pPr>
                </w:p>
                <w:p w14:paraId="47F2EEC3">
                  <w:pPr>
                    <w:bidi w:val="0"/>
                    <w:rPr>
                      <w:rFonts w:hint="eastAsia"/>
                      <w:color w:val="auto"/>
                      <w:u w:val="single"/>
                      <w:lang w:val="en-US" w:eastAsia="zh-CN"/>
                    </w:rPr>
                  </w:pPr>
                </w:p>
                <w:p w14:paraId="6DF5959A">
                  <w:pPr>
                    <w:bidi w:val="0"/>
                    <w:rPr>
                      <w:rFonts w:hint="eastAsia"/>
                      <w:color w:val="auto"/>
                      <w:u w:val="single"/>
                      <w:lang w:val="en-US" w:eastAsia="zh-CN"/>
                    </w:rPr>
                  </w:pPr>
                </w:p>
                <w:p w14:paraId="2E779D8A">
                  <w:pPr>
                    <w:bidi w:val="0"/>
                    <w:rPr>
                      <w:rFonts w:hint="eastAsia"/>
                      <w:color w:val="auto"/>
                      <w:u w:val="single"/>
                      <w:lang w:val="en-US" w:eastAsia="zh-CN"/>
                    </w:rPr>
                  </w:pPr>
                </w:p>
                <w:p w14:paraId="7E6110F9">
                  <w:pPr>
                    <w:bidi w:val="0"/>
                    <w:jc w:val="center"/>
                    <w:rPr>
                      <w:rFonts w:hint="default"/>
                      <w:color w:val="auto"/>
                      <w:u w:val="single"/>
                      <w:lang w:val="en-US" w:eastAsia="zh-CN"/>
                    </w:rPr>
                  </w:pPr>
                  <w:r>
                    <w:rPr>
                      <w:rFonts w:hint="eastAsia"/>
                      <w:color w:val="auto"/>
                      <w:u w:val="single"/>
                      <w:lang w:val="en-US" w:eastAsia="zh-CN"/>
                    </w:rPr>
                    <w:t>符合</w:t>
                  </w:r>
                </w:p>
              </w:tc>
            </w:tr>
            <w:tr w14:paraId="757852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553" w:type="dxa"/>
                  <w:gridSpan w:val="3"/>
                  <w:tcBorders>
                    <w:tl2br w:val="nil"/>
                    <w:tr2bl w:val="nil"/>
                  </w:tcBorders>
                </w:tcPr>
                <w:p w14:paraId="5866E076">
                  <w:pPr>
                    <w:bidi w:val="0"/>
                    <w:jc w:val="both"/>
                    <w:rPr>
                      <w:rFonts w:hint="eastAsia"/>
                      <w:color w:val="auto"/>
                      <w:u w:val="single"/>
                      <w:lang w:val="en-US" w:eastAsia="zh-CN"/>
                    </w:rPr>
                  </w:pPr>
                  <w:r>
                    <w:rPr>
                      <w:rFonts w:hint="eastAsia"/>
                      <w:color w:val="auto"/>
                      <w:u w:val="single"/>
                      <w:lang w:val="en-US" w:eastAsia="zh-CN"/>
                    </w:rPr>
                    <w:t>五、强化面源污染治理，提升精细化管理水平</w:t>
                  </w:r>
                </w:p>
              </w:tc>
            </w:tr>
            <w:tr w14:paraId="5AE4F9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228" w:type="dxa"/>
                  <w:tcBorders>
                    <w:tl2br w:val="nil"/>
                    <w:tr2bl w:val="nil"/>
                  </w:tcBorders>
                </w:tcPr>
                <w:p w14:paraId="39447CDC">
                  <w:pPr>
                    <w:bidi w:val="0"/>
                    <w:rPr>
                      <w:rFonts w:hint="eastAsia"/>
                      <w:color w:val="auto"/>
                      <w:u w:val="single"/>
                      <w:lang w:val="en-US" w:eastAsia="zh-CN"/>
                    </w:rPr>
                  </w:pPr>
                  <w:r>
                    <w:rPr>
                      <w:rFonts w:hint="eastAsia"/>
                      <w:color w:val="auto"/>
                      <w:u w:val="single"/>
                      <w:lang w:val="en-US" w:eastAsia="zh-CN"/>
                    </w:rPr>
                    <w:t>严格落实扬尘治理“两个标准”要求和“七个百分之百”防尘措施，持续提升市政、道路、交通、水利、房建、拆迁等各类施工工地精细化、智慧化管理水平，长距离线性工程实行分段施工，推动5000平方米及以上建筑工地安装在线监测和视频监控设施，并接入监管平台。施工单位将防治扬尘污染费用纳入工程造价，作为专项费用用于扬尘治理。加强执法监管，有效整治重点区域扬尘污染突出问题。对城市区长期未开发利用的建设裸地进行排查建档并因地制宜采取覆盖、绿化等防尘措施。到2025年，城市大型物料堆场基本完成抑尘设施建设和物料输送系统封闭改造</w:t>
                  </w:r>
                </w:p>
              </w:tc>
              <w:tc>
                <w:tcPr>
                  <w:tcW w:w="1425" w:type="dxa"/>
                  <w:tcBorders>
                    <w:tl2br w:val="nil"/>
                    <w:tr2bl w:val="nil"/>
                  </w:tcBorders>
                </w:tcPr>
                <w:p w14:paraId="7A0E6B43">
                  <w:pPr>
                    <w:bidi w:val="0"/>
                    <w:rPr>
                      <w:rFonts w:hint="eastAsia"/>
                      <w:color w:val="auto"/>
                      <w:u w:val="single"/>
                      <w:lang w:val="en-US" w:eastAsia="zh-CN"/>
                    </w:rPr>
                  </w:pPr>
                  <w:r>
                    <w:rPr>
                      <w:rFonts w:hint="default" w:ascii="Times New Roman" w:hAnsi="Times New Roman" w:eastAsia="宋体" w:cs="Times New Roman"/>
                      <w:b w:val="0"/>
                      <w:bCs w:val="0"/>
                      <w:color w:val="auto"/>
                      <w:sz w:val="21"/>
                      <w:szCs w:val="21"/>
                      <w:u w:val="single"/>
                      <w:vertAlign w:val="baseline"/>
                      <w:lang w:val="en-US" w:eastAsia="zh-CN"/>
                    </w:rPr>
                    <w:t>本项目施工期设置施工围挡、车辆冲洗、湿法作业、密闭运输、地面硬化、物料覆盖等措施，施工废气得到有效治理，不会对周围大气环境造成明显不利影响。</w:t>
                  </w:r>
                </w:p>
              </w:tc>
              <w:tc>
                <w:tcPr>
                  <w:tcW w:w="900" w:type="dxa"/>
                  <w:tcBorders>
                    <w:tl2br w:val="nil"/>
                    <w:tr2bl w:val="nil"/>
                  </w:tcBorders>
                </w:tcPr>
                <w:p w14:paraId="11DA6985">
                  <w:pPr>
                    <w:bidi w:val="0"/>
                    <w:rPr>
                      <w:rFonts w:hint="eastAsia"/>
                      <w:color w:val="auto"/>
                      <w:u w:val="single"/>
                      <w:lang w:val="en-US" w:eastAsia="zh-CN"/>
                    </w:rPr>
                  </w:pPr>
                </w:p>
                <w:p w14:paraId="310C2C57">
                  <w:pPr>
                    <w:bidi w:val="0"/>
                    <w:rPr>
                      <w:rFonts w:hint="eastAsia"/>
                      <w:color w:val="auto"/>
                      <w:u w:val="single"/>
                      <w:lang w:val="en-US" w:eastAsia="zh-CN"/>
                    </w:rPr>
                  </w:pPr>
                </w:p>
                <w:p w14:paraId="44084E5A">
                  <w:pPr>
                    <w:bidi w:val="0"/>
                    <w:rPr>
                      <w:rFonts w:hint="eastAsia"/>
                      <w:color w:val="auto"/>
                      <w:u w:val="single"/>
                      <w:lang w:val="en-US" w:eastAsia="zh-CN"/>
                    </w:rPr>
                  </w:pPr>
                </w:p>
                <w:p w14:paraId="343C33C6">
                  <w:pPr>
                    <w:bidi w:val="0"/>
                    <w:rPr>
                      <w:rFonts w:hint="eastAsia"/>
                      <w:color w:val="auto"/>
                      <w:u w:val="single"/>
                      <w:lang w:val="en-US" w:eastAsia="zh-CN"/>
                    </w:rPr>
                  </w:pPr>
                </w:p>
                <w:p w14:paraId="6A661156">
                  <w:pPr>
                    <w:bidi w:val="0"/>
                    <w:rPr>
                      <w:rFonts w:hint="eastAsia"/>
                      <w:color w:val="auto"/>
                      <w:u w:val="single"/>
                      <w:lang w:val="en-US" w:eastAsia="zh-CN"/>
                    </w:rPr>
                  </w:pPr>
                </w:p>
                <w:p w14:paraId="1C92A975">
                  <w:pPr>
                    <w:bidi w:val="0"/>
                    <w:rPr>
                      <w:rFonts w:hint="eastAsia"/>
                      <w:color w:val="auto"/>
                      <w:u w:val="single"/>
                      <w:lang w:val="en-US" w:eastAsia="zh-CN"/>
                    </w:rPr>
                  </w:pPr>
                </w:p>
                <w:p w14:paraId="7D5498E9">
                  <w:pPr>
                    <w:bidi w:val="0"/>
                    <w:rPr>
                      <w:rFonts w:hint="eastAsia"/>
                      <w:color w:val="auto"/>
                      <w:u w:val="single"/>
                      <w:lang w:val="en-US" w:eastAsia="zh-CN"/>
                    </w:rPr>
                  </w:pPr>
                </w:p>
                <w:p w14:paraId="096B397B">
                  <w:pPr>
                    <w:bidi w:val="0"/>
                    <w:jc w:val="center"/>
                    <w:rPr>
                      <w:rFonts w:hint="default"/>
                      <w:color w:val="auto"/>
                      <w:u w:val="single"/>
                      <w:lang w:val="en-US" w:eastAsia="zh-CN"/>
                    </w:rPr>
                  </w:pPr>
                  <w:r>
                    <w:rPr>
                      <w:rFonts w:hint="eastAsia"/>
                      <w:color w:val="auto"/>
                      <w:u w:val="single"/>
                      <w:lang w:val="en-US" w:eastAsia="zh-CN"/>
                    </w:rPr>
                    <w:t>符合</w:t>
                  </w:r>
                </w:p>
              </w:tc>
            </w:tr>
          </w:tbl>
          <w:p w14:paraId="4DE14590">
            <w:pPr>
              <w:pStyle w:val="8"/>
              <w:numPr>
                <w:ilvl w:val="0"/>
                <w:numId w:val="0"/>
              </w:numPr>
              <w:spacing w:before="120" w:beforeLines="50" w:after="0" w:line="360" w:lineRule="auto"/>
              <w:ind w:firstLine="482" w:firstLineChars="200"/>
              <w:rPr>
                <w:b/>
              </w:rPr>
            </w:pPr>
            <w:r>
              <w:rPr>
                <w:rFonts w:hint="eastAsia" w:cs="Times New Roman"/>
                <w:b/>
                <w:bCs/>
                <w:color w:val="000000"/>
                <w:kern w:val="2"/>
                <w:sz w:val="24"/>
                <w:szCs w:val="24"/>
                <w:u w:val="none"/>
                <w:lang w:val="en-US" w:eastAsia="zh-CN" w:bidi="ar-SA"/>
              </w:rPr>
              <w:t>1.10</w:t>
            </w:r>
            <w:r>
              <w:rPr>
                <w:rFonts w:hint="eastAsia" w:ascii="Times New Roman" w:hAnsi="Times New Roman" w:eastAsia="宋体" w:cs="Times New Roman"/>
                <w:b/>
                <w:bCs/>
                <w:color w:val="000000"/>
                <w:kern w:val="2"/>
                <w:sz w:val="24"/>
                <w:szCs w:val="24"/>
                <w:u w:val="none"/>
                <w:lang w:val="en-US" w:eastAsia="zh-CN" w:bidi="ar-SA"/>
              </w:rPr>
              <w:t>与</w:t>
            </w:r>
            <w:r>
              <w:rPr>
                <w:rFonts w:hint="eastAsia"/>
                <w:b/>
                <w:lang w:eastAsia="zh-CN"/>
              </w:rPr>
              <w:t>饮用水源保护规划</w:t>
            </w:r>
            <w:r>
              <w:rPr>
                <w:rFonts w:hint="eastAsia"/>
                <w:b/>
              </w:rPr>
              <w:t>相符性分析</w:t>
            </w:r>
          </w:p>
          <w:p w14:paraId="55DF0CF7">
            <w:pPr>
              <w:spacing w:line="360" w:lineRule="auto"/>
              <w:ind w:firstLine="480"/>
              <w:jc w:val="both"/>
              <w:rPr>
                <w:sz w:val="24"/>
              </w:rPr>
            </w:pPr>
            <w:r>
              <w:rPr>
                <w:rFonts w:hint="eastAsia"/>
                <w:sz w:val="24"/>
              </w:rPr>
              <w:t>根据《河南省人民政府办公厅关于印发河南省县级集中式饮用水水源保护区划的通知》（豫政办〔</w:t>
            </w:r>
            <w:r>
              <w:rPr>
                <w:sz w:val="24"/>
              </w:rPr>
              <w:t>2013</w:t>
            </w:r>
            <w:r>
              <w:rPr>
                <w:rFonts w:hint="eastAsia"/>
                <w:sz w:val="24"/>
              </w:rPr>
              <w:t>〕</w:t>
            </w:r>
            <w:r>
              <w:rPr>
                <w:sz w:val="24"/>
              </w:rPr>
              <w:t>107</w:t>
            </w:r>
            <w:r>
              <w:rPr>
                <w:rFonts w:hint="eastAsia"/>
                <w:sz w:val="24"/>
              </w:rPr>
              <w:t>号）、《河南省人民政府办公厅关于印发河南省乡镇级集中式饮用水水源保护区划的通知》（豫政办</w:t>
            </w:r>
            <w:r>
              <w:rPr>
                <w:sz w:val="24"/>
              </w:rPr>
              <w:t>[2016]23</w:t>
            </w:r>
            <w:r>
              <w:rPr>
                <w:rFonts w:hint="eastAsia"/>
                <w:sz w:val="24"/>
              </w:rPr>
              <w:t>号）文件，距离本项目最近的水源地为栾川县</w:t>
            </w:r>
            <w:r>
              <w:rPr>
                <w:rFonts w:hint="eastAsia"/>
                <w:sz w:val="24"/>
                <w:lang w:val="en-US" w:eastAsia="zh-CN"/>
              </w:rPr>
              <w:t>三川镇柳树坑</w:t>
            </w:r>
            <w:r>
              <w:rPr>
                <w:rFonts w:hint="eastAsia"/>
                <w:sz w:val="24"/>
              </w:rPr>
              <w:t>水源保护区</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河流型</w:t>
            </w:r>
            <w:r>
              <w:rPr>
                <w:rFonts w:hint="eastAsia" w:ascii="Times New Roman" w:hAnsi="Times New Roman" w:eastAsia="宋体" w:cs="Times New Roman"/>
                <w:sz w:val="24"/>
                <w:lang w:eastAsia="zh-CN"/>
              </w:rPr>
              <w:t>）。</w:t>
            </w:r>
          </w:p>
          <w:p w14:paraId="0AC325A1">
            <w:pPr>
              <w:spacing w:line="360" w:lineRule="auto"/>
              <w:ind w:firstLine="480"/>
              <w:jc w:val="both"/>
              <w:rPr>
                <w:rFonts w:hint="default" w:ascii="Times New Roman" w:hAnsi="Times New Roman" w:eastAsia="宋体" w:cs="Times New Roman"/>
                <w:sz w:val="24"/>
              </w:rPr>
            </w:pPr>
            <w:r>
              <w:rPr>
                <w:rFonts w:hint="default" w:ascii="Times New Roman" w:hAnsi="Times New Roman" w:eastAsia="宋体" w:cs="Times New Roman"/>
                <w:sz w:val="24"/>
              </w:rPr>
              <w:t>柳树坑水源地位于</w:t>
            </w:r>
            <w:r>
              <w:rPr>
                <w:rFonts w:hint="eastAsia" w:ascii="Times New Roman" w:hAnsi="Times New Roman" w:eastAsia="宋体" w:cs="Times New Roman"/>
                <w:sz w:val="24"/>
                <w:lang w:val="en-US" w:eastAsia="zh-CN"/>
              </w:rPr>
              <w:t>三川</w:t>
            </w:r>
            <w:r>
              <w:rPr>
                <w:rFonts w:hint="default" w:ascii="Times New Roman" w:hAnsi="Times New Roman" w:eastAsia="宋体" w:cs="Times New Roman"/>
                <w:sz w:val="24"/>
              </w:rPr>
              <w:t>镇区东北部，距离镇区约4.3km。柳树坑水源地设计取水量22.0万m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/a，实际取水量18.3万m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/a，服务人口0.5万人，服务年限为4年，水质类别为II类水体，水源地补给主要以上游地表水体、山体渗水和降雨为主。</w:t>
            </w:r>
          </w:p>
          <w:p w14:paraId="76F9E9FD">
            <w:pPr>
              <w:spacing w:line="360" w:lineRule="auto"/>
              <w:ind w:firstLine="480"/>
              <w:jc w:val="both"/>
              <w:rPr>
                <w:rFonts w:hint="default" w:eastAsia="宋体"/>
                <w:lang w:val="en-US" w:eastAsia="zh-CN"/>
              </w:rPr>
            </w:pPr>
            <w:r>
              <w:rPr>
                <w:rFonts w:hint="eastAsia"/>
                <w:sz w:val="24"/>
              </w:rPr>
              <w:t>其保护范围如下：</w:t>
            </w:r>
            <w:r>
              <w:rPr>
                <w:rFonts w:hint="eastAsia" w:ascii="Times New Roman" w:hAnsi="Times New Roman" w:eastAsia="宋体" w:cs="Times New Roman"/>
                <w:sz w:val="24"/>
              </w:rPr>
              <w:t xml:space="preserve">一级保护区以取水口为基准，沿主河流在下游100m、上游1000m、河道两侧外延50m的区域进行定界；二级保护区以一级保护区边界为基准，沿主河流在下游200m、上游至分水岭、两侧外延至分水岭的范围进行定界；不划定准保护区。 </w:t>
            </w:r>
          </w:p>
          <w:p w14:paraId="152B680A">
            <w:pPr>
              <w:pStyle w:val="63"/>
              <w:spacing w:line="360" w:lineRule="auto"/>
              <w:ind w:firstLine="480"/>
              <w:rPr>
                <w:rFonts w:hint="eastAsia" w:eastAsia="宋体"/>
                <w:u w:val="none"/>
                <w:lang w:eastAsia="zh-CN"/>
              </w:rPr>
            </w:pPr>
            <w:r>
              <w:rPr>
                <w:rFonts w:hint="eastAsia"/>
                <w:sz w:val="24"/>
                <w:u w:val="none"/>
              </w:rPr>
              <w:t>根据上述</w:t>
            </w:r>
            <w:r>
              <w:rPr>
                <w:rFonts w:hint="eastAsia"/>
                <w:sz w:val="24"/>
                <w:u w:val="none"/>
                <w:lang w:val="en-US" w:eastAsia="zh-CN"/>
              </w:rPr>
              <w:t>分析</w:t>
            </w:r>
            <w:r>
              <w:rPr>
                <w:rFonts w:hint="eastAsia"/>
                <w:sz w:val="24"/>
                <w:u w:val="none"/>
              </w:rPr>
              <w:t>，本项目距离</w:t>
            </w:r>
            <w:r>
              <w:rPr>
                <w:rFonts w:hint="eastAsia"/>
                <w:sz w:val="24"/>
                <w:u w:val="none"/>
                <w:lang w:val="en-US" w:eastAsia="zh-CN"/>
              </w:rPr>
              <w:t>三川镇柳树坑</w:t>
            </w:r>
            <w:r>
              <w:rPr>
                <w:rFonts w:hint="eastAsia"/>
                <w:sz w:val="24"/>
                <w:u w:val="none"/>
              </w:rPr>
              <w:t>饮用水源</w:t>
            </w:r>
            <w:r>
              <w:rPr>
                <w:rFonts w:hint="eastAsia"/>
                <w:sz w:val="24"/>
                <w:u w:val="none"/>
                <w:lang w:val="en-US" w:eastAsia="zh-CN"/>
              </w:rPr>
              <w:t>二级</w:t>
            </w:r>
            <w:r>
              <w:rPr>
                <w:rFonts w:hint="eastAsia"/>
                <w:sz w:val="24"/>
                <w:u w:val="none"/>
              </w:rPr>
              <w:t>保护区</w:t>
            </w:r>
            <w:r>
              <w:rPr>
                <w:rFonts w:hint="eastAsia"/>
                <w:sz w:val="24"/>
                <w:u w:val="none"/>
                <w:lang w:val="en-US" w:eastAsia="zh-CN"/>
              </w:rPr>
              <w:t>边界7.91</w:t>
            </w:r>
            <w:r>
              <w:rPr>
                <w:rFonts w:hint="eastAsia"/>
                <w:sz w:val="24"/>
                <w:u w:val="none"/>
              </w:rPr>
              <w:t>km，不在水源保护区范围内</w:t>
            </w:r>
            <w:r>
              <w:rPr>
                <w:rFonts w:hint="eastAsia"/>
                <w:sz w:val="24"/>
                <w:u w:val="none"/>
                <w:lang w:eastAsia="zh-CN"/>
              </w:rPr>
              <w:t>，</w:t>
            </w:r>
            <w:r>
              <w:rPr>
                <w:rFonts w:hint="eastAsia"/>
                <w:sz w:val="24"/>
                <w:u w:val="none"/>
                <w:lang w:val="en-US" w:eastAsia="zh-CN"/>
              </w:rPr>
              <w:t>充填站与水源地保护区不在同一水系，对其影响较小。</w:t>
            </w:r>
          </w:p>
          <w:p w14:paraId="3C661B3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2"/>
                <w:sz w:val="24"/>
                <w:szCs w:val="24"/>
                <w:lang w:val="en-US" w:eastAsia="zh-CN" w:bidi="ar-SA"/>
              </w:rPr>
              <w:t>项目与集中式饮用水水源地保护区位置关系见</w:t>
            </w:r>
            <w:r>
              <w:rPr>
                <w:rFonts w:hint="default" w:ascii="Times New Roman" w:hAnsi="Times New Roman" w:eastAsia="宋体" w:cs="Times New Roman"/>
                <w:color w:val="auto"/>
                <w:kern w:val="2"/>
                <w:sz w:val="24"/>
                <w:szCs w:val="24"/>
                <w:lang w:val="en-US" w:eastAsia="zh-CN" w:bidi="ar-SA"/>
              </w:rPr>
              <w:t>附图</w:t>
            </w:r>
            <w:r>
              <w:rPr>
                <w:rFonts w:hint="eastAsia" w:ascii="Times New Roman" w:hAnsi="Times New Roman" w:eastAsia="宋体" w:cs="Times New Roman"/>
                <w:color w:val="auto"/>
                <w:kern w:val="2"/>
                <w:sz w:val="24"/>
                <w:szCs w:val="24"/>
                <w:lang w:val="en-US" w:eastAsia="zh-CN" w:bidi="ar-SA"/>
              </w:rPr>
              <w:t>5</w:t>
            </w:r>
            <w:r>
              <w:rPr>
                <w:rFonts w:hint="default" w:ascii="Times New Roman" w:hAnsi="Times New Roman" w:eastAsia="宋体" w:cs="Times New Roman"/>
                <w:color w:val="000000"/>
                <w:kern w:val="2"/>
                <w:sz w:val="24"/>
                <w:szCs w:val="24"/>
                <w:lang w:val="en-US" w:eastAsia="zh-CN" w:bidi="ar-SA"/>
              </w:rPr>
              <w:t>。</w:t>
            </w:r>
          </w:p>
        </w:tc>
      </w:tr>
    </w:tbl>
    <w:p w14:paraId="18FDF740">
      <w:pPr>
        <w:spacing w:line="360" w:lineRule="auto"/>
        <w:outlineLvl w:val="0"/>
        <w:rPr>
          <w:rFonts w:hint="default" w:ascii="Times New Roman" w:hAnsi="Times New Roman" w:eastAsia="宋体" w:cs="Times New Roman"/>
          <w:color w:val="000000"/>
          <w:sz w:val="30"/>
        </w:rPr>
        <w:sectPr>
          <w:footerReference r:id="rId5" w:type="default"/>
          <w:pgSz w:w="11906" w:h="16838"/>
          <w:pgMar w:top="1134" w:right="1134" w:bottom="1134" w:left="1134"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4B39C1CE">
      <w:pPr>
        <w:pStyle w:val="28"/>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二、建设项目工程分析</w:t>
      </w:r>
    </w:p>
    <w:tbl>
      <w:tblPr>
        <w:tblStyle w:val="31"/>
        <w:tblW w:w="98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71"/>
      </w:tblGrid>
      <w:tr w14:paraId="3C1A0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1" w:hRule="atLeast"/>
          <w:jc w:val="center"/>
        </w:trPr>
        <w:tc>
          <w:tcPr>
            <w:tcW w:w="1271" w:type="dxa"/>
            <w:noWrap w:val="0"/>
            <w:vAlign w:val="center"/>
          </w:tcPr>
          <w:p w14:paraId="6128D732">
            <w:pPr>
              <w:pStyle w:val="28"/>
              <w:adjustRightInd w:val="0"/>
              <w:snapToGrid w:val="0"/>
              <w:spacing w:before="0" w:beforeAutospacing="0" w:after="0" w:afterAutospacing="0"/>
              <w:jc w:val="center"/>
              <w:rPr>
                <w:rFonts w:cs="宋体"/>
                <w:sz w:val="21"/>
                <w:szCs w:val="21"/>
              </w:rPr>
            </w:pPr>
            <w:r>
              <w:rPr>
                <w:rFonts w:hint="eastAsia" w:cs="宋体"/>
                <w:szCs w:val="24"/>
              </w:rPr>
              <w:t>建设内容</w:t>
            </w:r>
          </w:p>
        </w:tc>
        <w:tc>
          <w:tcPr>
            <w:tcW w:w="8571" w:type="dxa"/>
            <w:noWrap w:val="0"/>
            <w:vAlign w:val="top"/>
          </w:tcPr>
          <w:p w14:paraId="77FA5CDF">
            <w:pPr>
              <w:numPr>
                <w:ilvl w:val="0"/>
                <w:numId w:val="0"/>
              </w:numPr>
              <w:adjustRightInd w:val="0"/>
              <w:spacing w:before="120" w:beforeLines="50" w:line="360" w:lineRule="auto"/>
              <w:ind w:leftChars="0"/>
              <w:contextualSpacing/>
              <w:rPr>
                <w:b/>
                <w:sz w:val="24"/>
                <w:u w:val="none"/>
              </w:rPr>
            </w:pPr>
            <w:r>
              <w:rPr>
                <w:rFonts w:hint="eastAsia"/>
                <w:b/>
                <w:sz w:val="24"/>
                <w:u w:val="none"/>
                <w:lang w:val="en-US" w:eastAsia="zh-CN"/>
              </w:rPr>
              <w:t>1.</w:t>
            </w:r>
            <w:r>
              <w:rPr>
                <w:b/>
                <w:sz w:val="24"/>
                <w:u w:val="none"/>
              </w:rPr>
              <w:t>项目由来及项目概况</w:t>
            </w:r>
          </w:p>
          <w:p w14:paraId="6B539DF7">
            <w:pPr>
              <w:spacing w:line="360" w:lineRule="auto"/>
              <w:ind w:firstLine="480" w:firstLineChars="200"/>
              <w:contextualSpacing/>
              <w:rPr>
                <w:rFonts w:hint="default" w:ascii="Times New Roman" w:hAnsi="Times New Roman" w:eastAsia="宋体" w:cs="Times New Roman"/>
                <w:sz w:val="24"/>
                <w:lang w:val="en-US" w:eastAsia="zh-CN"/>
              </w:rPr>
            </w:pPr>
            <w:r>
              <w:rPr>
                <w:rFonts w:hint="eastAsia"/>
                <w:sz w:val="24"/>
                <w:lang w:val="en-US" w:eastAsia="zh-CN"/>
              </w:rPr>
              <w:t>采空区是地下固体矿物开采后形成的废弃空间，</w:t>
            </w:r>
            <w:r>
              <w:rPr>
                <w:rFonts w:hint="eastAsia" w:ascii="Times New Roman" w:hAnsi="Times New Roman" w:eastAsia="宋体" w:cs="Times New Roman"/>
                <w:sz w:val="24"/>
                <w:lang w:val="en-US" w:eastAsia="zh-CN"/>
              </w:rPr>
              <w:t>目前，地下采空区已经成为制约矿山发展的一个重要难题。随着矿山深部的开发，极易发生地表沉陷，给矿山工人带来极大的人身安全问题。针对采空区存在带来的安全隐患，国务院安全生产委员会于2016年以安委办[2016]5号文件印发了《金属非金属地下矿山采空区事故隐患治理工作方案》</w:t>
            </w:r>
            <w:r>
              <w:rPr>
                <w:rFonts w:hint="eastAsia" w:cs="Times New Roman"/>
                <w:sz w:val="24"/>
                <w:lang w:val="en-US" w:eastAsia="zh-CN"/>
              </w:rPr>
              <w:t>。</w:t>
            </w:r>
            <w:r>
              <w:rPr>
                <w:rFonts w:hint="eastAsia" w:ascii="Times New Roman" w:hAnsi="Times New Roman" w:eastAsia="宋体" w:cs="Times New Roman"/>
                <w:sz w:val="24"/>
                <w:lang w:val="en-US" w:eastAsia="zh-CN"/>
              </w:rPr>
              <w:t>同时，河南省人民政府安全生产委员会办公室于2016年印发了《河南省金属非金属地下矿山采空区事故隐患治理工作方案》（豫安委办[2016]38号），于2017年印发了《关于推进金属非金属矿山安全发展遏制重特大事故工作的指导意见》（豫安委[2017]9号）等文件，对采空区治理提出了要求。</w:t>
            </w:r>
          </w:p>
          <w:p w14:paraId="0E30604A">
            <w:pPr>
              <w:spacing w:line="360" w:lineRule="auto"/>
              <w:ind w:firstLine="480" w:firstLineChars="200"/>
              <w:contextualSpacing/>
              <w:rPr>
                <w:rFonts w:hint="default" w:ascii="Times New Roman" w:hAnsi="Times New Roman" w:eastAsia="宋体" w:cs="Times New Roman"/>
                <w:color w:val="auto"/>
                <w:sz w:val="24"/>
                <w:u w:val="single"/>
                <w:lang w:val="en-US" w:eastAsia="zh-CN"/>
              </w:rPr>
            </w:pPr>
            <w:r>
              <w:rPr>
                <w:rFonts w:hint="eastAsia"/>
                <w:sz w:val="24"/>
                <w:u w:val="none"/>
                <w:lang w:val="en-US" w:eastAsia="zh-CN"/>
              </w:rPr>
              <w:t>栾川县惠顿矿业有限公司选厂包括500t/d选矿及配套琚</w:t>
            </w:r>
            <w:r>
              <w:rPr>
                <w:rFonts w:hint="eastAsia" w:ascii="Times New Roman" w:hAnsi="Times New Roman" w:eastAsia="宋体" w:cs="Times New Roman"/>
                <w:sz w:val="24"/>
                <w:u w:val="none"/>
                <w:lang w:val="en-US" w:eastAsia="zh-CN"/>
              </w:rPr>
              <w:t>家沟</w:t>
            </w:r>
            <w:r>
              <w:rPr>
                <w:rFonts w:hint="eastAsia"/>
                <w:sz w:val="24"/>
                <w:u w:val="none"/>
                <w:lang w:val="en-US" w:eastAsia="zh-CN"/>
              </w:rPr>
              <w:t>尾矿库，</w:t>
            </w:r>
            <w:r>
              <w:rPr>
                <w:rFonts w:hint="eastAsia" w:ascii="Times New Roman" w:hAnsi="Times New Roman" w:eastAsia="宋体" w:cs="Times New Roman"/>
                <w:sz w:val="24"/>
                <w:u w:val="none"/>
                <w:lang w:val="en-US" w:eastAsia="zh-CN"/>
              </w:rPr>
              <w:t>选厂始建于2005年3月，生产规模为500t/d。2006年，企业委托洛阳市环境保护设计研究所编制了《栾川县惠顿矿业有限公司日处理500t钼选厂项目环境影响报告表》，并于2006年9月20日以洛环监表【2006】94号文通过了洛阳市环境保护局批复。2018年8月，由洛阳绿壤环境检测有限公司根据监测和调查结果编制《栾川县惠顿矿业有限公司日处理500吨铅/钼选厂项目竣工环境保护验收调查报告》并于9月在验收平台上进行自主备案。</w:t>
            </w:r>
            <w:r>
              <w:rPr>
                <w:rFonts w:hint="eastAsia" w:ascii="Times New Roman" w:hAnsi="Times New Roman" w:eastAsia="宋体" w:cs="Times New Roman"/>
                <w:color w:val="auto"/>
                <w:sz w:val="24"/>
                <w:u w:val="none"/>
                <w:lang w:val="en-US" w:eastAsia="zh-CN"/>
              </w:rPr>
              <w:t>目前选厂尾矿砂泵至琚家沟尾矿库进行堆存。踞家沟尾矿库属于山谷型尾矿库，尾矿库设计总库容200.09万立方米，有效库容180.08万立方米，属于Ⅲ等尾矿库。</w:t>
            </w:r>
            <w:r>
              <w:rPr>
                <w:rFonts w:hint="default" w:ascii="Times New Roman" w:hAnsi="Times New Roman" w:eastAsia="宋体" w:cs="Times New Roman"/>
                <w:color w:val="auto"/>
                <w:sz w:val="24"/>
                <w:u w:val="none"/>
                <w:lang w:val="en-US" w:eastAsia="zh-CN"/>
              </w:rPr>
              <w:t>尾矿库设计总坝高99m，初期坝总坝高28m，目前尾矿库总坝高</w:t>
            </w:r>
            <w:r>
              <w:rPr>
                <w:rFonts w:hint="eastAsia" w:cs="Times New Roman"/>
                <w:color w:val="auto"/>
                <w:sz w:val="24"/>
                <w:u w:val="none"/>
                <w:lang w:val="en-US" w:eastAsia="zh-CN"/>
              </w:rPr>
              <w:t>82.06</w:t>
            </w:r>
            <w:r>
              <w:rPr>
                <w:rFonts w:hint="default" w:ascii="Times New Roman" w:hAnsi="Times New Roman" w:eastAsia="宋体" w:cs="Times New Roman"/>
                <w:color w:val="auto"/>
                <w:sz w:val="24"/>
                <w:u w:val="none"/>
                <w:lang w:val="en-US" w:eastAsia="zh-CN"/>
              </w:rPr>
              <w:t>m，堆积坝高</w:t>
            </w:r>
            <w:r>
              <w:rPr>
                <w:rFonts w:hint="eastAsia" w:cs="Times New Roman"/>
                <w:color w:val="auto"/>
                <w:sz w:val="24"/>
                <w:u w:val="none"/>
                <w:lang w:val="en-US" w:eastAsia="zh-CN"/>
              </w:rPr>
              <w:t>54.06</w:t>
            </w:r>
            <w:r>
              <w:rPr>
                <w:rFonts w:hint="default" w:ascii="Times New Roman" w:hAnsi="Times New Roman" w:eastAsia="宋体" w:cs="Times New Roman"/>
                <w:color w:val="auto"/>
                <w:sz w:val="24"/>
                <w:u w:val="none"/>
                <w:lang w:val="en-US" w:eastAsia="zh-CN"/>
              </w:rPr>
              <w:t>m</w:t>
            </w:r>
            <w:r>
              <w:rPr>
                <w:rFonts w:hint="eastAsia" w:ascii="Times New Roman" w:hAnsi="Times New Roman" w:eastAsia="宋体" w:cs="Times New Roman"/>
                <w:color w:val="auto"/>
                <w:sz w:val="24"/>
                <w:u w:val="none"/>
                <w:lang w:val="en-US" w:eastAsia="zh-CN"/>
              </w:rPr>
              <w:t>，剩余库容为7</w:t>
            </w:r>
            <w:r>
              <w:rPr>
                <w:rFonts w:hint="eastAsia" w:cs="Times New Roman"/>
                <w:color w:val="auto"/>
                <w:sz w:val="24"/>
                <w:u w:val="none"/>
                <w:lang w:val="en-US" w:eastAsia="zh-CN"/>
              </w:rPr>
              <w:t>1.53</w:t>
            </w:r>
            <w:r>
              <w:rPr>
                <w:rFonts w:hint="eastAsia" w:ascii="Times New Roman" w:hAnsi="Times New Roman" w:eastAsia="宋体" w:cs="Times New Roman"/>
                <w:color w:val="auto"/>
                <w:sz w:val="24"/>
                <w:u w:val="none"/>
                <w:lang w:val="en-US" w:eastAsia="zh-CN"/>
              </w:rPr>
              <w:t>万立方米</w:t>
            </w:r>
            <w:r>
              <w:rPr>
                <w:rFonts w:hint="eastAsia" w:cs="Times New Roman"/>
                <w:color w:val="auto"/>
                <w:sz w:val="24"/>
                <w:u w:val="none"/>
                <w:lang w:val="en-US" w:eastAsia="zh-CN"/>
              </w:rPr>
              <w:t>，剩余服务年限3.6年。随着</w:t>
            </w:r>
            <w:r>
              <w:rPr>
                <w:rFonts w:hint="eastAsia" w:ascii="Times New Roman" w:hAnsi="Times New Roman" w:eastAsia="宋体" w:cs="Times New Roman"/>
                <w:color w:val="auto"/>
                <w:sz w:val="24"/>
                <w:u w:val="none"/>
                <w:lang w:val="en-US" w:eastAsia="zh-CN"/>
              </w:rPr>
              <w:t>琚家沟尾矿库服务年限将至，选厂尾砂即将面临无处可排的窘境。</w:t>
            </w:r>
            <w:r>
              <w:rPr>
                <w:rFonts w:hint="eastAsia" w:cs="Times New Roman"/>
                <w:color w:val="auto"/>
                <w:sz w:val="24"/>
                <w:u w:val="none"/>
                <w:lang w:val="en-US" w:eastAsia="zh-CN"/>
              </w:rPr>
              <w:t xml:space="preserve"> </w:t>
            </w:r>
          </w:p>
          <w:p w14:paraId="0EF4B18B">
            <w:pPr>
              <w:spacing w:line="360" w:lineRule="auto"/>
              <w:ind w:firstLine="480" w:firstLineChars="200"/>
              <w:contextualSpacing/>
              <w:rPr>
                <w:rFonts w:hint="eastAsia"/>
                <w:sz w:val="24"/>
                <w:u w:val="none"/>
                <w:lang w:val="en-US" w:eastAsia="zh-CN"/>
              </w:rPr>
            </w:pPr>
            <w:r>
              <w:rPr>
                <w:rFonts w:hint="eastAsia"/>
                <w:sz w:val="24"/>
                <w:u w:val="none"/>
                <w:lang w:val="en-US" w:eastAsia="zh-CN"/>
              </w:rPr>
              <w:t>栾川县惠顿矿业有限公司拥有自主采矿权，其矿区位于栾川县三川镇大红村一带，矿区面积为2.08488km</w:t>
            </w:r>
            <w:r>
              <w:rPr>
                <w:rFonts w:hint="eastAsia"/>
                <w:sz w:val="24"/>
                <w:u w:val="none"/>
                <w:vertAlign w:val="superscript"/>
                <w:lang w:val="en-US" w:eastAsia="zh-CN"/>
              </w:rPr>
              <w:t>2</w:t>
            </w:r>
            <w:r>
              <w:rPr>
                <w:rFonts w:hint="eastAsia"/>
                <w:sz w:val="24"/>
                <w:u w:val="none"/>
                <w:vertAlign w:val="baseline"/>
                <w:lang w:val="en-US" w:eastAsia="zh-CN"/>
              </w:rPr>
              <w:t>，开采标高为+1500m至+1030m ,设计开采11个钼矿体和1个铅矿体，分别为6</w:t>
            </w:r>
            <w:r>
              <w:rPr>
                <w:rFonts w:hint="eastAsia" w:cs="Times New Roman"/>
                <w:sz w:val="24"/>
                <w:u w:val="none"/>
                <w:vertAlign w:val="baseline"/>
                <w:lang w:val="en-US" w:eastAsia="zh-CN"/>
              </w:rPr>
              <w:t>-</w:t>
            </w:r>
            <w:r>
              <w:rPr>
                <w:rFonts w:hint="default" w:ascii="Times New Roman" w:hAnsi="Times New Roman" w:eastAsia="宋体" w:cs="Times New Roman"/>
                <w:sz w:val="24"/>
                <w:u w:val="none"/>
                <w:vertAlign w:val="baseline"/>
                <w:lang w:val="en-US" w:eastAsia="zh-CN"/>
              </w:rPr>
              <w:t>Ι</w:t>
            </w:r>
            <w:r>
              <w:rPr>
                <w:rFonts w:hint="eastAsia" w:ascii="Times New Roman" w:hAnsi="Times New Roman" w:eastAsia="宋体" w:cs="Times New Roman"/>
                <w:sz w:val="24"/>
                <w:u w:val="none"/>
                <w:vertAlign w:val="baseline"/>
                <w:lang w:val="en-US" w:eastAsia="zh-CN"/>
              </w:rPr>
              <w:t>、</w:t>
            </w:r>
            <w:r>
              <w:rPr>
                <w:rFonts w:hint="eastAsia"/>
                <w:sz w:val="24"/>
                <w:u w:val="none"/>
                <w:vertAlign w:val="baseline"/>
                <w:lang w:val="en-US" w:eastAsia="zh-CN"/>
              </w:rPr>
              <w:t>6</w:t>
            </w:r>
            <w:r>
              <w:rPr>
                <w:rFonts w:hint="eastAsia" w:cs="Times New Roman"/>
                <w:sz w:val="24"/>
                <w:u w:val="none"/>
                <w:vertAlign w:val="baseline"/>
                <w:lang w:val="en-US" w:eastAsia="zh-CN"/>
              </w:rPr>
              <w:t>-</w:t>
            </w:r>
            <w:r>
              <w:rPr>
                <w:rFonts w:hint="default" w:ascii="Times New Roman" w:hAnsi="Times New Roman" w:eastAsia="宋体" w:cs="Times New Roman"/>
                <w:sz w:val="24"/>
                <w:u w:val="none"/>
                <w:vertAlign w:val="baseline"/>
                <w:lang w:val="en-US" w:eastAsia="zh-CN"/>
              </w:rPr>
              <w:t>Ⅱ</w:t>
            </w:r>
            <w:r>
              <w:rPr>
                <w:rFonts w:hint="eastAsia" w:ascii="Times New Roman" w:hAnsi="Times New Roman" w:eastAsia="宋体" w:cs="Times New Roman"/>
                <w:sz w:val="24"/>
                <w:u w:val="none"/>
                <w:vertAlign w:val="baseline"/>
                <w:lang w:val="en-US" w:eastAsia="zh-CN"/>
              </w:rPr>
              <w:t>、</w:t>
            </w:r>
            <w:r>
              <w:rPr>
                <w:rFonts w:hint="eastAsia"/>
                <w:sz w:val="24"/>
                <w:u w:val="none"/>
                <w:vertAlign w:val="baseline"/>
                <w:lang w:val="en-US" w:eastAsia="zh-CN"/>
              </w:rPr>
              <w:t>6</w:t>
            </w:r>
            <w:r>
              <w:rPr>
                <w:rFonts w:hint="eastAsia" w:cs="Times New Roman"/>
                <w:sz w:val="24"/>
                <w:u w:val="none"/>
                <w:vertAlign w:val="baseline"/>
                <w:lang w:val="en-US" w:eastAsia="zh-CN"/>
              </w:rPr>
              <w:t>-</w:t>
            </w:r>
            <w:r>
              <w:rPr>
                <w:rFonts w:hint="default" w:ascii="Times New Roman" w:hAnsi="Times New Roman" w:eastAsia="宋体" w:cs="Times New Roman"/>
                <w:sz w:val="24"/>
                <w:u w:val="none"/>
                <w:vertAlign w:val="baseline"/>
                <w:lang w:val="en-US" w:eastAsia="zh-CN"/>
              </w:rPr>
              <w:t>Ⅲ</w:t>
            </w:r>
            <w:r>
              <w:rPr>
                <w:rFonts w:hint="eastAsia" w:ascii="Times New Roman" w:hAnsi="Times New Roman" w:eastAsia="宋体" w:cs="Times New Roman"/>
                <w:sz w:val="24"/>
                <w:u w:val="none"/>
                <w:vertAlign w:val="baseline"/>
                <w:lang w:val="en-US" w:eastAsia="zh-CN"/>
              </w:rPr>
              <w:t>、</w:t>
            </w:r>
            <w:r>
              <w:rPr>
                <w:rFonts w:hint="eastAsia"/>
                <w:sz w:val="24"/>
                <w:u w:val="none"/>
                <w:vertAlign w:val="baseline"/>
                <w:lang w:val="en-US" w:eastAsia="zh-CN"/>
              </w:rPr>
              <w:t>6</w:t>
            </w:r>
            <w:r>
              <w:rPr>
                <w:rFonts w:hint="eastAsia" w:cs="Times New Roman"/>
                <w:sz w:val="24"/>
                <w:u w:val="none"/>
                <w:vertAlign w:val="baseline"/>
                <w:lang w:val="en-US" w:eastAsia="zh-CN"/>
              </w:rPr>
              <w:t>-</w:t>
            </w:r>
            <w:r>
              <w:rPr>
                <w:rFonts w:hint="default" w:ascii="Times New Roman" w:hAnsi="Times New Roman" w:eastAsia="宋体" w:cs="Times New Roman"/>
                <w:sz w:val="24"/>
                <w:u w:val="none"/>
                <w:vertAlign w:val="baseline"/>
                <w:lang w:val="en-US" w:eastAsia="zh-CN"/>
              </w:rPr>
              <w:t>Ι</w:t>
            </w:r>
            <w:r>
              <w:rPr>
                <w:rFonts w:hint="eastAsia" w:ascii="Times New Roman" w:hAnsi="Times New Roman" w:eastAsia="宋体" w:cs="Times New Roman"/>
                <w:sz w:val="24"/>
                <w:u w:val="none"/>
                <w:vertAlign w:val="baseline"/>
                <w:lang w:val="en-US" w:eastAsia="zh-CN"/>
              </w:rPr>
              <w:t>V、</w:t>
            </w:r>
            <w:r>
              <w:rPr>
                <w:rFonts w:hint="eastAsia"/>
                <w:sz w:val="24"/>
                <w:u w:val="none"/>
                <w:vertAlign w:val="baseline"/>
                <w:lang w:val="en-US" w:eastAsia="zh-CN"/>
              </w:rPr>
              <w:t>6</w:t>
            </w:r>
            <w:r>
              <w:rPr>
                <w:rFonts w:hint="eastAsia" w:cs="Times New Roman"/>
                <w:sz w:val="24"/>
                <w:u w:val="none"/>
                <w:vertAlign w:val="baseline"/>
                <w:lang w:val="en-US" w:eastAsia="zh-CN"/>
              </w:rPr>
              <w:t>-</w:t>
            </w:r>
            <w:r>
              <w:rPr>
                <w:rFonts w:hint="eastAsia" w:ascii="Times New Roman" w:hAnsi="Times New Roman" w:eastAsia="宋体" w:cs="Times New Roman"/>
                <w:sz w:val="24"/>
                <w:u w:val="none"/>
                <w:vertAlign w:val="baseline"/>
                <w:lang w:val="en-US" w:eastAsia="zh-CN"/>
              </w:rPr>
              <w:t>V、</w:t>
            </w:r>
            <w:r>
              <w:rPr>
                <w:rFonts w:hint="eastAsia"/>
                <w:sz w:val="24"/>
                <w:u w:val="none"/>
                <w:vertAlign w:val="baseline"/>
                <w:lang w:val="en-US" w:eastAsia="zh-CN"/>
              </w:rPr>
              <w:t>6</w:t>
            </w:r>
            <w:r>
              <w:rPr>
                <w:rFonts w:hint="eastAsia" w:cs="Times New Roman"/>
                <w:sz w:val="24"/>
                <w:u w:val="none"/>
                <w:vertAlign w:val="baseline"/>
                <w:lang w:val="en-US" w:eastAsia="zh-CN"/>
              </w:rPr>
              <w:t>-V</w:t>
            </w:r>
            <w:r>
              <w:rPr>
                <w:rFonts w:hint="default" w:ascii="Times New Roman" w:hAnsi="Times New Roman" w:eastAsia="宋体" w:cs="Times New Roman"/>
                <w:sz w:val="24"/>
                <w:u w:val="none"/>
                <w:vertAlign w:val="baseline"/>
                <w:lang w:val="en-US" w:eastAsia="zh-CN"/>
              </w:rPr>
              <w:t>Ι</w:t>
            </w:r>
            <w:r>
              <w:rPr>
                <w:rFonts w:hint="eastAsia" w:ascii="Times New Roman" w:hAnsi="Times New Roman" w:eastAsia="宋体" w:cs="Times New Roman"/>
                <w:sz w:val="24"/>
                <w:u w:val="none"/>
                <w:vertAlign w:val="baseline"/>
                <w:lang w:val="en-US" w:eastAsia="zh-CN"/>
              </w:rPr>
              <w:t>、</w:t>
            </w:r>
            <w:r>
              <w:rPr>
                <w:rFonts w:hint="eastAsia"/>
                <w:sz w:val="24"/>
                <w:u w:val="none"/>
                <w:vertAlign w:val="baseline"/>
                <w:lang w:val="en-US" w:eastAsia="zh-CN"/>
              </w:rPr>
              <w:t>6</w:t>
            </w:r>
            <w:r>
              <w:rPr>
                <w:rFonts w:hint="eastAsia" w:cs="Times New Roman"/>
                <w:sz w:val="24"/>
                <w:u w:val="none"/>
                <w:vertAlign w:val="baseline"/>
                <w:lang w:val="en-US" w:eastAsia="zh-CN"/>
              </w:rPr>
              <w:t>-V</w:t>
            </w:r>
            <w:r>
              <w:rPr>
                <w:rFonts w:hint="default" w:ascii="Times New Roman" w:hAnsi="Times New Roman" w:eastAsia="宋体" w:cs="Times New Roman"/>
                <w:sz w:val="24"/>
                <w:u w:val="none"/>
                <w:vertAlign w:val="baseline"/>
                <w:lang w:val="en-US" w:eastAsia="zh-CN"/>
              </w:rPr>
              <w:t>Ⅱ</w:t>
            </w:r>
            <w:r>
              <w:rPr>
                <w:rFonts w:hint="eastAsia" w:ascii="Times New Roman" w:hAnsi="Times New Roman" w:eastAsia="宋体" w:cs="Times New Roman"/>
                <w:sz w:val="24"/>
                <w:u w:val="none"/>
                <w:vertAlign w:val="baseline"/>
                <w:lang w:val="en-US" w:eastAsia="zh-CN"/>
              </w:rPr>
              <w:t>、</w:t>
            </w:r>
            <w:r>
              <w:rPr>
                <w:rFonts w:hint="eastAsia"/>
                <w:sz w:val="24"/>
                <w:u w:val="none"/>
                <w:vertAlign w:val="baseline"/>
                <w:lang w:val="en-US" w:eastAsia="zh-CN"/>
              </w:rPr>
              <w:t>6</w:t>
            </w:r>
            <w:r>
              <w:rPr>
                <w:rFonts w:hint="eastAsia" w:cs="Times New Roman"/>
                <w:sz w:val="24"/>
                <w:u w:val="none"/>
                <w:vertAlign w:val="baseline"/>
                <w:lang w:val="en-US" w:eastAsia="zh-CN"/>
              </w:rPr>
              <w:t>-V</w:t>
            </w:r>
            <w:r>
              <w:rPr>
                <w:rFonts w:hint="default" w:ascii="Times New Roman" w:hAnsi="Times New Roman" w:eastAsia="宋体" w:cs="Times New Roman"/>
                <w:sz w:val="24"/>
                <w:u w:val="none"/>
                <w:vertAlign w:val="baseline"/>
                <w:lang w:val="en-US" w:eastAsia="zh-CN"/>
              </w:rPr>
              <w:t>Ⅲ</w:t>
            </w:r>
            <w:r>
              <w:rPr>
                <w:rFonts w:hint="eastAsia" w:ascii="Times New Roman" w:hAnsi="Times New Roman" w:eastAsia="宋体" w:cs="Times New Roman"/>
                <w:sz w:val="24"/>
                <w:u w:val="none"/>
                <w:vertAlign w:val="baseline"/>
                <w:lang w:val="en-US" w:eastAsia="zh-CN"/>
              </w:rPr>
              <w:t>、</w:t>
            </w:r>
            <w:r>
              <w:rPr>
                <w:rFonts w:hint="eastAsia"/>
                <w:sz w:val="24"/>
                <w:u w:val="none"/>
                <w:vertAlign w:val="baseline"/>
                <w:lang w:val="en-US" w:eastAsia="zh-CN"/>
              </w:rPr>
              <w:t>6</w:t>
            </w:r>
            <w:r>
              <w:rPr>
                <w:rFonts w:hint="eastAsia" w:cs="Times New Roman"/>
                <w:sz w:val="24"/>
                <w:u w:val="none"/>
                <w:vertAlign w:val="baseline"/>
                <w:lang w:val="en-US" w:eastAsia="zh-CN"/>
              </w:rPr>
              <w:t>-</w:t>
            </w:r>
            <w:r>
              <w:rPr>
                <w:rFonts w:hint="default" w:ascii="Times New Roman" w:hAnsi="Times New Roman" w:eastAsia="宋体" w:cs="Times New Roman"/>
                <w:sz w:val="24"/>
                <w:u w:val="none"/>
                <w:vertAlign w:val="baseline"/>
                <w:lang w:val="en-US" w:eastAsia="zh-CN"/>
              </w:rPr>
              <w:t>Ι</w:t>
            </w:r>
            <w:r>
              <w:rPr>
                <w:rFonts w:hint="eastAsia" w:ascii="Times New Roman" w:hAnsi="Times New Roman" w:eastAsia="宋体" w:cs="Times New Roman"/>
                <w:sz w:val="24"/>
                <w:u w:val="none"/>
                <w:vertAlign w:val="baseline"/>
                <w:lang w:val="en-US" w:eastAsia="zh-CN"/>
              </w:rPr>
              <w:t>X、6</w:t>
            </w:r>
            <w:r>
              <w:rPr>
                <w:rFonts w:hint="eastAsia" w:cs="Times New Roman"/>
                <w:sz w:val="24"/>
                <w:u w:val="none"/>
                <w:vertAlign w:val="baseline"/>
                <w:lang w:val="en-US" w:eastAsia="zh-CN"/>
              </w:rPr>
              <w:t>-</w:t>
            </w:r>
            <w:r>
              <w:rPr>
                <w:rFonts w:hint="eastAsia" w:ascii="Times New Roman" w:hAnsi="Times New Roman" w:eastAsia="宋体" w:cs="Times New Roman"/>
                <w:sz w:val="24"/>
                <w:u w:val="none"/>
                <w:vertAlign w:val="baseline"/>
                <w:lang w:val="en-US" w:eastAsia="zh-CN"/>
              </w:rPr>
              <w:t>X、9</w:t>
            </w:r>
            <w:r>
              <w:rPr>
                <w:rFonts w:hint="eastAsia" w:cs="Times New Roman"/>
                <w:sz w:val="24"/>
                <w:u w:val="none"/>
                <w:vertAlign w:val="baseline"/>
                <w:lang w:val="en-US" w:eastAsia="zh-CN"/>
              </w:rPr>
              <w:t>-</w:t>
            </w:r>
            <w:r>
              <w:rPr>
                <w:rFonts w:hint="default" w:ascii="Times New Roman" w:hAnsi="Times New Roman" w:eastAsia="宋体" w:cs="Times New Roman"/>
                <w:sz w:val="24"/>
                <w:u w:val="none"/>
                <w:vertAlign w:val="baseline"/>
                <w:lang w:val="en-US" w:eastAsia="zh-CN"/>
              </w:rPr>
              <w:t>Ι</w:t>
            </w:r>
            <w:r>
              <w:rPr>
                <w:rFonts w:hint="eastAsia" w:ascii="Times New Roman" w:hAnsi="Times New Roman" w:eastAsia="宋体" w:cs="Times New Roman"/>
                <w:sz w:val="24"/>
                <w:u w:val="none"/>
                <w:vertAlign w:val="baseline"/>
                <w:lang w:val="en-US" w:eastAsia="zh-CN"/>
              </w:rPr>
              <w:t>、1</w:t>
            </w:r>
            <w:r>
              <w:rPr>
                <w:rFonts w:hint="eastAsia" w:cs="Times New Roman"/>
                <w:sz w:val="24"/>
                <w:u w:val="none"/>
                <w:vertAlign w:val="baseline"/>
                <w:lang w:val="en-US" w:eastAsia="zh-CN"/>
              </w:rPr>
              <w:t>-</w:t>
            </w:r>
            <w:r>
              <w:rPr>
                <w:rFonts w:hint="default" w:ascii="Times New Roman" w:hAnsi="Times New Roman" w:eastAsia="宋体" w:cs="Times New Roman"/>
                <w:sz w:val="24"/>
                <w:u w:val="none"/>
                <w:vertAlign w:val="baseline"/>
                <w:lang w:val="en-US" w:eastAsia="zh-CN"/>
              </w:rPr>
              <w:t>Ι</w:t>
            </w:r>
            <w:r>
              <w:rPr>
                <w:rFonts w:hint="eastAsia" w:ascii="Times New Roman" w:hAnsi="Times New Roman" w:eastAsia="宋体" w:cs="Times New Roman"/>
                <w:sz w:val="24"/>
                <w:u w:val="none"/>
                <w:vertAlign w:val="baseline"/>
                <w:lang w:val="en-US" w:eastAsia="zh-CN"/>
              </w:rPr>
              <w:t>，全部采用地下开采方式，分为三个采区进行开采，</w:t>
            </w:r>
            <w:r>
              <w:rPr>
                <w:rFonts w:hint="eastAsia"/>
                <w:sz w:val="24"/>
                <w:u w:val="none"/>
                <w:vertAlign w:val="baseline"/>
                <w:lang w:val="en-US" w:eastAsia="zh-CN"/>
              </w:rPr>
              <w:t>钼矿开采</w:t>
            </w:r>
            <w:r>
              <w:rPr>
                <w:rFonts w:hint="eastAsia"/>
                <w:sz w:val="24"/>
                <w:u w:val="none"/>
                <w:lang w:val="en-US" w:eastAsia="zh-CN"/>
              </w:rPr>
              <w:t>规模为30万t/a，铅矿开采规模为3万t/a，惠顿公司于2020年4月委托中赟国际工程有限公司编写了《栾川县惠顿矿业有限公司火神庙铅钼矿项目环境影响报告书》，2020年11月，洛阳市生态环境局以洛环审[2020]45号对环评进行批复；其环评批复及采矿证见后附件。</w:t>
            </w:r>
          </w:p>
          <w:p w14:paraId="12B2E26D">
            <w:pPr>
              <w:spacing w:line="360" w:lineRule="auto"/>
              <w:ind w:firstLine="480" w:firstLineChars="200"/>
              <w:contextualSpacing/>
              <w:rPr>
                <w:rFonts w:hint="eastAsia" w:cs="Times New Roman"/>
                <w:sz w:val="24"/>
                <w:u w:val="none"/>
                <w:lang w:val="en-US" w:eastAsia="zh-CN"/>
              </w:rPr>
            </w:pPr>
            <w:r>
              <w:rPr>
                <w:rFonts w:hint="eastAsia" w:cs="Times New Roman"/>
                <w:sz w:val="24"/>
                <w:u w:val="none"/>
                <w:lang w:val="en-US" w:eastAsia="zh-CN"/>
              </w:rPr>
              <w:t>目前，</w:t>
            </w:r>
            <w:r>
              <w:rPr>
                <w:rFonts w:hint="eastAsia" w:cs="Times New Roman"/>
                <w:color w:val="auto"/>
                <w:sz w:val="24"/>
                <w:u w:val="none"/>
                <w:lang w:val="en-US" w:eastAsia="zh-CN"/>
              </w:rPr>
              <w:t>矿区正在开采第一采区，已开采18年，形成了72.6866万m³</w:t>
            </w:r>
            <w:r>
              <w:rPr>
                <w:rFonts w:hint="eastAsia" w:ascii="Times New Roman" w:hAnsi="Times New Roman" w:eastAsia="宋体" w:cs="Times New Roman"/>
                <w:color w:val="auto"/>
                <w:sz w:val="24"/>
                <w:u w:val="none"/>
                <w:lang w:val="en-US" w:eastAsia="zh-CN"/>
              </w:rPr>
              <w:t>的采空区，采空区</w:t>
            </w:r>
            <w:r>
              <w:rPr>
                <w:rFonts w:hint="eastAsia" w:cs="Times New Roman"/>
                <w:color w:val="auto"/>
                <w:sz w:val="24"/>
                <w:u w:val="none"/>
                <w:lang w:val="en-US" w:eastAsia="zh-CN"/>
              </w:rPr>
              <w:t>主</w:t>
            </w:r>
            <w:r>
              <w:rPr>
                <w:rFonts w:hint="eastAsia" w:cs="Times New Roman"/>
                <w:sz w:val="24"/>
                <w:u w:val="none"/>
                <w:lang w:val="en-US" w:eastAsia="zh-CN"/>
              </w:rPr>
              <w:t>要位于</w:t>
            </w:r>
            <w:r>
              <w:rPr>
                <w:rFonts w:hint="eastAsia" w:ascii="Times New Roman" w:hAnsi="Times New Roman" w:eastAsia="宋体" w:cs="Times New Roman"/>
                <w:sz w:val="24"/>
                <w:u w:val="none"/>
                <w:lang w:val="en-US" w:eastAsia="zh-CN"/>
              </w:rPr>
              <w:t>+1246m、+1205m、+1170m、+1160m水平中段，</w:t>
            </w:r>
            <w:r>
              <w:rPr>
                <w:rFonts w:hint="eastAsia" w:cs="Times New Roman"/>
                <w:sz w:val="24"/>
                <w:u w:val="none"/>
                <w:lang w:val="en-US" w:eastAsia="zh-CN"/>
              </w:rPr>
              <w:t>为治理矿山在开采过程产生的采空区，</w:t>
            </w:r>
            <w:r>
              <w:rPr>
                <w:rFonts w:hint="eastAsia" w:ascii="Times New Roman" w:hAnsi="Times New Roman" w:eastAsia="宋体" w:cs="Times New Roman"/>
                <w:sz w:val="24"/>
                <w:u w:val="none"/>
                <w:lang w:val="en-US" w:eastAsia="zh-CN"/>
              </w:rPr>
              <w:t>惠顿公司</w:t>
            </w:r>
            <w:r>
              <w:rPr>
                <w:rFonts w:hint="eastAsia" w:ascii="Times New Roman" w:hAnsi="Times New Roman" w:eastAsia="宋体" w:cs="Times New Roman"/>
                <w:color w:val="auto"/>
                <w:sz w:val="24"/>
                <w:u w:val="none"/>
                <w:lang w:val="en-US" w:eastAsia="zh-CN"/>
              </w:rPr>
              <w:t>委托</w:t>
            </w:r>
            <w:r>
              <w:rPr>
                <w:rFonts w:hint="eastAsia" w:cs="Times New Roman"/>
                <w:color w:val="auto"/>
                <w:sz w:val="24"/>
                <w:u w:val="none"/>
                <w:lang w:val="en-US" w:eastAsia="zh-CN"/>
              </w:rPr>
              <w:t>专业</w:t>
            </w:r>
            <w:r>
              <w:rPr>
                <w:rFonts w:hint="eastAsia" w:ascii="Times New Roman" w:hAnsi="Times New Roman" w:eastAsia="宋体" w:cs="Times New Roman"/>
                <w:sz w:val="24"/>
                <w:u w:val="none"/>
                <w:lang w:val="en-US" w:eastAsia="zh-CN"/>
              </w:rPr>
              <w:t>设计</w:t>
            </w:r>
            <w:r>
              <w:rPr>
                <w:rFonts w:hint="eastAsia" w:cs="Times New Roman"/>
                <w:sz w:val="24"/>
                <w:u w:val="none"/>
                <w:lang w:val="en-US" w:eastAsia="zh-CN"/>
              </w:rPr>
              <w:t>单位</w:t>
            </w:r>
            <w:r>
              <w:rPr>
                <w:rFonts w:hint="eastAsia" w:ascii="Times New Roman" w:hAnsi="Times New Roman" w:eastAsia="宋体" w:cs="Times New Roman"/>
                <w:sz w:val="24"/>
                <w:u w:val="none"/>
                <w:lang w:val="en-US" w:eastAsia="zh-CN"/>
              </w:rPr>
              <w:t>采用填充法治理的方式，利用尾砂作为充填骨料，将尾砂重新加工成充填材料回填至井下采空区</w:t>
            </w:r>
            <w:r>
              <w:rPr>
                <w:rFonts w:hint="eastAsia" w:ascii="Times New Roman" w:hAnsi="Times New Roman" w:eastAsia="宋体" w:cs="Times New Roman"/>
                <w:color w:val="auto"/>
                <w:sz w:val="24"/>
                <w:u w:val="none"/>
                <w:lang w:val="en-US" w:eastAsia="zh-CN"/>
              </w:rPr>
              <w:t>。</w:t>
            </w:r>
            <w:r>
              <w:rPr>
                <w:rFonts w:hint="eastAsia" w:ascii="Times New Roman" w:hAnsi="Times New Roman" w:eastAsia="宋体" w:cs="Times New Roman"/>
                <w:sz w:val="24"/>
                <w:u w:val="none"/>
                <w:lang w:val="en-US" w:eastAsia="zh-CN"/>
              </w:rPr>
              <w:t>从而</w:t>
            </w:r>
            <w:r>
              <w:rPr>
                <w:rFonts w:hint="eastAsia" w:cs="Times New Roman"/>
                <w:sz w:val="24"/>
                <w:u w:val="none"/>
                <w:lang w:val="en-US" w:eastAsia="zh-CN"/>
              </w:rPr>
              <w:t>更好的</w:t>
            </w:r>
            <w:r>
              <w:rPr>
                <w:rFonts w:hint="eastAsia" w:ascii="Times New Roman" w:hAnsi="Times New Roman" w:eastAsia="宋体" w:cs="Times New Roman"/>
                <w:sz w:val="24"/>
                <w:u w:val="none"/>
                <w:lang w:val="en-US" w:eastAsia="zh-CN"/>
              </w:rPr>
              <w:t>保障井下安全</w:t>
            </w:r>
            <w:r>
              <w:rPr>
                <w:rFonts w:hint="eastAsia" w:cs="Times New Roman"/>
                <w:sz w:val="24"/>
                <w:u w:val="none"/>
                <w:lang w:val="en-US" w:eastAsia="zh-CN"/>
              </w:rPr>
              <w:t>，</w:t>
            </w:r>
            <w:r>
              <w:rPr>
                <w:rFonts w:hint="eastAsia" w:ascii="Times New Roman" w:hAnsi="Times New Roman" w:eastAsia="宋体" w:cs="Times New Roman"/>
                <w:sz w:val="24"/>
                <w:u w:val="none"/>
                <w:lang w:val="en-US" w:eastAsia="zh-CN"/>
              </w:rPr>
              <w:t>较好的处置了尾砂</w:t>
            </w:r>
            <w:r>
              <w:rPr>
                <w:rFonts w:hint="eastAsia" w:cs="Times New Roman"/>
                <w:sz w:val="24"/>
                <w:u w:val="none"/>
                <w:lang w:val="en-US" w:eastAsia="zh-CN"/>
              </w:rPr>
              <w:t>，保障矿山更好更安全的开采和再利用。</w:t>
            </w:r>
          </w:p>
          <w:p w14:paraId="428A2747">
            <w:pPr>
              <w:spacing w:line="360" w:lineRule="auto"/>
              <w:ind w:firstLine="480" w:firstLineChars="200"/>
              <w:contextualSpacing/>
              <w:rPr>
                <w:rFonts w:hint="default" w:cs="Times New Roman"/>
                <w:color w:val="auto"/>
                <w:sz w:val="24"/>
                <w:u w:val="single"/>
                <w:lang w:val="en-US" w:eastAsia="zh-CN"/>
              </w:rPr>
            </w:pPr>
            <w:r>
              <w:rPr>
                <w:rFonts w:hint="eastAsia"/>
                <w:color w:val="auto"/>
                <w:sz w:val="24"/>
                <w:u w:val="single"/>
                <w:lang w:val="en-US" w:eastAsia="zh-CN"/>
              </w:rPr>
              <w:t>栾川县惠顿矿业有限公司尾矿充填和矿山再利用项目</w:t>
            </w:r>
            <w:r>
              <w:rPr>
                <w:rFonts w:hint="eastAsia" w:cs="Times New Roman"/>
                <w:color w:val="auto"/>
                <w:sz w:val="24"/>
                <w:u w:val="single"/>
                <w:lang w:val="en-US" w:eastAsia="zh-CN"/>
              </w:rPr>
              <w:t>环境影响报告表于2024年6月24日取得洛阳市生态环境局栾川分局批复，文号为栾环审（表）[2024]13号，该项目建成后将配套选厂</w:t>
            </w:r>
            <w:r>
              <w:rPr>
                <w:rFonts w:hint="eastAsia" w:ascii="Times New Roman" w:hAnsi="Times New Roman" w:eastAsia="宋体" w:cs="Times New Roman"/>
                <w:color w:val="auto"/>
                <w:sz w:val="24"/>
                <w:u w:val="single"/>
                <w:lang w:val="en-US" w:eastAsia="zh-CN"/>
              </w:rPr>
              <w:t>500t/d</w:t>
            </w:r>
            <w:r>
              <w:rPr>
                <w:rFonts w:hint="eastAsia" w:cs="Times New Roman"/>
                <w:color w:val="auto"/>
                <w:sz w:val="24"/>
                <w:u w:val="single"/>
                <w:lang w:val="en-US" w:eastAsia="zh-CN"/>
              </w:rPr>
              <w:t>生产规模下的尾矿充填，进行采空区回填。项目建设初期，企业考虑到选厂设备故障率较高，运转率低，浮选时间不足，回收率指标达不到最佳，考虑到目前企业矿产资源现状，企业计划对东沟选矿厂进行改建。栾川县惠顿矿业有限公司火神庙铅钼矿区项目开采规模为钼矿30万t/a，铅矿3万t/a，钼矿开采后部分内销至本企业东沟500t/d选矿厂，剩余部分外售给栾川县富翔矿化有限责任公司。企业考虑到目前钼矿市场行情较好，决定将选矿厂选矿规模扩大到1000吨/天，拟将矿山开采的全部钼矿石供应至自有东沟选厂进行选别，不再外售，钼矿开采规模能够满足本企业扩建1000吨/天生产需要。栾川县惠顿矿业有限公司东沟选矿厂升级改造项目环评手续正在同步办理之中。</w:t>
            </w:r>
          </w:p>
          <w:p w14:paraId="1D74D3AB">
            <w:pPr>
              <w:spacing w:line="360" w:lineRule="auto"/>
              <w:ind w:firstLine="480" w:firstLineChars="200"/>
              <w:contextualSpacing/>
              <w:rPr>
                <w:rFonts w:hint="default" w:ascii="Times New Roman" w:hAnsi="Times New Roman" w:eastAsia="宋体" w:cs="Times New Roman"/>
                <w:color w:val="auto"/>
                <w:sz w:val="24"/>
                <w:u w:val="single"/>
                <w:vertAlign w:val="baseline"/>
                <w:lang w:val="en-US" w:eastAsia="zh-CN"/>
              </w:rPr>
            </w:pPr>
            <w:r>
              <w:rPr>
                <w:rFonts w:hint="eastAsia" w:cs="Times New Roman"/>
                <w:color w:val="auto"/>
                <w:sz w:val="24"/>
                <w:u w:val="single"/>
                <w:lang w:val="en-US" w:eastAsia="zh-CN"/>
              </w:rPr>
              <w:t>为了配合选厂后期1000t/d选矿处理规模下尾砂的充填利用要求，充填站充填规模相应增大，</w:t>
            </w:r>
            <w:r>
              <w:rPr>
                <w:rFonts w:hint="eastAsia"/>
                <w:color w:val="auto"/>
                <w:sz w:val="24"/>
                <w:u w:val="single"/>
                <w:lang w:val="en-US" w:eastAsia="zh-CN"/>
              </w:rPr>
              <w:t>处理规模由原来的</w:t>
            </w:r>
            <w:r>
              <w:rPr>
                <w:rFonts w:hint="eastAsia" w:ascii="Times New Roman" w:hAnsi="Times New Roman" w:eastAsia="宋体" w:cs="Times New Roman"/>
                <w:color w:val="auto"/>
                <w:sz w:val="24"/>
                <w:u w:val="single"/>
                <w:lang w:val="en-US" w:eastAsia="zh-CN"/>
              </w:rPr>
              <w:t>年利用尾矿砂14.975万t（干砂），年制备充填料浆</w:t>
            </w:r>
            <w:r>
              <w:rPr>
                <w:rFonts w:hint="eastAsia" w:cs="Times New Roman"/>
                <w:color w:val="auto"/>
                <w:sz w:val="24"/>
                <w:u w:val="single"/>
                <w:lang w:val="en-US" w:eastAsia="zh-CN"/>
              </w:rPr>
              <w:t>12</w:t>
            </w:r>
            <w:r>
              <w:rPr>
                <w:rFonts w:hint="eastAsia" w:ascii="Times New Roman" w:hAnsi="Times New Roman" w:eastAsia="宋体" w:cs="Times New Roman"/>
                <w:color w:val="auto"/>
                <w:sz w:val="24"/>
                <w:u w:val="single"/>
                <w:lang w:val="en-US" w:eastAsia="zh-CN"/>
              </w:rPr>
              <w:t>万m</w:t>
            </w:r>
            <w:r>
              <w:rPr>
                <w:rFonts w:hint="eastAsia" w:ascii="Times New Roman" w:hAnsi="Times New Roman" w:eastAsia="宋体" w:cs="Times New Roman"/>
                <w:color w:val="auto"/>
                <w:sz w:val="24"/>
                <w:u w:val="single"/>
                <w:vertAlign w:val="superscript"/>
                <w:lang w:val="en-US" w:eastAsia="zh-CN"/>
              </w:rPr>
              <w:t>3</w:t>
            </w:r>
            <w:r>
              <w:rPr>
                <w:rFonts w:hint="eastAsia" w:ascii="Times New Roman" w:hAnsi="Times New Roman" w:eastAsia="宋体" w:cs="Times New Roman"/>
                <w:color w:val="auto"/>
                <w:sz w:val="24"/>
                <w:u w:val="single"/>
                <w:vertAlign w:val="baseline"/>
                <w:lang w:val="en-US" w:eastAsia="zh-CN"/>
              </w:rPr>
              <w:t>，变为</w:t>
            </w:r>
            <w:r>
              <w:rPr>
                <w:rFonts w:hint="eastAsia" w:ascii="Times New Roman" w:hAnsi="Times New Roman" w:eastAsia="宋体" w:cs="Times New Roman"/>
                <w:color w:val="auto"/>
                <w:sz w:val="24"/>
                <w:u w:val="single"/>
                <w:lang w:val="en-US" w:eastAsia="zh-CN"/>
              </w:rPr>
              <w:t>年利用尾矿砂29.3354万t（干砂），年制备充填料浆23.4万m</w:t>
            </w:r>
            <w:r>
              <w:rPr>
                <w:rFonts w:hint="eastAsia" w:ascii="Times New Roman" w:hAnsi="Times New Roman" w:eastAsia="宋体" w:cs="Times New Roman"/>
                <w:color w:val="auto"/>
                <w:sz w:val="24"/>
                <w:u w:val="single"/>
                <w:vertAlign w:val="superscript"/>
                <w:lang w:val="en-US" w:eastAsia="zh-CN"/>
              </w:rPr>
              <w:t>3</w:t>
            </w:r>
            <w:r>
              <w:rPr>
                <w:rFonts w:hint="eastAsia" w:ascii="Times New Roman" w:hAnsi="Times New Roman" w:eastAsia="宋体" w:cs="Times New Roman"/>
                <w:color w:val="auto"/>
                <w:sz w:val="24"/>
                <w:u w:val="single"/>
                <w:vertAlign w:val="baseline"/>
                <w:lang w:val="en-US" w:eastAsia="zh-CN"/>
              </w:rPr>
              <w:t>。</w:t>
            </w:r>
            <w:r>
              <w:rPr>
                <w:rFonts w:hint="eastAsia" w:cs="Times New Roman"/>
                <w:color w:val="auto"/>
                <w:sz w:val="24"/>
                <w:u w:val="single"/>
                <w:vertAlign w:val="baseline"/>
                <w:lang w:val="en-US" w:eastAsia="zh-CN"/>
              </w:rPr>
              <w:t>现阶段矿山已形成了72.6866万m³的采空区，本次充填站规模扩大后，填充料浆每天的产生量为780m</w:t>
            </w:r>
            <w:r>
              <w:rPr>
                <w:rFonts w:hint="eastAsia" w:cs="Times New Roman"/>
                <w:color w:val="auto"/>
                <w:sz w:val="24"/>
                <w:u w:val="single"/>
                <w:vertAlign w:val="superscript"/>
                <w:lang w:val="en-US" w:eastAsia="zh-CN"/>
              </w:rPr>
              <w:t>3</w:t>
            </w:r>
            <w:r>
              <w:rPr>
                <w:rFonts w:hint="eastAsia" w:cs="Times New Roman"/>
                <w:color w:val="auto"/>
                <w:sz w:val="24"/>
                <w:u w:val="single"/>
                <w:vertAlign w:val="baseline"/>
                <w:lang w:val="en-US" w:eastAsia="zh-CN"/>
              </w:rPr>
              <w:t>，现有采空区能满足本项目充填需求。</w:t>
            </w:r>
          </w:p>
          <w:p w14:paraId="683A8F0B">
            <w:pPr>
              <w:spacing w:line="360" w:lineRule="auto"/>
              <w:ind w:firstLine="480" w:firstLineChars="200"/>
              <w:contextualSpacing/>
              <w:rPr>
                <w:rFonts w:hint="eastAsia" w:ascii="宋体" w:hAnsi="宋体" w:eastAsia="宋体" w:cs="宋体"/>
                <w:color w:val="auto"/>
                <w:kern w:val="0"/>
                <w:sz w:val="24"/>
                <w:szCs w:val="24"/>
                <w:u w:val="single"/>
                <w:lang w:val="en-US" w:eastAsia="zh-CN" w:bidi="ar"/>
              </w:rPr>
            </w:pPr>
            <w:r>
              <w:rPr>
                <w:rFonts w:hint="eastAsia" w:cs="Times New Roman"/>
                <w:color w:val="auto"/>
                <w:sz w:val="24"/>
                <w:u w:val="single"/>
                <w:vertAlign w:val="baseline"/>
                <w:lang w:val="en-US" w:eastAsia="zh-CN"/>
              </w:rPr>
              <w:t>项目充填站</w:t>
            </w:r>
            <w:r>
              <w:rPr>
                <w:rFonts w:hint="eastAsia" w:ascii="Times New Roman" w:hAnsi="Times New Roman" w:eastAsia="宋体" w:cs="Times New Roman"/>
                <w:color w:val="auto"/>
                <w:sz w:val="24"/>
                <w:u w:val="single"/>
                <w:vertAlign w:val="baseline"/>
                <w:lang w:val="en-US" w:eastAsia="zh-CN"/>
              </w:rPr>
              <w:t>主体工程已经完工，与原环评对比</w:t>
            </w:r>
            <w:r>
              <w:rPr>
                <w:rFonts w:hint="eastAsia" w:cs="Times New Roman"/>
                <w:color w:val="auto"/>
                <w:sz w:val="24"/>
                <w:u w:val="single"/>
                <w:vertAlign w:val="baseline"/>
                <w:lang w:val="en-US" w:eastAsia="zh-CN"/>
              </w:rPr>
              <w:t>生产规模</w:t>
            </w:r>
            <w:r>
              <w:rPr>
                <w:rFonts w:hint="eastAsia" w:ascii="Times New Roman" w:hAnsi="Times New Roman" w:eastAsia="宋体" w:cs="Times New Roman"/>
                <w:color w:val="auto"/>
                <w:sz w:val="24"/>
                <w:u w:val="single"/>
                <w:vertAlign w:val="baseline"/>
                <w:lang w:val="en-US" w:eastAsia="zh-CN"/>
              </w:rPr>
              <w:t>发生重大变更，需重新报批环评。</w:t>
            </w:r>
            <w:r>
              <w:rPr>
                <w:rFonts w:hint="eastAsia" w:ascii="宋体" w:hAnsi="宋体" w:eastAsia="宋体" w:cs="宋体"/>
                <w:color w:val="auto"/>
                <w:kern w:val="0"/>
                <w:sz w:val="24"/>
                <w:szCs w:val="24"/>
                <w:u w:val="single"/>
                <w:lang w:val="en-US" w:eastAsia="zh-CN" w:bidi="ar"/>
              </w:rPr>
              <w:t>本项目变动情况如下表所示：</w:t>
            </w:r>
          </w:p>
          <w:p w14:paraId="08B41406">
            <w:pPr>
              <w:spacing w:line="360" w:lineRule="auto"/>
              <w:ind w:firstLine="2160" w:firstLineChars="900"/>
              <w:contextualSpacing/>
              <w:rPr>
                <w:rFonts w:hint="eastAsia" w:ascii="黑体" w:hAnsi="黑体" w:eastAsia="黑体" w:cs="黑体"/>
                <w:b w:val="0"/>
                <w:bCs w:val="0"/>
                <w:snapToGrid/>
                <w:color w:val="auto"/>
                <w:kern w:val="2"/>
                <w:sz w:val="24"/>
                <w:szCs w:val="21"/>
                <w:u w:val="single"/>
                <w:lang w:val="en-US" w:eastAsia="zh-CN" w:bidi="ar-SA"/>
              </w:rPr>
            </w:pPr>
            <w:r>
              <w:rPr>
                <w:rFonts w:hint="eastAsia" w:ascii="黑体" w:hAnsi="黑体" w:eastAsia="黑体" w:cs="黑体"/>
                <w:b w:val="0"/>
                <w:bCs w:val="0"/>
                <w:snapToGrid/>
                <w:color w:val="auto"/>
                <w:kern w:val="2"/>
                <w:sz w:val="24"/>
                <w:szCs w:val="21"/>
                <w:u w:val="single"/>
                <w:lang w:val="en-US" w:eastAsia="zh-CN" w:bidi="ar-SA"/>
              </w:rPr>
              <w:t xml:space="preserve">表2-1  </w:t>
            </w:r>
            <w:r>
              <w:rPr>
                <w:rFonts w:hint="default" w:ascii="黑体" w:hAnsi="黑体" w:eastAsia="黑体" w:cs="黑体"/>
                <w:b w:val="0"/>
                <w:bCs w:val="0"/>
                <w:snapToGrid/>
                <w:color w:val="auto"/>
                <w:kern w:val="2"/>
                <w:sz w:val="24"/>
                <w:szCs w:val="21"/>
                <w:u w:val="single"/>
                <w:lang w:val="en-US" w:eastAsia="zh-CN" w:bidi="ar-SA"/>
              </w:rPr>
              <w:t xml:space="preserve"> </w:t>
            </w:r>
            <w:r>
              <w:rPr>
                <w:rFonts w:hint="eastAsia" w:ascii="黑体" w:hAnsi="黑体" w:eastAsia="黑体" w:cs="黑体"/>
                <w:b w:val="0"/>
                <w:bCs w:val="0"/>
                <w:snapToGrid/>
                <w:color w:val="auto"/>
                <w:kern w:val="2"/>
                <w:sz w:val="24"/>
                <w:szCs w:val="21"/>
                <w:u w:val="single"/>
                <w:lang w:val="en-US" w:eastAsia="zh-CN" w:bidi="ar-SA"/>
              </w:rPr>
              <w:t>本项目变动情况一览表</w:t>
            </w:r>
          </w:p>
          <w:tbl>
            <w:tblPr>
              <w:tblStyle w:val="32"/>
              <w:tblW w:w="816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52"/>
              <w:gridCol w:w="672"/>
              <w:gridCol w:w="2493"/>
              <w:gridCol w:w="2335"/>
              <w:gridCol w:w="2015"/>
            </w:tblGrid>
            <w:tr w14:paraId="421A75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324" w:type="dxa"/>
                  <w:gridSpan w:val="2"/>
                  <w:tcBorders>
                    <w:tl2br w:val="nil"/>
                    <w:tr2bl w:val="nil"/>
                  </w:tcBorders>
                  <w:vAlign w:val="center"/>
                </w:tcPr>
                <w:p w14:paraId="0E72684E">
                  <w:pPr>
                    <w:jc w:val="center"/>
                    <w:rPr>
                      <w:rFonts w:hint="eastAsia"/>
                      <w:b/>
                      <w:bCs/>
                      <w:color w:val="auto"/>
                      <w:sz w:val="21"/>
                      <w:szCs w:val="21"/>
                      <w:u w:val="single"/>
                      <w:lang w:val="en-US" w:eastAsia="zh-CN"/>
                    </w:rPr>
                  </w:pPr>
                  <w:r>
                    <w:rPr>
                      <w:rFonts w:hint="eastAsia"/>
                      <w:b/>
                      <w:bCs/>
                      <w:color w:val="auto"/>
                      <w:sz w:val="21"/>
                      <w:szCs w:val="21"/>
                      <w:u w:val="single"/>
                      <w:lang w:val="en-US" w:eastAsia="zh-CN"/>
                    </w:rPr>
                    <w:t>类别</w:t>
                  </w:r>
                </w:p>
              </w:tc>
              <w:tc>
                <w:tcPr>
                  <w:tcW w:w="2493" w:type="dxa"/>
                  <w:tcBorders>
                    <w:tl2br w:val="nil"/>
                    <w:tr2bl w:val="nil"/>
                  </w:tcBorders>
                  <w:vAlign w:val="center"/>
                </w:tcPr>
                <w:p w14:paraId="0BC9DA90">
                  <w:pPr>
                    <w:jc w:val="center"/>
                    <w:rPr>
                      <w:rFonts w:hint="default"/>
                      <w:b/>
                      <w:bCs/>
                      <w:color w:val="auto"/>
                      <w:sz w:val="21"/>
                      <w:szCs w:val="21"/>
                      <w:u w:val="single"/>
                      <w:lang w:val="en-US" w:eastAsia="zh-CN"/>
                    </w:rPr>
                  </w:pPr>
                  <w:r>
                    <w:rPr>
                      <w:rFonts w:hint="eastAsia"/>
                      <w:b/>
                      <w:bCs/>
                      <w:color w:val="auto"/>
                      <w:sz w:val="21"/>
                      <w:szCs w:val="21"/>
                      <w:u w:val="single"/>
                      <w:lang w:val="en-US" w:eastAsia="zh-CN"/>
                    </w:rPr>
                    <w:t>原环评批复的内容</w:t>
                  </w:r>
                </w:p>
              </w:tc>
              <w:tc>
                <w:tcPr>
                  <w:tcW w:w="2335" w:type="dxa"/>
                  <w:tcBorders>
                    <w:tl2br w:val="nil"/>
                    <w:tr2bl w:val="nil"/>
                  </w:tcBorders>
                  <w:vAlign w:val="center"/>
                </w:tcPr>
                <w:p w14:paraId="7C551DA1">
                  <w:pPr>
                    <w:jc w:val="center"/>
                    <w:rPr>
                      <w:rFonts w:hint="default"/>
                      <w:b/>
                      <w:bCs/>
                      <w:color w:val="auto"/>
                      <w:sz w:val="21"/>
                      <w:szCs w:val="21"/>
                      <w:u w:val="single"/>
                      <w:lang w:val="en-US" w:eastAsia="zh-CN"/>
                    </w:rPr>
                  </w:pPr>
                  <w:r>
                    <w:rPr>
                      <w:rFonts w:hint="eastAsia"/>
                      <w:b/>
                      <w:bCs/>
                      <w:color w:val="auto"/>
                      <w:sz w:val="21"/>
                      <w:szCs w:val="21"/>
                      <w:u w:val="single"/>
                      <w:lang w:val="en-US" w:eastAsia="zh-CN"/>
                    </w:rPr>
                    <w:t>拟变动后内容</w:t>
                  </w:r>
                </w:p>
              </w:tc>
              <w:tc>
                <w:tcPr>
                  <w:tcW w:w="2015" w:type="dxa"/>
                  <w:tcBorders>
                    <w:tl2br w:val="nil"/>
                    <w:tr2bl w:val="nil"/>
                  </w:tcBorders>
                  <w:vAlign w:val="center"/>
                </w:tcPr>
                <w:p w14:paraId="2DCA74AE">
                  <w:pPr>
                    <w:jc w:val="center"/>
                    <w:rPr>
                      <w:rFonts w:hint="default"/>
                      <w:b/>
                      <w:bCs/>
                      <w:color w:val="auto"/>
                      <w:sz w:val="21"/>
                      <w:szCs w:val="21"/>
                      <w:u w:val="single"/>
                      <w:lang w:val="en-US" w:eastAsia="zh-CN"/>
                    </w:rPr>
                  </w:pPr>
                  <w:r>
                    <w:rPr>
                      <w:rFonts w:hint="eastAsia"/>
                      <w:b/>
                      <w:bCs/>
                      <w:color w:val="auto"/>
                      <w:sz w:val="21"/>
                      <w:szCs w:val="21"/>
                      <w:u w:val="single"/>
                      <w:lang w:val="en-US" w:eastAsia="zh-CN"/>
                    </w:rPr>
                    <w:t>变化情况</w:t>
                  </w:r>
                </w:p>
              </w:tc>
            </w:tr>
            <w:tr w14:paraId="37D2DB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1324" w:type="dxa"/>
                  <w:gridSpan w:val="2"/>
                  <w:tcBorders>
                    <w:tl2br w:val="nil"/>
                    <w:tr2bl w:val="nil"/>
                  </w:tcBorders>
                  <w:vAlign w:val="center"/>
                </w:tcPr>
                <w:p w14:paraId="514AF4DD">
                  <w:pPr>
                    <w:jc w:val="center"/>
                    <w:rPr>
                      <w:rFonts w:hint="default"/>
                      <w:color w:val="auto"/>
                      <w:sz w:val="21"/>
                      <w:szCs w:val="21"/>
                      <w:u w:val="single"/>
                      <w:lang w:val="en-US" w:eastAsia="zh-CN"/>
                    </w:rPr>
                  </w:pPr>
                  <w:r>
                    <w:rPr>
                      <w:rFonts w:hint="eastAsia"/>
                      <w:color w:val="auto"/>
                      <w:sz w:val="21"/>
                      <w:szCs w:val="21"/>
                      <w:u w:val="single"/>
                      <w:lang w:val="en-US" w:eastAsia="zh-CN"/>
                    </w:rPr>
                    <w:t>性质</w:t>
                  </w:r>
                </w:p>
              </w:tc>
              <w:tc>
                <w:tcPr>
                  <w:tcW w:w="2493" w:type="dxa"/>
                  <w:tcBorders>
                    <w:tl2br w:val="nil"/>
                    <w:tr2bl w:val="nil"/>
                  </w:tcBorders>
                  <w:vAlign w:val="center"/>
                </w:tcPr>
                <w:p w14:paraId="249F1828">
                  <w:pPr>
                    <w:jc w:val="center"/>
                    <w:rPr>
                      <w:rFonts w:hint="default"/>
                      <w:color w:val="auto"/>
                      <w:sz w:val="21"/>
                      <w:szCs w:val="21"/>
                      <w:u w:val="single"/>
                      <w:lang w:val="en-US" w:eastAsia="zh-CN"/>
                    </w:rPr>
                  </w:pPr>
                  <w:r>
                    <w:rPr>
                      <w:rFonts w:hint="eastAsia"/>
                      <w:color w:val="auto"/>
                      <w:sz w:val="21"/>
                      <w:szCs w:val="21"/>
                      <w:u w:val="single"/>
                      <w:lang w:val="en-US" w:eastAsia="zh-CN"/>
                    </w:rPr>
                    <w:t>新建</w:t>
                  </w:r>
                </w:p>
              </w:tc>
              <w:tc>
                <w:tcPr>
                  <w:tcW w:w="2335" w:type="dxa"/>
                  <w:tcBorders>
                    <w:tl2br w:val="nil"/>
                    <w:tr2bl w:val="nil"/>
                  </w:tcBorders>
                  <w:vAlign w:val="center"/>
                </w:tcPr>
                <w:p w14:paraId="2DB4A130">
                  <w:pPr>
                    <w:jc w:val="center"/>
                    <w:rPr>
                      <w:rFonts w:hint="default"/>
                      <w:color w:val="auto"/>
                      <w:sz w:val="21"/>
                      <w:szCs w:val="21"/>
                      <w:u w:val="single"/>
                      <w:lang w:val="en-US" w:eastAsia="zh-CN"/>
                    </w:rPr>
                  </w:pPr>
                  <w:r>
                    <w:rPr>
                      <w:rFonts w:hint="eastAsia"/>
                      <w:color w:val="auto"/>
                      <w:sz w:val="21"/>
                      <w:szCs w:val="21"/>
                      <w:u w:val="single"/>
                      <w:lang w:val="en-US" w:eastAsia="zh-CN"/>
                    </w:rPr>
                    <w:t>新建</w:t>
                  </w:r>
                </w:p>
              </w:tc>
              <w:tc>
                <w:tcPr>
                  <w:tcW w:w="2015" w:type="dxa"/>
                  <w:tcBorders>
                    <w:tl2br w:val="nil"/>
                    <w:tr2bl w:val="nil"/>
                  </w:tcBorders>
                  <w:vAlign w:val="center"/>
                </w:tcPr>
                <w:p w14:paraId="6A32B6F2">
                  <w:pPr>
                    <w:jc w:val="center"/>
                    <w:rPr>
                      <w:rFonts w:hint="default"/>
                      <w:color w:val="auto"/>
                      <w:sz w:val="21"/>
                      <w:szCs w:val="21"/>
                      <w:u w:val="single"/>
                      <w:lang w:val="en-US" w:eastAsia="zh-CN"/>
                    </w:rPr>
                  </w:pPr>
                  <w:r>
                    <w:rPr>
                      <w:rFonts w:hint="eastAsia"/>
                      <w:color w:val="auto"/>
                      <w:sz w:val="21"/>
                      <w:szCs w:val="21"/>
                      <w:u w:val="single"/>
                      <w:lang w:val="en-US" w:eastAsia="zh-CN"/>
                    </w:rPr>
                    <w:t>不变</w:t>
                  </w:r>
                </w:p>
              </w:tc>
            </w:tr>
            <w:tr w14:paraId="76CE76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8" w:hRule="atLeast"/>
                <w:jc w:val="center"/>
              </w:trPr>
              <w:tc>
                <w:tcPr>
                  <w:tcW w:w="1324" w:type="dxa"/>
                  <w:gridSpan w:val="2"/>
                  <w:tcBorders>
                    <w:tl2br w:val="nil"/>
                    <w:tr2bl w:val="nil"/>
                  </w:tcBorders>
                  <w:vAlign w:val="center"/>
                </w:tcPr>
                <w:p w14:paraId="0DA03D38">
                  <w:pPr>
                    <w:jc w:val="center"/>
                    <w:rPr>
                      <w:rFonts w:hint="default"/>
                      <w:color w:val="auto"/>
                      <w:sz w:val="21"/>
                      <w:szCs w:val="21"/>
                      <w:u w:val="single"/>
                      <w:lang w:val="en-US" w:eastAsia="zh-CN"/>
                    </w:rPr>
                  </w:pPr>
                  <w:r>
                    <w:rPr>
                      <w:rFonts w:hint="eastAsia"/>
                      <w:color w:val="auto"/>
                      <w:sz w:val="21"/>
                      <w:szCs w:val="21"/>
                      <w:u w:val="single"/>
                      <w:lang w:val="en-US" w:eastAsia="zh-CN"/>
                    </w:rPr>
                    <w:t>规模</w:t>
                  </w:r>
                </w:p>
              </w:tc>
              <w:tc>
                <w:tcPr>
                  <w:tcW w:w="2493" w:type="dxa"/>
                  <w:tcBorders>
                    <w:tl2br w:val="nil"/>
                    <w:tr2bl w:val="nil"/>
                  </w:tcBorders>
                  <w:vAlign w:val="center"/>
                </w:tcPr>
                <w:p w14:paraId="36611B63">
                  <w:pPr>
                    <w:jc w:val="center"/>
                    <w:rPr>
                      <w:rFonts w:hint="eastAsia"/>
                      <w:color w:val="auto"/>
                      <w:sz w:val="21"/>
                      <w:szCs w:val="21"/>
                      <w:u w:val="single"/>
                      <w:lang w:val="en-US" w:eastAsia="zh-CN"/>
                    </w:rPr>
                  </w:pPr>
                  <w:r>
                    <w:rPr>
                      <w:rFonts w:hint="eastAsia"/>
                      <w:color w:val="auto"/>
                      <w:sz w:val="21"/>
                      <w:szCs w:val="21"/>
                      <w:u w:val="single"/>
                      <w:lang w:val="en-US" w:eastAsia="zh-CN"/>
                    </w:rPr>
                    <w:t>年利用尾矿砂14.975万t（干砂）；年制备充填料浆12万m</w:t>
                  </w:r>
                  <w:r>
                    <w:rPr>
                      <w:rFonts w:hint="eastAsia"/>
                      <w:color w:val="auto"/>
                      <w:sz w:val="21"/>
                      <w:szCs w:val="21"/>
                      <w:u w:val="single"/>
                      <w:vertAlign w:val="superscript"/>
                      <w:lang w:val="en-US" w:eastAsia="zh-CN"/>
                    </w:rPr>
                    <w:t>3</w:t>
                  </w:r>
                </w:p>
              </w:tc>
              <w:tc>
                <w:tcPr>
                  <w:tcW w:w="2335" w:type="dxa"/>
                  <w:tcBorders>
                    <w:tl2br w:val="nil"/>
                    <w:tr2bl w:val="nil"/>
                  </w:tcBorders>
                  <w:vAlign w:val="center"/>
                </w:tcPr>
                <w:p w14:paraId="0D3EBB11">
                  <w:pPr>
                    <w:jc w:val="center"/>
                    <w:rPr>
                      <w:rFonts w:hint="eastAsia"/>
                      <w:color w:val="auto"/>
                      <w:sz w:val="21"/>
                      <w:szCs w:val="21"/>
                      <w:u w:val="single"/>
                      <w:lang w:val="en-US" w:eastAsia="zh-CN"/>
                    </w:rPr>
                  </w:pPr>
                  <w:r>
                    <w:rPr>
                      <w:rFonts w:hint="eastAsia"/>
                      <w:color w:val="auto"/>
                      <w:sz w:val="21"/>
                      <w:szCs w:val="21"/>
                      <w:u w:val="single"/>
                      <w:lang w:val="en-US" w:eastAsia="zh-CN"/>
                    </w:rPr>
                    <w:t>年利用尾矿砂29.3354万t（干砂）；年制备充填料浆23.4万m</w:t>
                  </w:r>
                  <w:r>
                    <w:rPr>
                      <w:rFonts w:hint="eastAsia"/>
                      <w:color w:val="auto"/>
                      <w:sz w:val="21"/>
                      <w:szCs w:val="21"/>
                      <w:u w:val="single"/>
                      <w:vertAlign w:val="superscript"/>
                      <w:lang w:val="en-US" w:eastAsia="zh-CN"/>
                    </w:rPr>
                    <w:t>3</w:t>
                  </w:r>
                </w:p>
              </w:tc>
              <w:tc>
                <w:tcPr>
                  <w:tcW w:w="2015" w:type="dxa"/>
                  <w:tcBorders>
                    <w:tl2br w:val="nil"/>
                    <w:tr2bl w:val="nil"/>
                  </w:tcBorders>
                  <w:vAlign w:val="center"/>
                </w:tcPr>
                <w:p w14:paraId="48840588">
                  <w:pPr>
                    <w:jc w:val="center"/>
                    <w:rPr>
                      <w:rFonts w:hint="default"/>
                      <w:color w:val="auto"/>
                      <w:sz w:val="21"/>
                      <w:szCs w:val="21"/>
                      <w:u w:val="single"/>
                      <w:lang w:val="en-US" w:eastAsia="zh-CN"/>
                    </w:rPr>
                  </w:pPr>
                  <w:r>
                    <w:rPr>
                      <w:rFonts w:hint="eastAsia"/>
                      <w:color w:val="auto"/>
                      <w:sz w:val="21"/>
                      <w:szCs w:val="21"/>
                      <w:u w:val="single"/>
                      <w:lang w:val="en-US" w:eastAsia="zh-CN"/>
                    </w:rPr>
                    <w:t>规模变大</w:t>
                  </w:r>
                </w:p>
              </w:tc>
            </w:tr>
            <w:tr w14:paraId="06B35D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1324" w:type="dxa"/>
                  <w:gridSpan w:val="2"/>
                  <w:tcBorders>
                    <w:tl2br w:val="nil"/>
                    <w:tr2bl w:val="nil"/>
                  </w:tcBorders>
                  <w:vAlign w:val="center"/>
                </w:tcPr>
                <w:p w14:paraId="3046FC17">
                  <w:pPr>
                    <w:jc w:val="center"/>
                    <w:rPr>
                      <w:rFonts w:hint="default"/>
                      <w:color w:val="auto"/>
                      <w:sz w:val="21"/>
                      <w:szCs w:val="21"/>
                      <w:u w:val="single"/>
                      <w:lang w:val="en-US" w:eastAsia="zh-CN"/>
                    </w:rPr>
                  </w:pPr>
                  <w:r>
                    <w:rPr>
                      <w:rFonts w:hint="eastAsia"/>
                      <w:color w:val="auto"/>
                      <w:sz w:val="21"/>
                      <w:szCs w:val="21"/>
                      <w:u w:val="single"/>
                      <w:lang w:val="en-US" w:eastAsia="zh-CN"/>
                    </w:rPr>
                    <w:t>地点</w:t>
                  </w:r>
                </w:p>
              </w:tc>
              <w:tc>
                <w:tcPr>
                  <w:tcW w:w="2493" w:type="dxa"/>
                  <w:tcBorders>
                    <w:tl2br w:val="nil"/>
                    <w:tr2bl w:val="nil"/>
                  </w:tcBorders>
                  <w:vAlign w:val="center"/>
                </w:tcPr>
                <w:p w14:paraId="36810D55">
                  <w:pPr>
                    <w:jc w:val="center"/>
                    <w:rPr>
                      <w:rFonts w:hint="eastAsia"/>
                      <w:color w:val="auto"/>
                      <w:sz w:val="21"/>
                      <w:szCs w:val="21"/>
                      <w:u w:val="single"/>
                      <w:lang w:val="en-US" w:eastAsia="zh-CN"/>
                    </w:rPr>
                  </w:pPr>
                  <w:r>
                    <w:rPr>
                      <w:rFonts w:hint="eastAsia"/>
                      <w:color w:val="auto"/>
                      <w:sz w:val="21"/>
                      <w:szCs w:val="21"/>
                      <w:u w:val="single"/>
                      <w:lang w:val="en-US" w:eastAsia="zh-CN"/>
                    </w:rPr>
                    <w:t xml:space="preserve"> 河南省洛阳市栾川县三川镇火神庙村</w:t>
                  </w:r>
                </w:p>
              </w:tc>
              <w:tc>
                <w:tcPr>
                  <w:tcW w:w="2335" w:type="dxa"/>
                  <w:tcBorders>
                    <w:tl2br w:val="nil"/>
                    <w:tr2bl w:val="nil"/>
                  </w:tcBorders>
                  <w:vAlign w:val="center"/>
                </w:tcPr>
                <w:p w14:paraId="2C13C116">
                  <w:pPr>
                    <w:jc w:val="center"/>
                    <w:rPr>
                      <w:rFonts w:hint="eastAsia"/>
                      <w:color w:val="auto"/>
                      <w:sz w:val="21"/>
                      <w:szCs w:val="21"/>
                      <w:u w:val="single"/>
                      <w:lang w:val="en-US" w:eastAsia="zh-CN"/>
                    </w:rPr>
                  </w:pPr>
                  <w:r>
                    <w:rPr>
                      <w:rFonts w:hint="eastAsia"/>
                      <w:color w:val="auto"/>
                      <w:sz w:val="21"/>
                      <w:szCs w:val="21"/>
                      <w:u w:val="single"/>
                      <w:lang w:val="en-US" w:eastAsia="zh-CN"/>
                    </w:rPr>
                    <w:t>河南省洛阳市栾川县三川镇火神庙村</w:t>
                  </w:r>
                </w:p>
              </w:tc>
              <w:tc>
                <w:tcPr>
                  <w:tcW w:w="2015" w:type="dxa"/>
                  <w:tcBorders>
                    <w:tl2br w:val="nil"/>
                    <w:tr2bl w:val="nil"/>
                  </w:tcBorders>
                  <w:vAlign w:val="center"/>
                </w:tcPr>
                <w:p w14:paraId="756E35F8">
                  <w:pPr>
                    <w:jc w:val="center"/>
                    <w:rPr>
                      <w:rFonts w:hint="default"/>
                      <w:color w:val="auto"/>
                      <w:sz w:val="21"/>
                      <w:szCs w:val="21"/>
                      <w:u w:val="single"/>
                      <w:lang w:val="en-US" w:eastAsia="zh-CN"/>
                    </w:rPr>
                  </w:pPr>
                  <w:r>
                    <w:rPr>
                      <w:rFonts w:hint="eastAsia"/>
                      <w:color w:val="auto"/>
                      <w:sz w:val="21"/>
                      <w:szCs w:val="21"/>
                      <w:u w:val="single"/>
                      <w:lang w:val="en-US" w:eastAsia="zh-CN"/>
                    </w:rPr>
                    <w:t>不变</w:t>
                  </w:r>
                </w:p>
              </w:tc>
            </w:tr>
            <w:tr w14:paraId="158970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1324" w:type="dxa"/>
                  <w:gridSpan w:val="2"/>
                  <w:tcBorders>
                    <w:tl2br w:val="nil"/>
                    <w:tr2bl w:val="nil"/>
                  </w:tcBorders>
                  <w:vAlign w:val="center"/>
                </w:tcPr>
                <w:p w14:paraId="371215E2">
                  <w:pPr>
                    <w:jc w:val="center"/>
                    <w:rPr>
                      <w:rFonts w:hint="default"/>
                      <w:color w:val="auto"/>
                      <w:sz w:val="21"/>
                      <w:szCs w:val="21"/>
                      <w:u w:val="single"/>
                      <w:lang w:val="en-US" w:eastAsia="zh-CN"/>
                    </w:rPr>
                  </w:pPr>
                  <w:r>
                    <w:rPr>
                      <w:rFonts w:hint="eastAsia"/>
                      <w:color w:val="auto"/>
                      <w:sz w:val="21"/>
                      <w:szCs w:val="21"/>
                      <w:u w:val="single"/>
                      <w:lang w:val="en-US" w:eastAsia="zh-CN"/>
                    </w:rPr>
                    <w:t>工艺</w:t>
                  </w:r>
                </w:p>
              </w:tc>
              <w:tc>
                <w:tcPr>
                  <w:tcW w:w="2493" w:type="dxa"/>
                  <w:tcBorders>
                    <w:tl2br w:val="nil"/>
                    <w:tr2bl w:val="nil"/>
                  </w:tcBorders>
                  <w:vAlign w:val="center"/>
                </w:tcPr>
                <w:p w14:paraId="3A88B33A">
                  <w:pPr>
                    <w:jc w:val="center"/>
                    <w:rPr>
                      <w:rFonts w:hint="eastAsia"/>
                      <w:color w:val="auto"/>
                      <w:sz w:val="21"/>
                      <w:szCs w:val="21"/>
                      <w:u w:val="single"/>
                      <w:lang w:val="en-US" w:eastAsia="zh-CN"/>
                    </w:rPr>
                  </w:pPr>
                  <w:r>
                    <w:rPr>
                      <w:rFonts w:hint="eastAsia"/>
                      <w:color w:val="auto"/>
                      <w:sz w:val="21"/>
                      <w:szCs w:val="21"/>
                      <w:u w:val="single"/>
                      <w:lang w:val="en-US" w:eastAsia="zh-CN"/>
                    </w:rPr>
                    <w:t>利用尾砂作为充填骨料，将尾砂重新加工成充填材料回填至井下采空区</w:t>
                  </w:r>
                </w:p>
              </w:tc>
              <w:tc>
                <w:tcPr>
                  <w:tcW w:w="2335" w:type="dxa"/>
                  <w:tcBorders>
                    <w:tl2br w:val="nil"/>
                    <w:tr2bl w:val="nil"/>
                  </w:tcBorders>
                  <w:vAlign w:val="center"/>
                </w:tcPr>
                <w:p w14:paraId="7FFFACAF">
                  <w:pPr>
                    <w:jc w:val="center"/>
                    <w:rPr>
                      <w:rFonts w:hint="eastAsia"/>
                      <w:color w:val="auto"/>
                      <w:sz w:val="21"/>
                      <w:szCs w:val="21"/>
                      <w:u w:val="single"/>
                      <w:lang w:val="en-US" w:eastAsia="zh-CN"/>
                    </w:rPr>
                  </w:pPr>
                  <w:r>
                    <w:rPr>
                      <w:rFonts w:hint="eastAsia"/>
                      <w:color w:val="auto"/>
                      <w:sz w:val="21"/>
                      <w:szCs w:val="21"/>
                      <w:u w:val="single"/>
                      <w:lang w:val="en-US" w:eastAsia="zh-CN"/>
                    </w:rPr>
                    <w:t>利用尾砂作为充填骨料，将尾砂重新加工成充填材料回填至井下采空区</w:t>
                  </w:r>
                </w:p>
              </w:tc>
              <w:tc>
                <w:tcPr>
                  <w:tcW w:w="2015" w:type="dxa"/>
                  <w:tcBorders>
                    <w:tl2br w:val="nil"/>
                    <w:tr2bl w:val="nil"/>
                  </w:tcBorders>
                  <w:vAlign w:val="center"/>
                </w:tcPr>
                <w:p w14:paraId="7E92CBA1">
                  <w:pPr>
                    <w:jc w:val="center"/>
                    <w:rPr>
                      <w:rFonts w:hint="default"/>
                      <w:color w:val="auto"/>
                      <w:sz w:val="21"/>
                      <w:szCs w:val="21"/>
                      <w:u w:val="single"/>
                      <w:lang w:val="en-US" w:eastAsia="zh-CN"/>
                    </w:rPr>
                  </w:pPr>
                  <w:r>
                    <w:rPr>
                      <w:rFonts w:hint="eastAsia"/>
                      <w:color w:val="auto"/>
                      <w:sz w:val="21"/>
                      <w:szCs w:val="21"/>
                      <w:u w:val="single"/>
                      <w:lang w:val="en-US" w:eastAsia="zh-CN"/>
                    </w:rPr>
                    <w:t>不变</w:t>
                  </w:r>
                </w:p>
              </w:tc>
            </w:tr>
            <w:tr w14:paraId="2F3356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52" w:type="dxa"/>
                  <w:vMerge w:val="restart"/>
                  <w:tcBorders>
                    <w:tl2br w:val="nil"/>
                    <w:tr2bl w:val="nil"/>
                  </w:tcBorders>
                  <w:vAlign w:val="center"/>
                </w:tcPr>
                <w:p w14:paraId="46417B20">
                  <w:pPr>
                    <w:jc w:val="center"/>
                    <w:rPr>
                      <w:rFonts w:hint="default"/>
                      <w:color w:val="auto"/>
                      <w:sz w:val="21"/>
                      <w:szCs w:val="21"/>
                      <w:u w:val="single"/>
                      <w:lang w:val="en-US" w:eastAsia="zh-CN"/>
                    </w:rPr>
                  </w:pPr>
                  <w:r>
                    <w:rPr>
                      <w:rFonts w:hint="eastAsia"/>
                      <w:color w:val="auto"/>
                      <w:sz w:val="21"/>
                      <w:szCs w:val="21"/>
                      <w:u w:val="single"/>
                      <w:lang w:val="en-US" w:eastAsia="zh-CN"/>
                    </w:rPr>
                    <w:t>环保设施</w:t>
                  </w:r>
                </w:p>
              </w:tc>
              <w:tc>
                <w:tcPr>
                  <w:tcW w:w="672" w:type="dxa"/>
                  <w:vMerge w:val="restart"/>
                  <w:tcBorders>
                    <w:tl2br w:val="nil"/>
                    <w:tr2bl w:val="nil"/>
                  </w:tcBorders>
                  <w:vAlign w:val="center"/>
                </w:tcPr>
                <w:p w14:paraId="08DD44E8">
                  <w:pPr>
                    <w:jc w:val="center"/>
                    <w:rPr>
                      <w:rFonts w:hint="default"/>
                      <w:color w:val="auto"/>
                      <w:sz w:val="21"/>
                      <w:szCs w:val="21"/>
                      <w:u w:val="single"/>
                      <w:lang w:val="en-US" w:eastAsia="zh-CN"/>
                    </w:rPr>
                  </w:pPr>
                  <w:r>
                    <w:rPr>
                      <w:rFonts w:hint="eastAsia"/>
                      <w:color w:val="auto"/>
                      <w:sz w:val="21"/>
                      <w:szCs w:val="21"/>
                      <w:u w:val="single"/>
                      <w:lang w:val="en-US" w:eastAsia="zh-CN"/>
                    </w:rPr>
                    <w:t>废气</w:t>
                  </w:r>
                </w:p>
              </w:tc>
              <w:tc>
                <w:tcPr>
                  <w:tcW w:w="2493" w:type="dxa"/>
                  <w:tcBorders>
                    <w:tl2br w:val="nil"/>
                    <w:tr2bl w:val="nil"/>
                  </w:tcBorders>
                  <w:vAlign w:val="center"/>
                </w:tcPr>
                <w:p w14:paraId="0F6B058B">
                  <w:pPr>
                    <w:snapToGrid w:val="0"/>
                    <w:spacing w:line="240" w:lineRule="atLeast"/>
                    <w:jc w:val="center"/>
                    <w:rPr>
                      <w:rFonts w:hint="eastAsia"/>
                      <w:color w:val="auto"/>
                      <w:sz w:val="21"/>
                      <w:szCs w:val="21"/>
                      <w:u w:val="single"/>
                      <w:lang w:val="en-US" w:eastAsia="zh-CN"/>
                    </w:rPr>
                  </w:pPr>
                  <w:r>
                    <w:rPr>
                      <w:rFonts w:hint="eastAsia"/>
                      <w:color w:val="auto"/>
                      <w:sz w:val="21"/>
                      <w:szCs w:val="21"/>
                      <w:u w:val="single"/>
                      <w:lang w:val="en-US" w:eastAsia="zh-CN"/>
                    </w:rPr>
                    <w:t>水泥入料工序：</w:t>
                  </w:r>
                </w:p>
                <w:p w14:paraId="15652FF2">
                  <w:pPr>
                    <w:jc w:val="center"/>
                    <w:rPr>
                      <w:rFonts w:hint="eastAsia"/>
                      <w:color w:val="auto"/>
                      <w:sz w:val="21"/>
                      <w:szCs w:val="21"/>
                      <w:u w:val="single"/>
                      <w:lang w:val="en-US" w:eastAsia="zh-CN"/>
                    </w:rPr>
                  </w:pPr>
                  <w:r>
                    <w:rPr>
                      <w:rFonts w:hint="eastAsia"/>
                      <w:color w:val="auto"/>
                      <w:sz w:val="21"/>
                      <w:szCs w:val="21"/>
                      <w:u w:val="single"/>
                      <w:lang w:val="en-US" w:eastAsia="zh-CN"/>
                    </w:rPr>
                    <w:t>覆膜袋式除尘器+15m高排气筒（DA001）</w:t>
                  </w:r>
                </w:p>
              </w:tc>
              <w:tc>
                <w:tcPr>
                  <w:tcW w:w="2335" w:type="dxa"/>
                  <w:tcBorders>
                    <w:tl2br w:val="nil"/>
                    <w:tr2bl w:val="nil"/>
                  </w:tcBorders>
                  <w:vAlign w:val="center"/>
                </w:tcPr>
                <w:p w14:paraId="6C6BE912">
                  <w:pPr>
                    <w:snapToGrid w:val="0"/>
                    <w:spacing w:line="240" w:lineRule="atLeast"/>
                    <w:jc w:val="center"/>
                    <w:rPr>
                      <w:rFonts w:hint="eastAsia"/>
                      <w:color w:val="auto"/>
                      <w:sz w:val="21"/>
                      <w:szCs w:val="21"/>
                      <w:u w:val="single"/>
                      <w:lang w:val="en-US" w:eastAsia="zh-CN"/>
                    </w:rPr>
                  </w:pPr>
                  <w:r>
                    <w:rPr>
                      <w:rFonts w:hint="eastAsia"/>
                      <w:color w:val="auto"/>
                      <w:sz w:val="21"/>
                      <w:szCs w:val="21"/>
                      <w:u w:val="single"/>
                      <w:lang w:val="en-US" w:eastAsia="zh-CN"/>
                    </w:rPr>
                    <w:t>水泥入料工序：</w:t>
                  </w:r>
                </w:p>
                <w:p w14:paraId="6D93626B">
                  <w:pPr>
                    <w:jc w:val="center"/>
                    <w:rPr>
                      <w:rFonts w:hint="eastAsia"/>
                      <w:color w:val="auto"/>
                      <w:sz w:val="21"/>
                      <w:szCs w:val="21"/>
                      <w:u w:val="single"/>
                      <w:lang w:val="en-US" w:eastAsia="zh-CN"/>
                    </w:rPr>
                  </w:pPr>
                  <w:r>
                    <w:rPr>
                      <w:rFonts w:hint="eastAsia"/>
                      <w:color w:val="auto"/>
                      <w:sz w:val="21"/>
                      <w:szCs w:val="21"/>
                      <w:u w:val="single"/>
                      <w:lang w:val="en-US" w:eastAsia="zh-CN"/>
                    </w:rPr>
                    <w:t>覆膜袋式除尘器+15m高排气筒（DA001）</w:t>
                  </w:r>
                </w:p>
              </w:tc>
              <w:tc>
                <w:tcPr>
                  <w:tcW w:w="2015" w:type="dxa"/>
                  <w:tcBorders>
                    <w:tl2br w:val="nil"/>
                    <w:tr2bl w:val="nil"/>
                  </w:tcBorders>
                  <w:vAlign w:val="center"/>
                </w:tcPr>
                <w:p w14:paraId="63603EB9">
                  <w:pPr>
                    <w:jc w:val="center"/>
                    <w:rPr>
                      <w:rFonts w:hint="default"/>
                      <w:color w:val="auto"/>
                      <w:sz w:val="21"/>
                      <w:szCs w:val="21"/>
                      <w:u w:val="single"/>
                      <w:lang w:val="en-US" w:eastAsia="zh-CN"/>
                    </w:rPr>
                  </w:pPr>
                  <w:r>
                    <w:rPr>
                      <w:rFonts w:hint="eastAsia"/>
                      <w:color w:val="auto"/>
                      <w:sz w:val="21"/>
                      <w:szCs w:val="21"/>
                      <w:u w:val="single"/>
                      <w:lang w:val="en-US" w:eastAsia="zh-CN"/>
                    </w:rPr>
                    <w:t>不变</w:t>
                  </w:r>
                </w:p>
              </w:tc>
            </w:tr>
            <w:tr w14:paraId="3F9E2F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52" w:type="dxa"/>
                  <w:vMerge w:val="continue"/>
                  <w:tcBorders>
                    <w:tl2br w:val="nil"/>
                    <w:tr2bl w:val="nil"/>
                  </w:tcBorders>
                  <w:vAlign w:val="center"/>
                </w:tcPr>
                <w:p w14:paraId="17C3777A">
                  <w:pPr>
                    <w:jc w:val="center"/>
                    <w:rPr>
                      <w:rFonts w:hint="eastAsia"/>
                      <w:color w:val="auto"/>
                      <w:sz w:val="21"/>
                      <w:szCs w:val="21"/>
                      <w:u w:val="single"/>
                      <w:lang w:val="en-US" w:eastAsia="zh-CN"/>
                    </w:rPr>
                  </w:pPr>
                </w:p>
              </w:tc>
              <w:tc>
                <w:tcPr>
                  <w:tcW w:w="672" w:type="dxa"/>
                  <w:vMerge w:val="continue"/>
                  <w:tcBorders>
                    <w:tl2br w:val="nil"/>
                    <w:tr2bl w:val="nil"/>
                  </w:tcBorders>
                  <w:vAlign w:val="center"/>
                </w:tcPr>
                <w:p w14:paraId="67543E62">
                  <w:pPr>
                    <w:jc w:val="center"/>
                    <w:rPr>
                      <w:rFonts w:hint="eastAsia"/>
                      <w:color w:val="auto"/>
                      <w:sz w:val="21"/>
                      <w:szCs w:val="21"/>
                      <w:u w:val="single"/>
                      <w:lang w:val="en-US" w:eastAsia="zh-CN"/>
                    </w:rPr>
                  </w:pPr>
                </w:p>
              </w:tc>
              <w:tc>
                <w:tcPr>
                  <w:tcW w:w="2493" w:type="dxa"/>
                  <w:tcBorders>
                    <w:tl2br w:val="nil"/>
                    <w:tr2bl w:val="nil"/>
                  </w:tcBorders>
                  <w:vAlign w:val="center"/>
                </w:tcPr>
                <w:p w14:paraId="31F99820">
                  <w:pPr>
                    <w:jc w:val="center"/>
                    <w:rPr>
                      <w:rFonts w:hint="eastAsia"/>
                      <w:color w:val="auto"/>
                      <w:sz w:val="21"/>
                      <w:szCs w:val="21"/>
                      <w:u w:val="single"/>
                      <w:lang w:val="en-US" w:eastAsia="zh-CN"/>
                    </w:rPr>
                  </w:pPr>
                  <w:r>
                    <w:rPr>
                      <w:rFonts w:hint="eastAsia"/>
                      <w:color w:val="auto"/>
                      <w:sz w:val="21"/>
                      <w:szCs w:val="21"/>
                      <w:u w:val="single"/>
                      <w:lang w:val="en-US" w:eastAsia="zh-CN"/>
                    </w:rPr>
                    <w:t>搅拌工序：覆膜袋式除尘器</w:t>
                  </w:r>
                  <w:r>
                    <w:rPr>
                      <w:rFonts w:hint="default"/>
                      <w:color w:val="auto"/>
                      <w:sz w:val="21"/>
                      <w:szCs w:val="21"/>
                      <w:u w:val="single"/>
                      <w:lang w:val="en-US" w:eastAsia="zh-CN"/>
                    </w:rPr>
                    <w:t>+15m</w:t>
                  </w:r>
                  <w:r>
                    <w:rPr>
                      <w:rFonts w:hint="eastAsia"/>
                      <w:color w:val="auto"/>
                      <w:sz w:val="21"/>
                      <w:szCs w:val="21"/>
                      <w:u w:val="single"/>
                      <w:lang w:val="en-US" w:eastAsia="zh-CN"/>
                    </w:rPr>
                    <w:t>高排气筒（DA002）</w:t>
                  </w:r>
                </w:p>
              </w:tc>
              <w:tc>
                <w:tcPr>
                  <w:tcW w:w="2335" w:type="dxa"/>
                  <w:tcBorders>
                    <w:tl2br w:val="nil"/>
                    <w:tr2bl w:val="nil"/>
                  </w:tcBorders>
                  <w:vAlign w:val="center"/>
                </w:tcPr>
                <w:p w14:paraId="22E2FB9D">
                  <w:pPr>
                    <w:jc w:val="center"/>
                    <w:rPr>
                      <w:rFonts w:hint="default"/>
                      <w:color w:val="auto"/>
                      <w:sz w:val="21"/>
                      <w:szCs w:val="21"/>
                      <w:u w:val="single"/>
                      <w:lang w:val="en-US" w:eastAsia="zh-CN"/>
                    </w:rPr>
                  </w:pPr>
                  <w:r>
                    <w:rPr>
                      <w:rFonts w:hint="eastAsia"/>
                      <w:color w:val="auto"/>
                      <w:sz w:val="21"/>
                      <w:szCs w:val="21"/>
                      <w:u w:val="single"/>
                      <w:lang w:val="en-US" w:eastAsia="zh-CN"/>
                    </w:rPr>
                    <w:t>未设置除尘器</w:t>
                  </w:r>
                </w:p>
              </w:tc>
              <w:tc>
                <w:tcPr>
                  <w:tcW w:w="2015" w:type="dxa"/>
                  <w:tcBorders>
                    <w:tl2br w:val="nil"/>
                    <w:tr2bl w:val="nil"/>
                  </w:tcBorders>
                  <w:vAlign w:val="center"/>
                </w:tcPr>
                <w:p w14:paraId="74E5F344">
                  <w:pPr>
                    <w:jc w:val="center"/>
                    <w:rPr>
                      <w:rFonts w:hint="default"/>
                      <w:color w:val="auto"/>
                      <w:sz w:val="21"/>
                      <w:szCs w:val="21"/>
                      <w:u w:val="single"/>
                      <w:lang w:val="en-US" w:eastAsia="zh-CN"/>
                    </w:rPr>
                  </w:pPr>
                  <w:r>
                    <w:rPr>
                      <w:rFonts w:hint="eastAsia"/>
                      <w:color w:val="auto"/>
                      <w:sz w:val="21"/>
                      <w:szCs w:val="21"/>
                      <w:u w:val="single"/>
                      <w:lang w:val="en-US" w:eastAsia="zh-CN"/>
                    </w:rPr>
                    <w:t>项目主体工程已经建设完成，现场踏勘时发现搅拌工序中尾砂通过浓密机底部输送系统进入搅拌机内，水泥经密闭螺旋输送机输送至搅拌机内，搅拌机为全封闭设备，投料及搅拌过程均在密闭条件下进行，过程中不会产生粉尘</w:t>
                  </w:r>
                </w:p>
              </w:tc>
            </w:tr>
            <w:tr w14:paraId="782A22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52" w:type="dxa"/>
                  <w:vMerge w:val="continue"/>
                  <w:tcBorders>
                    <w:tl2br w:val="nil"/>
                    <w:tr2bl w:val="nil"/>
                  </w:tcBorders>
                  <w:vAlign w:val="center"/>
                </w:tcPr>
                <w:p w14:paraId="0784ED8E">
                  <w:pPr>
                    <w:jc w:val="center"/>
                    <w:rPr>
                      <w:rFonts w:hint="eastAsia"/>
                      <w:color w:val="auto"/>
                      <w:sz w:val="21"/>
                      <w:szCs w:val="21"/>
                      <w:u w:val="single"/>
                      <w:lang w:val="en-US" w:eastAsia="zh-CN"/>
                    </w:rPr>
                  </w:pPr>
                </w:p>
              </w:tc>
              <w:tc>
                <w:tcPr>
                  <w:tcW w:w="672" w:type="dxa"/>
                  <w:tcBorders>
                    <w:tl2br w:val="nil"/>
                    <w:tr2bl w:val="nil"/>
                  </w:tcBorders>
                  <w:vAlign w:val="center"/>
                </w:tcPr>
                <w:p w14:paraId="1FAC7874">
                  <w:pPr>
                    <w:jc w:val="center"/>
                    <w:rPr>
                      <w:rFonts w:hint="eastAsia"/>
                      <w:color w:val="auto"/>
                      <w:sz w:val="21"/>
                      <w:szCs w:val="21"/>
                      <w:u w:val="single"/>
                      <w:lang w:val="en-US" w:eastAsia="zh-CN"/>
                    </w:rPr>
                  </w:pPr>
                  <w:r>
                    <w:rPr>
                      <w:rFonts w:hint="eastAsia"/>
                      <w:color w:val="auto"/>
                      <w:sz w:val="21"/>
                      <w:szCs w:val="21"/>
                      <w:u w:val="single"/>
                      <w:lang w:val="en-US" w:eastAsia="zh-CN"/>
                    </w:rPr>
                    <w:t>生活</w:t>
                  </w:r>
                </w:p>
                <w:p w14:paraId="5ABFED3D">
                  <w:pPr>
                    <w:jc w:val="center"/>
                    <w:rPr>
                      <w:rFonts w:hint="default"/>
                      <w:color w:val="auto"/>
                      <w:sz w:val="21"/>
                      <w:szCs w:val="21"/>
                      <w:u w:val="single"/>
                      <w:lang w:val="en-US" w:eastAsia="zh-CN"/>
                    </w:rPr>
                  </w:pPr>
                  <w:r>
                    <w:rPr>
                      <w:rFonts w:hint="eastAsia"/>
                      <w:color w:val="auto"/>
                      <w:sz w:val="21"/>
                      <w:szCs w:val="21"/>
                      <w:u w:val="single"/>
                      <w:lang w:val="en-US" w:eastAsia="zh-CN"/>
                    </w:rPr>
                    <w:t>污水</w:t>
                  </w:r>
                </w:p>
              </w:tc>
              <w:tc>
                <w:tcPr>
                  <w:tcW w:w="2493" w:type="dxa"/>
                  <w:tcBorders>
                    <w:tl2br w:val="nil"/>
                    <w:tr2bl w:val="nil"/>
                  </w:tcBorders>
                  <w:vAlign w:val="center"/>
                </w:tcPr>
                <w:p w14:paraId="7BBFC33C">
                  <w:pPr>
                    <w:jc w:val="center"/>
                    <w:rPr>
                      <w:rFonts w:hint="eastAsia"/>
                      <w:color w:val="auto"/>
                      <w:sz w:val="21"/>
                      <w:szCs w:val="21"/>
                      <w:u w:val="single"/>
                      <w:lang w:val="en-US" w:eastAsia="zh-CN"/>
                    </w:rPr>
                  </w:pPr>
                  <w:r>
                    <w:rPr>
                      <w:rFonts w:hint="eastAsia"/>
                      <w:color w:val="auto"/>
                      <w:sz w:val="21"/>
                      <w:szCs w:val="21"/>
                      <w:u w:val="single"/>
                      <w:lang w:val="en-US" w:eastAsia="zh-CN"/>
                    </w:rPr>
                    <w:t>经化粪池</w:t>
                  </w:r>
                  <w:r>
                    <w:rPr>
                      <w:rFonts w:hint="eastAsia"/>
                      <w:color w:val="auto"/>
                      <w:sz w:val="21"/>
                      <w:szCs w:val="21"/>
                      <w:u w:val="single"/>
                      <w:lang w:eastAsia="zh-CN"/>
                    </w:rPr>
                    <w:t>处理</w:t>
                  </w:r>
                  <w:r>
                    <w:rPr>
                      <w:rFonts w:hint="eastAsia"/>
                      <w:color w:val="auto"/>
                      <w:sz w:val="21"/>
                      <w:szCs w:val="21"/>
                      <w:u w:val="single"/>
                      <w:lang w:val="en-US" w:eastAsia="zh-CN"/>
                    </w:rPr>
                    <w:t>后用于农田施肥，不外排</w:t>
                  </w:r>
                </w:p>
              </w:tc>
              <w:tc>
                <w:tcPr>
                  <w:tcW w:w="2335" w:type="dxa"/>
                  <w:tcBorders>
                    <w:tl2br w:val="nil"/>
                    <w:tr2bl w:val="nil"/>
                  </w:tcBorders>
                  <w:vAlign w:val="center"/>
                </w:tcPr>
                <w:p w14:paraId="772A8A60">
                  <w:pPr>
                    <w:jc w:val="center"/>
                    <w:rPr>
                      <w:rFonts w:hint="eastAsia"/>
                      <w:color w:val="auto"/>
                      <w:sz w:val="21"/>
                      <w:szCs w:val="21"/>
                      <w:u w:val="single"/>
                      <w:lang w:val="en-US" w:eastAsia="zh-CN"/>
                    </w:rPr>
                  </w:pPr>
                  <w:r>
                    <w:rPr>
                      <w:rFonts w:hint="eastAsia"/>
                      <w:color w:val="auto"/>
                      <w:sz w:val="21"/>
                      <w:szCs w:val="21"/>
                      <w:u w:val="single"/>
                      <w:lang w:val="en-US" w:eastAsia="zh-CN"/>
                    </w:rPr>
                    <w:t>经化粪池</w:t>
                  </w:r>
                  <w:r>
                    <w:rPr>
                      <w:rFonts w:hint="eastAsia"/>
                      <w:color w:val="auto"/>
                      <w:sz w:val="21"/>
                      <w:szCs w:val="21"/>
                      <w:u w:val="single"/>
                      <w:lang w:eastAsia="zh-CN"/>
                    </w:rPr>
                    <w:t>处理</w:t>
                  </w:r>
                  <w:r>
                    <w:rPr>
                      <w:rFonts w:hint="eastAsia"/>
                      <w:color w:val="auto"/>
                      <w:sz w:val="21"/>
                      <w:szCs w:val="21"/>
                      <w:u w:val="single"/>
                      <w:lang w:val="en-US" w:eastAsia="zh-CN"/>
                    </w:rPr>
                    <w:t>后用于农田施肥，不外排</w:t>
                  </w:r>
                </w:p>
              </w:tc>
              <w:tc>
                <w:tcPr>
                  <w:tcW w:w="2015" w:type="dxa"/>
                  <w:tcBorders>
                    <w:tl2br w:val="nil"/>
                    <w:tr2bl w:val="nil"/>
                  </w:tcBorders>
                  <w:vAlign w:val="center"/>
                </w:tcPr>
                <w:p w14:paraId="709D7061">
                  <w:pPr>
                    <w:jc w:val="center"/>
                    <w:rPr>
                      <w:rFonts w:hint="default"/>
                      <w:color w:val="auto"/>
                      <w:sz w:val="21"/>
                      <w:szCs w:val="21"/>
                      <w:u w:val="single"/>
                      <w:lang w:val="en-US" w:eastAsia="zh-CN"/>
                    </w:rPr>
                  </w:pPr>
                  <w:r>
                    <w:rPr>
                      <w:rFonts w:hint="eastAsia"/>
                      <w:color w:val="auto"/>
                      <w:sz w:val="21"/>
                      <w:szCs w:val="21"/>
                      <w:u w:val="single"/>
                      <w:lang w:val="en-US" w:eastAsia="zh-CN"/>
                    </w:rPr>
                    <w:t>不变</w:t>
                  </w:r>
                </w:p>
              </w:tc>
            </w:tr>
            <w:tr w14:paraId="17ABB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52" w:type="dxa"/>
                  <w:vMerge w:val="continue"/>
                  <w:tcBorders>
                    <w:tl2br w:val="nil"/>
                    <w:tr2bl w:val="nil"/>
                  </w:tcBorders>
                  <w:vAlign w:val="center"/>
                </w:tcPr>
                <w:p w14:paraId="467E6188">
                  <w:pPr>
                    <w:jc w:val="center"/>
                    <w:rPr>
                      <w:rFonts w:hint="eastAsia"/>
                      <w:color w:val="auto"/>
                      <w:sz w:val="21"/>
                      <w:szCs w:val="21"/>
                      <w:u w:val="single"/>
                      <w:lang w:val="en-US" w:eastAsia="zh-CN"/>
                    </w:rPr>
                  </w:pPr>
                </w:p>
              </w:tc>
              <w:tc>
                <w:tcPr>
                  <w:tcW w:w="672" w:type="dxa"/>
                  <w:tcBorders>
                    <w:tl2br w:val="nil"/>
                    <w:tr2bl w:val="nil"/>
                  </w:tcBorders>
                  <w:vAlign w:val="center"/>
                </w:tcPr>
                <w:p w14:paraId="20FD0C86">
                  <w:pPr>
                    <w:jc w:val="center"/>
                    <w:rPr>
                      <w:rFonts w:hint="default"/>
                      <w:color w:val="auto"/>
                      <w:sz w:val="21"/>
                      <w:szCs w:val="21"/>
                      <w:u w:val="single"/>
                      <w:lang w:val="en-US" w:eastAsia="zh-CN"/>
                    </w:rPr>
                  </w:pPr>
                  <w:r>
                    <w:rPr>
                      <w:rFonts w:hint="eastAsia"/>
                      <w:color w:val="auto"/>
                      <w:sz w:val="21"/>
                      <w:szCs w:val="21"/>
                      <w:u w:val="single"/>
                      <w:lang w:val="en-US" w:eastAsia="zh-CN"/>
                    </w:rPr>
                    <w:t>噪声</w:t>
                  </w:r>
                </w:p>
              </w:tc>
              <w:tc>
                <w:tcPr>
                  <w:tcW w:w="2493" w:type="dxa"/>
                  <w:tcBorders>
                    <w:tl2br w:val="nil"/>
                    <w:tr2bl w:val="nil"/>
                  </w:tcBorders>
                  <w:vAlign w:val="center"/>
                </w:tcPr>
                <w:p w14:paraId="11C1B23A">
                  <w:pPr>
                    <w:jc w:val="center"/>
                    <w:rPr>
                      <w:rFonts w:hint="eastAsia"/>
                      <w:color w:val="auto"/>
                      <w:sz w:val="21"/>
                      <w:szCs w:val="21"/>
                      <w:u w:val="single"/>
                      <w:lang w:val="en-US" w:eastAsia="zh-CN"/>
                    </w:rPr>
                  </w:pPr>
                  <w:r>
                    <w:rPr>
                      <w:rFonts w:hint="eastAsia"/>
                      <w:color w:val="auto"/>
                      <w:sz w:val="21"/>
                      <w:szCs w:val="21"/>
                      <w:u w:val="single"/>
                      <w:lang w:val="en-US" w:eastAsia="zh-CN"/>
                    </w:rPr>
                    <w:t>基础</w:t>
                  </w:r>
                  <w:r>
                    <w:rPr>
                      <w:rFonts w:hint="eastAsia"/>
                      <w:color w:val="auto"/>
                      <w:sz w:val="21"/>
                      <w:szCs w:val="21"/>
                      <w:u w:val="single"/>
                    </w:rPr>
                    <w:t>减振、</w:t>
                  </w:r>
                  <w:r>
                    <w:rPr>
                      <w:rFonts w:hint="eastAsia"/>
                      <w:color w:val="auto"/>
                      <w:sz w:val="21"/>
                      <w:szCs w:val="21"/>
                      <w:u w:val="single"/>
                      <w:lang w:val="en-US" w:eastAsia="zh-CN"/>
                    </w:rPr>
                    <w:t>厂房</w:t>
                  </w:r>
                  <w:r>
                    <w:rPr>
                      <w:rFonts w:hint="eastAsia"/>
                      <w:color w:val="auto"/>
                      <w:sz w:val="21"/>
                      <w:szCs w:val="21"/>
                      <w:u w:val="single"/>
                    </w:rPr>
                    <w:t>隔声</w:t>
                  </w:r>
                </w:p>
              </w:tc>
              <w:tc>
                <w:tcPr>
                  <w:tcW w:w="2335" w:type="dxa"/>
                  <w:tcBorders>
                    <w:tl2br w:val="nil"/>
                    <w:tr2bl w:val="nil"/>
                  </w:tcBorders>
                  <w:vAlign w:val="center"/>
                </w:tcPr>
                <w:p w14:paraId="791300F0">
                  <w:pPr>
                    <w:jc w:val="center"/>
                    <w:rPr>
                      <w:rFonts w:hint="eastAsia"/>
                      <w:color w:val="auto"/>
                      <w:sz w:val="21"/>
                      <w:szCs w:val="21"/>
                      <w:u w:val="single"/>
                      <w:lang w:val="en-US" w:eastAsia="zh-CN"/>
                    </w:rPr>
                  </w:pPr>
                  <w:r>
                    <w:rPr>
                      <w:rFonts w:hint="eastAsia"/>
                      <w:color w:val="auto"/>
                      <w:sz w:val="21"/>
                      <w:szCs w:val="21"/>
                      <w:u w:val="single"/>
                      <w:lang w:val="en-US" w:eastAsia="zh-CN"/>
                    </w:rPr>
                    <w:t>基础</w:t>
                  </w:r>
                  <w:r>
                    <w:rPr>
                      <w:rFonts w:hint="eastAsia"/>
                      <w:color w:val="auto"/>
                      <w:sz w:val="21"/>
                      <w:szCs w:val="21"/>
                      <w:u w:val="single"/>
                    </w:rPr>
                    <w:t>减振、</w:t>
                  </w:r>
                  <w:r>
                    <w:rPr>
                      <w:rFonts w:hint="eastAsia"/>
                      <w:color w:val="auto"/>
                      <w:sz w:val="21"/>
                      <w:szCs w:val="21"/>
                      <w:u w:val="single"/>
                      <w:lang w:val="en-US" w:eastAsia="zh-CN"/>
                    </w:rPr>
                    <w:t>厂房</w:t>
                  </w:r>
                  <w:r>
                    <w:rPr>
                      <w:rFonts w:hint="eastAsia"/>
                      <w:color w:val="auto"/>
                      <w:sz w:val="21"/>
                      <w:szCs w:val="21"/>
                      <w:u w:val="single"/>
                    </w:rPr>
                    <w:t>隔声</w:t>
                  </w:r>
                </w:p>
              </w:tc>
              <w:tc>
                <w:tcPr>
                  <w:tcW w:w="2015" w:type="dxa"/>
                  <w:tcBorders>
                    <w:tl2br w:val="nil"/>
                    <w:tr2bl w:val="nil"/>
                  </w:tcBorders>
                  <w:vAlign w:val="center"/>
                </w:tcPr>
                <w:p w14:paraId="048B41EA">
                  <w:pPr>
                    <w:jc w:val="center"/>
                    <w:rPr>
                      <w:rFonts w:hint="default"/>
                      <w:color w:val="auto"/>
                      <w:sz w:val="21"/>
                      <w:szCs w:val="21"/>
                      <w:u w:val="single"/>
                      <w:lang w:val="en-US" w:eastAsia="zh-CN"/>
                    </w:rPr>
                  </w:pPr>
                  <w:r>
                    <w:rPr>
                      <w:rFonts w:hint="eastAsia"/>
                      <w:color w:val="auto"/>
                      <w:sz w:val="21"/>
                      <w:szCs w:val="21"/>
                      <w:u w:val="single"/>
                      <w:lang w:val="en-US" w:eastAsia="zh-CN"/>
                    </w:rPr>
                    <w:t>不变</w:t>
                  </w:r>
                </w:p>
              </w:tc>
            </w:tr>
            <w:tr w14:paraId="67B648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86" w:hRule="atLeast"/>
                <w:jc w:val="center"/>
              </w:trPr>
              <w:tc>
                <w:tcPr>
                  <w:tcW w:w="652" w:type="dxa"/>
                  <w:vMerge w:val="continue"/>
                  <w:tcBorders>
                    <w:tl2br w:val="nil"/>
                    <w:tr2bl w:val="nil"/>
                  </w:tcBorders>
                  <w:vAlign w:val="center"/>
                </w:tcPr>
                <w:p w14:paraId="24558126">
                  <w:pPr>
                    <w:jc w:val="center"/>
                    <w:rPr>
                      <w:rFonts w:hint="eastAsia"/>
                      <w:color w:val="auto"/>
                      <w:sz w:val="21"/>
                      <w:szCs w:val="21"/>
                      <w:u w:val="single"/>
                      <w:lang w:val="en-US" w:eastAsia="zh-CN"/>
                    </w:rPr>
                  </w:pPr>
                </w:p>
              </w:tc>
              <w:tc>
                <w:tcPr>
                  <w:tcW w:w="672" w:type="dxa"/>
                  <w:tcBorders>
                    <w:tl2br w:val="nil"/>
                    <w:tr2bl w:val="nil"/>
                  </w:tcBorders>
                  <w:vAlign w:val="center"/>
                </w:tcPr>
                <w:p w14:paraId="7E34F387">
                  <w:pPr>
                    <w:jc w:val="center"/>
                    <w:rPr>
                      <w:rFonts w:hint="default"/>
                      <w:color w:val="auto"/>
                      <w:sz w:val="21"/>
                      <w:szCs w:val="21"/>
                      <w:u w:val="single"/>
                      <w:lang w:val="en-US" w:eastAsia="zh-CN"/>
                    </w:rPr>
                  </w:pPr>
                  <w:r>
                    <w:rPr>
                      <w:rFonts w:hint="eastAsia"/>
                      <w:color w:val="auto"/>
                      <w:sz w:val="21"/>
                      <w:szCs w:val="21"/>
                      <w:u w:val="single"/>
                      <w:lang w:val="en-US" w:eastAsia="zh-CN"/>
                    </w:rPr>
                    <w:t>固废</w:t>
                  </w:r>
                </w:p>
              </w:tc>
              <w:tc>
                <w:tcPr>
                  <w:tcW w:w="2493" w:type="dxa"/>
                  <w:tcBorders>
                    <w:tl2br w:val="nil"/>
                    <w:tr2bl w:val="nil"/>
                  </w:tcBorders>
                  <w:vAlign w:val="center"/>
                </w:tcPr>
                <w:p w14:paraId="52CC1E38">
                  <w:pPr>
                    <w:jc w:val="center"/>
                    <w:rPr>
                      <w:rFonts w:hint="eastAsia"/>
                      <w:color w:val="auto"/>
                      <w:sz w:val="21"/>
                      <w:szCs w:val="21"/>
                      <w:u w:val="single"/>
                      <w:lang w:val="en-US" w:eastAsia="zh-CN"/>
                    </w:rPr>
                  </w:pPr>
                  <w:r>
                    <w:rPr>
                      <w:rFonts w:hint="eastAsia" w:ascii="宋体" w:hAnsi="宋体" w:eastAsia="宋体" w:cs="宋体"/>
                      <w:color w:val="auto"/>
                      <w:kern w:val="0"/>
                      <w:sz w:val="21"/>
                      <w:szCs w:val="21"/>
                      <w:u w:val="single"/>
                      <w:lang w:val="en-US" w:eastAsia="zh-CN" w:bidi="ar"/>
                    </w:rPr>
                    <w:t>职工生活垃圾经集中收集后由环卫部门处理</w:t>
                  </w:r>
                </w:p>
              </w:tc>
              <w:tc>
                <w:tcPr>
                  <w:tcW w:w="2335" w:type="dxa"/>
                  <w:tcBorders>
                    <w:tl2br w:val="nil"/>
                    <w:tr2bl w:val="nil"/>
                  </w:tcBorders>
                  <w:vAlign w:val="center"/>
                </w:tcPr>
                <w:p w14:paraId="1C8C5489">
                  <w:pPr>
                    <w:jc w:val="center"/>
                    <w:rPr>
                      <w:rFonts w:hint="eastAsia"/>
                      <w:color w:val="auto"/>
                      <w:sz w:val="21"/>
                      <w:szCs w:val="21"/>
                      <w:u w:val="single"/>
                      <w:lang w:val="en-US" w:eastAsia="zh-CN"/>
                    </w:rPr>
                  </w:pPr>
                  <w:r>
                    <w:rPr>
                      <w:rFonts w:hint="eastAsia" w:ascii="宋体" w:hAnsi="宋体" w:eastAsia="宋体" w:cs="宋体"/>
                      <w:color w:val="auto"/>
                      <w:kern w:val="0"/>
                      <w:sz w:val="21"/>
                      <w:szCs w:val="21"/>
                      <w:u w:val="single"/>
                      <w:lang w:val="en-US" w:eastAsia="zh-CN" w:bidi="ar"/>
                    </w:rPr>
                    <w:t>职工生活垃圾经集中收集后由环卫部门处理</w:t>
                  </w:r>
                </w:p>
              </w:tc>
              <w:tc>
                <w:tcPr>
                  <w:tcW w:w="2015" w:type="dxa"/>
                  <w:tcBorders>
                    <w:tl2br w:val="nil"/>
                    <w:tr2bl w:val="nil"/>
                  </w:tcBorders>
                  <w:vAlign w:val="center"/>
                </w:tcPr>
                <w:p w14:paraId="1ABFE660">
                  <w:pPr>
                    <w:jc w:val="center"/>
                    <w:rPr>
                      <w:rFonts w:hint="default"/>
                      <w:color w:val="auto"/>
                      <w:sz w:val="21"/>
                      <w:szCs w:val="21"/>
                      <w:u w:val="single"/>
                      <w:lang w:val="en-US" w:eastAsia="zh-CN"/>
                    </w:rPr>
                  </w:pPr>
                  <w:r>
                    <w:rPr>
                      <w:rFonts w:hint="eastAsia"/>
                      <w:color w:val="auto"/>
                      <w:sz w:val="21"/>
                      <w:szCs w:val="21"/>
                      <w:u w:val="single"/>
                      <w:lang w:val="en-US" w:eastAsia="zh-CN"/>
                    </w:rPr>
                    <w:t>不变</w:t>
                  </w:r>
                </w:p>
              </w:tc>
            </w:tr>
          </w:tbl>
          <w:p w14:paraId="5409351F">
            <w:pPr>
              <w:spacing w:line="360" w:lineRule="auto"/>
              <w:ind w:firstLine="480" w:firstLineChars="200"/>
              <w:contextualSpacing/>
              <w:rPr>
                <w:rFonts w:hint="eastAsia" w:ascii="Times New Roman" w:hAnsi="Times New Roman" w:eastAsia="宋体" w:cs="Times New Roman"/>
                <w:color w:val="auto"/>
                <w:sz w:val="24"/>
                <w:u w:val="single"/>
                <w:lang w:val="en-US" w:eastAsia="zh-CN"/>
              </w:rPr>
            </w:pPr>
            <w:r>
              <w:rPr>
                <w:rFonts w:hint="eastAsia" w:ascii="Times New Roman" w:hAnsi="Times New Roman" w:eastAsia="宋体" w:cs="Times New Roman"/>
                <w:color w:val="auto"/>
                <w:sz w:val="24"/>
                <w:u w:val="single"/>
                <w:lang w:val="en-US" w:eastAsia="zh-CN"/>
              </w:rPr>
              <w:t xml:space="preserve">对照《污染影响类建设项目重大变动清单（试行）》（环办环评函〔2020〕 </w:t>
            </w:r>
          </w:p>
          <w:p w14:paraId="51860EB0">
            <w:pPr>
              <w:spacing w:line="360" w:lineRule="auto"/>
              <w:contextualSpacing/>
              <w:rPr>
                <w:rFonts w:hint="eastAsia" w:ascii="Times New Roman" w:hAnsi="Times New Roman" w:eastAsia="宋体" w:cs="Times New Roman"/>
                <w:color w:val="auto"/>
                <w:sz w:val="24"/>
                <w:u w:val="single"/>
                <w:lang w:val="en-US" w:eastAsia="zh-CN"/>
              </w:rPr>
            </w:pPr>
            <w:r>
              <w:rPr>
                <w:rFonts w:hint="eastAsia" w:ascii="Times New Roman" w:hAnsi="Times New Roman" w:eastAsia="宋体" w:cs="Times New Roman"/>
                <w:color w:val="auto"/>
                <w:sz w:val="24"/>
                <w:u w:val="single"/>
                <w:lang w:val="en-US" w:eastAsia="zh-CN"/>
              </w:rPr>
              <w:t>688 号）：本项目重大变动判断结果如下表所示</w:t>
            </w:r>
            <w:r>
              <w:rPr>
                <w:rFonts w:hint="eastAsia" w:cs="Times New Roman"/>
                <w:color w:val="auto"/>
                <w:sz w:val="24"/>
                <w:u w:val="single"/>
                <w:lang w:val="en-US" w:eastAsia="zh-CN"/>
              </w:rPr>
              <w:t>。</w:t>
            </w:r>
          </w:p>
          <w:p w14:paraId="42FA5C56">
            <w:pPr>
              <w:spacing w:line="360" w:lineRule="auto"/>
              <w:ind w:firstLine="2160" w:firstLineChars="900"/>
              <w:contextualSpacing/>
              <w:rPr>
                <w:rFonts w:hint="eastAsia" w:ascii="黑体" w:hAnsi="黑体" w:eastAsia="黑体" w:cs="黑体"/>
                <w:b w:val="0"/>
                <w:bCs w:val="0"/>
                <w:snapToGrid/>
                <w:color w:val="auto"/>
                <w:kern w:val="2"/>
                <w:sz w:val="24"/>
                <w:szCs w:val="21"/>
                <w:u w:val="single"/>
                <w:lang w:val="en-US" w:eastAsia="zh-CN" w:bidi="ar-SA"/>
              </w:rPr>
            </w:pPr>
            <w:r>
              <w:rPr>
                <w:rFonts w:hint="eastAsia" w:ascii="黑体" w:hAnsi="黑体" w:eastAsia="黑体" w:cs="黑体"/>
                <w:b w:val="0"/>
                <w:bCs w:val="0"/>
                <w:snapToGrid/>
                <w:color w:val="auto"/>
                <w:kern w:val="2"/>
                <w:sz w:val="24"/>
                <w:szCs w:val="21"/>
                <w:u w:val="single"/>
                <w:lang w:val="en-US" w:eastAsia="zh-CN" w:bidi="ar-SA"/>
              </w:rPr>
              <w:t xml:space="preserve">表2-2  </w:t>
            </w:r>
            <w:r>
              <w:rPr>
                <w:rFonts w:hint="default" w:ascii="黑体" w:hAnsi="黑体" w:eastAsia="黑体" w:cs="黑体"/>
                <w:b w:val="0"/>
                <w:bCs w:val="0"/>
                <w:snapToGrid/>
                <w:color w:val="auto"/>
                <w:kern w:val="2"/>
                <w:sz w:val="24"/>
                <w:szCs w:val="21"/>
                <w:u w:val="single"/>
                <w:lang w:val="en-US" w:eastAsia="zh-CN" w:bidi="ar-SA"/>
              </w:rPr>
              <w:t xml:space="preserve"> </w:t>
            </w:r>
            <w:r>
              <w:rPr>
                <w:rFonts w:hint="eastAsia" w:ascii="黑体" w:hAnsi="黑体" w:eastAsia="黑体" w:cs="黑体"/>
                <w:b w:val="0"/>
                <w:bCs w:val="0"/>
                <w:snapToGrid/>
                <w:color w:val="auto"/>
                <w:kern w:val="2"/>
                <w:sz w:val="24"/>
                <w:szCs w:val="21"/>
                <w:u w:val="single"/>
                <w:lang w:val="en-US" w:eastAsia="zh-CN" w:bidi="ar-SA"/>
              </w:rPr>
              <w:t>项目重大变动判断情况一览表</w:t>
            </w:r>
          </w:p>
          <w:tbl>
            <w:tblPr>
              <w:tblStyle w:val="32"/>
              <w:tblW w:w="844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05"/>
              <w:gridCol w:w="4951"/>
              <w:gridCol w:w="1668"/>
              <w:gridCol w:w="920"/>
            </w:tblGrid>
            <w:tr w14:paraId="613569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tcBorders>
                    <w:tl2br w:val="nil"/>
                    <w:tr2bl w:val="nil"/>
                  </w:tcBorders>
                  <w:vAlign w:val="center"/>
                </w:tcPr>
                <w:p w14:paraId="52BDB539">
                  <w:pPr>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类别</w:t>
                  </w:r>
                </w:p>
              </w:tc>
              <w:tc>
                <w:tcPr>
                  <w:tcW w:w="4951" w:type="dxa"/>
                  <w:tcBorders>
                    <w:tl2br w:val="nil"/>
                    <w:tr2bl w:val="nil"/>
                  </w:tcBorders>
                  <w:vAlign w:val="center"/>
                </w:tcPr>
                <w:p w14:paraId="13A00B40">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重大变动清单</w:t>
                  </w:r>
                </w:p>
              </w:tc>
              <w:tc>
                <w:tcPr>
                  <w:tcW w:w="1668" w:type="dxa"/>
                  <w:tcBorders>
                    <w:tl2br w:val="nil"/>
                    <w:tr2bl w:val="nil"/>
                  </w:tcBorders>
                  <w:vAlign w:val="center"/>
                </w:tcPr>
                <w:p w14:paraId="15601D85">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本项目变动情况</w:t>
                  </w:r>
                </w:p>
              </w:tc>
              <w:tc>
                <w:tcPr>
                  <w:tcW w:w="920" w:type="dxa"/>
                  <w:tcBorders>
                    <w:tl2br w:val="nil"/>
                    <w:tr2bl w:val="nil"/>
                  </w:tcBorders>
                  <w:vAlign w:val="center"/>
                </w:tcPr>
                <w:p w14:paraId="63DBF587">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 xml:space="preserve">重大变 </w:t>
                  </w:r>
                </w:p>
                <w:p w14:paraId="2DEF8064">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动判定</w:t>
                  </w:r>
                </w:p>
              </w:tc>
            </w:tr>
            <w:tr w14:paraId="21423B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tcBorders>
                    <w:tl2br w:val="nil"/>
                    <w:tr2bl w:val="nil"/>
                  </w:tcBorders>
                  <w:vAlign w:val="center"/>
                </w:tcPr>
                <w:p w14:paraId="0354B4F3">
                  <w:pPr>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性质</w:t>
                  </w:r>
                </w:p>
              </w:tc>
              <w:tc>
                <w:tcPr>
                  <w:tcW w:w="4951" w:type="dxa"/>
                  <w:tcBorders>
                    <w:tl2br w:val="nil"/>
                    <w:tr2bl w:val="nil"/>
                  </w:tcBorders>
                  <w:vAlign w:val="center"/>
                </w:tcPr>
                <w:p w14:paraId="6F3B2A8E">
                  <w:pPr>
                    <w:jc w:val="both"/>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1.建设项目开发、使用功能发生变化的。</w:t>
                  </w:r>
                </w:p>
              </w:tc>
              <w:tc>
                <w:tcPr>
                  <w:tcW w:w="1668" w:type="dxa"/>
                  <w:tcBorders>
                    <w:tl2br w:val="nil"/>
                    <w:tr2bl w:val="nil"/>
                  </w:tcBorders>
                  <w:vAlign w:val="center"/>
                </w:tcPr>
                <w:p w14:paraId="4B20F1C1">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292D383D">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5B1CDD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restart"/>
                  <w:tcBorders>
                    <w:tl2br w:val="nil"/>
                    <w:tr2bl w:val="nil"/>
                  </w:tcBorders>
                  <w:vAlign w:val="center"/>
                </w:tcPr>
                <w:p w14:paraId="49E02888">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规模</w:t>
                  </w:r>
                </w:p>
              </w:tc>
              <w:tc>
                <w:tcPr>
                  <w:tcW w:w="4951" w:type="dxa"/>
                  <w:tcBorders>
                    <w:tl2br w:val="nil"/>
                    <w:tr2bl w:val="nil"/>
                  </w:tcBorders>
                  <w:vAlign w:val="center"/>
                </w:tcPr>
                <w:p w14:paraId="1DF1E15C">
                  <w:pPr>
                    <w:keepNext w:val="0"/>
                    <w:keepLines w:val="0"/>
                    <w:widowControl/>
                    <w:suppressLineNumbers w:val="0"/>
                    <w:jc w:val="left"/>
                    <w:rPr>
                      <w:rFonts w:hint="eastAsia" w:ascii="Times New Roman" w:hAnsi="Times New Roman" w:eastAsia="宋体" w:cs="Times New Roman"/>
                      <w:b w:val="0"/>
                      <w:bCs w:val="0"/>
                      <w:color w:val="auto"/>
                      <w:sz w:val="21"/>
                      <w:szCs w:val="21"/>
                      <w:u w:val="single"/>
                      <w:lang w:val="en-US" w:eastAsia="zh-CN"/>
                    </w:rPr>
                  </w:pPr>
                  <w:r>
                    <w:rPr>
                      <w:rFonts w:hint="default" w:ascii="Times New Roman" w:hAnsi="Times New Roman" w:eastAsia="宋体" w:cs="Times New Roman"/>
                      <w:color w:val="auto"/>
                      <w:kern w:val="0"/>
                      <w:sz w:val="21"/>
                      <w:szCs w:val="21"/>
                      <w:u w:val="single"/>
                      <w:lang w:val="en-US" w:eastAsia="zh-CN" w:bidi="ar"/>
                    </w:rPr>
                    <w:t>2.</w:t>
                  </w:r>
                  <w:r>
                    <w:rPr>
                      <w:rFonts w:hint="eastAsia" w:ascii="宋体" w:hAnsi="宋体" w:eastAsia="宋体" w:cs="宋体"/>
                      <w:color w:val="auto"/>
                      <w:kern w:val="0"/>
                      <w:sz w:val="21"/>
                      <w:szCs w:val="21"/>
                      <w:u w:val="single"/>
                      <w:lang w:val="en-US" w:eastAsia="zh-CN" w:bidi="ar"/>
                    </w:rPr>
                    <w:t>生产、处置或储存能力增大</w:t>
                  </w:r>
                  <w:r>
                    <w:rPr>
                      <w:rFonts w:hint="default" w:ascii="Times New Roman" w:hAnsi="Times New Roman" w:eastAsia="宋体" w:cs="Times New Roman"/>
                      <w:color w:val="auto"/>
                      <w:kern w:val="0"/>
                      <w:sz w:val="21"/>
                      <w:szCs w:val="21"/>
                      <w:u w:val="single"/>
                      <w:lang w:val="en-US" w:eastAsia="zh-CN" w:bidi="ar"/>
                    </w:rPr>
                    <w:t>30%</w:t>
                  </w:r>
                  <w:r>
                    <w:rPr>
                      <w:rFonts w:hint="eastAsia" w:ascii="宋体" w:hAnsi="宋体" w:eastAsia="宋体" w:cs="宋体"/>
                      <w:color w:val="auto"/>
                      <w:kern w:val="0"/>
                      <w:sz w:val="21"/>
                      <w:szCs w:val="21"/>
                      <w:u w:val="single"/>
                      <w:lang w:val="en-US" w:eastAsia="zh-CN" w:bidi="ar"/>
                    </w:rPr>
                    <w:t>及以上的。</w:t>
                  </w:r>
                </w:p>
              </w:tc>
              <w:tc>
                <w:tcPr>
                  <w:tcW w:w="1668" w:type="dxa"/>
                  <w:tcBorders>
                    <w:tl2br w:val="nil"/>
                    <w:tr2bl w:val="nil"/>
                  </w:tcBorders>
                  <w:vAlign w:val="center"/>
                </w:tcPr>
                <w:p w14:paraId="37DB2793">
                  <w:pPr>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年制备充填料浆12万m</w:t>
                  </w:r>
                  <w:r>
                    <w:rPr>
                      <w:rFonts w:hint="eastAsia" w:ascii="Times New Roman" w:hAnsi="Times New Roman" w:eastAsia="宋体" w:cs="Times New Roman"/>
                      <w:b w:val="0"/>
                      <w:bCs w:val="0"/>
                      <w:color w:val="auto"/>
                      <w:sz w:val="21"/>
                      <w:szCs w:val="21"/>
                      <w:u w:val="single"/>
                      <w:vertAlign w:val="superscript"/>
                      <w:lang w:val="en-US" w:eastAsia="zh-CN"/>
                    </w:rPr>
                    <w:t>3</w:t>
                  </w:r>
                  <w:r>
                    <w:rPr>
                      <w:rFonts w:hint="eastAsia" w:ascii="Times New Roman" w:hAnsi="Times New Roman" w:eastAsia="宋体" w:cs="Times New Roman"/>
                      <w:b w:val="0"/>
                      <w:bCs w:val="0"/>
                      <w:color w:val="auto"/>
                      <w:sz w:val="21"/>
                      <w:szCs w:val="21"/>
                      <w:u w:val="single"/>
                      <w:vertAlign w:val="baseline"/>
                      <w:lang w:val="en-US" w:eastAsia="zh-CN"/>
                    </w:rPr>
                    <w:t>增大为年制备充填料浆</w:t>
                  </w:r>
                  <w:r>
                    <w:rPr>
                      <w:rFonts w:hint="eastAsia"/>
                      <w:color w:val="auto"/>
                      <w:sz w:val="21"/>
                      <w:szCs w:val="21"/>
                      <w:u w:val="single"/>
                      <w:lang w:val="en-US" w:eastAsia="zh-CN"/>
                    </w:rPr>
                    <w:t>23.4万m</w:t>
                  </w:r>
                  <w:r>
                    <w:rPr>
                      <w:rFonts w:hint="eastAsia"/>
                      <w:color w:val="auto"/>
                      <w:sz w:val="21"/>
                      <w:szCs w:val="21"/>
                      <w:u w:val="single"/>
                      <w:vertAlign w:val="superscript"/>
                      <w:lang w:val="en-US" w:eastAsia="zh-CN"/>
                    </w:rPr>
                    <w:t>3</w:t>
                  </w:r>
                  <w:r>
                    <w:rPr>
                      <w:rFonts w:hint="eastAsia"/>
                      <w:color w:val="auto"/>
                      <w:sz w:val="21"/>
                      <w:szCs w:val="21"/>
                      <w:u w:val="single"/>
                      <w:vertAlign w:val="baseline"/>
                      <w:lang w:val="en-US" w:eastAsia="zh-CN"/>
                    </w:rPr>
                    <w:t>；生产能力增大95%</w:t>
                  </w:r>
                </w:p>
              </w:tc>
              <w:tc>
                <w:tcPr>
                  <w:tcW w:w="920" w:type="dxa"/>
                  <w:tcBorders>
                    <w:tl2br w:val="nil"/>
                    <w:tr2bl w:val="nil"/>
                  </w:tcBorders>
                  <w:vAlign w:val="center"/>
                </w:tcPr>
                <w:p w14:paraId="3AF6D0B9">
                  <w:pPr>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是</w:t>
                  </w:r>
                </w:p>
              </w:tc>
            </w:tr>
            <w:tr w14:paraId="748C93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continue"/>
                  <w:tcBorders>
                    <w:tl2br w:val="nil"/>
                    <w:tr2bl w:val="nil"/>
                  </w:tcBorders>
                  <w:vAlign w:val="center"/>
                </w:tcPr>
                <w:p w14:paraId="1FDB6036">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67F7F4C8">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3.</w:t>
                  </w:r>
                  <w:r>
                    <w:rPr>
                      <w:rFonts w:hint="eastAsia" w:ascii="宋体" w:hAnsi="宋体" w:eastAsia="宋体" w:cs="宋体"/>
                      <w:color w:val="auto"/>
                      <w:kern w:val="0"/>
                      <w:sz w:val="21"/>
                      <w:szCs w:val="21"/>
                      <w:u w:val="single"/>
                      <w:lang w:val="en-US" w:eastAsia="zh-CN" w:bidi="ar"/>
                    </w:rPr>
                    <w:t>生产、处置或储存能力增大，导致废水第一类污染物排放量增加的。</w:t>
                  </w:r>
                </w:p>
              </w:tc>
              <w:tc>
                <w:tcPr>
                  <w:tcW w:w="1668" w:type="dxa"/>
                  <w:tcBorders>
                    <w:tl2br w:val="nil"/>
                    <w:tr2bl w:val="nil"/>
                  </w:tcBorders>
                  <w:vAlign w:val="center"/>
                </w:tcPr>
                <w:p w14:paraId="37EE10B4">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6CABFA30">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0E87EB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905" w:type="dxa"/>
                  <w:vMerge w:val="continue"/>
                  <w:tcBorders>
                    <w:tl2br w:val="nil"/>
                    <w:tr2bl w:val="nil"/>
                  </w:tcBorders>
                  <w:vAlign w:val="center"/>
                </w:tcPr>
                <w:p w14:paraId="306D6863">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565F601F">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4.</w:t>
                  </w:r>
                  <w:r>
                    <w:rPr>
                      <w:rFonts w:hint="eastAsia" w:ascii="宋体" w:hAnsi="宋体" w:eastAsia="宋体" w:cs="宋体"/>
                      <w:color w:val="auto"/>
                      <w:kern w:val="0"/>
                      <w:sz w:val="21"/>
                      <w:szCs w:val="21"/>
                      <w:u w:val="single"/>
                      <w:lang w:val="en-US" w:eastAsia="zh-CN" w:bidi="ar"/>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w:t>
                  </w:r>
                  <w:r>
                    <w:rPr>
                      <w:rFonts w:hint="default" w:ascii="Times New Roman" w:hAnsi="Times New Roman" w:eastAsia="宋体" w:cs="Times New Roman"/>
                      <w:color w:val="auto"/>
                      <w:kern w:val="0"/>
                      <w:sz w:val="21"/>
                      <w:szCs w:val="21"/>
                      <w:u w:val="single"/>
                      <w:lang w:val="en-US" w:eastAsia="zh-CN" w:bidi="ar"/>
                    </w:rPr>
                    <w:t>10%</w:t>
                  </w:r>
                  <w:r>
                    <w:rPr>
                      <w:rFonts w:hint="eastAsia" w:ascii="宋体" w:hAnsi="宋体" w:eastAsia="宋体" w:cs="宋体"/>
                      <w:color w:val="auto"/>
                      <w:kern w:val="0"/>
                      <w:sz w:val="21"/>
                      <w:szCs w:val="21"/>
                      <w:u w:val="single"/>
                      <w:lang w:val="en-US" w:eastAsia="zh-CN" w:bidi="ar"/>
                    </w:rPr>
                    <w:t>及以上的。</w:t>
                  </w:r>
                </w:p>
              </w:tc>
              <w:tc>
                <w:tcPr>
                  <w:tcW w:w="1668" w:type="dxa"/>
                  <w:tcBorders>
                    <w:tl2br w:val="nil"/>
                    <w:tr2bl w:val="nil"/>
                  </w:tcBorders>
                  <w:vAlign w:val="center"/>
                </w:tcPr>
                <w:p w14:paraId="66DF658C">
                  <w:pPr>
                    <w:jc w:val="both"/>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栾川县属于达标区，由于水泥储量增大，导致项目</w:t>
                  </w:r>
                  <w:r>
                    <w:rPr>
                      <w:rFonts w:hint="eastAsia" w:cs="Times New Roman"/>
                      <w:color w:val="auto"/>
                      <w:kern w:val="0"/>
                      <w:sz w:val="21"/>
                      <w:szCs w:val="21"/>
                      <w:u w:val="single"/>
                      <w:vertAlign w:val="baseline"/>
                      <w:lang w:val="en-US" w:eastAsia="zh-CN"/>
                    </w:rPr>
                    <w:t>水泥罐入料工序产生颗粒物较原来排放量增加0.00564t/a，增加95%。（由于实际搅拌工序不产尘，项目</w:t>
                  </w:r>
                  <w:r>
                    <w:rPr>
                      <w:rFonts w:hint="eastAsia" w:ascii="Times New Roman" w:hAnsi="Times New Roman" w:eastAsia="宋体" w:cs="Times New Roman"/>
                      <w:b w:val="0"/>
                      <w:bCs w:val="0"/>
                      <w:color w:val="auto"/>
                      <w:sz w:val="21"/>
                      <w:szCs w:val="21"/>
                      <w:u w:val="single"/>
                      <w:lang w:val="en-US" w:eastAsia="zh-CN"/>
                    </w:rPr>
                    <w:t>颗粒物排放总量较原来排放减少）</w:t>
                  </w:r>
                </w:p>
              </w:tc>
              <w:tc>
                <w:tcPr>
                  <w:tcW w:w="920" w:type="dxa"/>
                  <w:tcBorders>
                    <w:tl2br w:val="nil"/>
                    <w:tr2bl w:val="nil"/>
                  </w:tcBorders>
                  <w:vAlign w:val="center"/>
                </w:tcPr>
                <w:p w14:paraId="386235CD">
                  <w:pPr>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是</w:t>
                  </w:r>
                </w:p>
              </w:tc>
            </w:tr>
            <w:tr w14:paraId="39F1D4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tcBorders>
                    <w:tl2br w:val="nil"/>
                    <w:tr2bl w:val="nil"/>
                  </w:tcBorders>
                  <w:vAlign w:val="center"/>
                </w:tcPr>
                <w:p w14:paraId="034DA09D">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地点</w:t>
                  </w:r>
                </w:p>
              </w:tc>
              <w:tc>
                <w:tcPr>
                  <w:tcW w:w="4951" w:type="dxa"/>
                  <w:tcBorders>
                    <w:tl2br w:val="nil"/>
                    <w:tr2bl w:val="nil"/>
                  </w:tcBorders>
                  <w:vAlign w:val="center"/>
                </w:tcPr>
                <w:p w14:paraId="58BBA756">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5.</w:t>
                  </w:r>
                  <w:r>
                    <w:rPr>
                      <w:rFonts w:hint="eastAsia" w:ascii="宋体" w:hAnsi="宋体" w:eastAsia="宋体" w:cs="宋体"/>
                      <w:color w:val="auto"/>
                      <w:kern w:val="0"/>
                      <w:sz w:val="21"/>
                      <w:szCs w:val="21"/>
                      <w:u w:val="single"/>
                      <w:lang w:val="en-US" w:eastAsia="zh-CN" w:bidi="ar"/>
                    </w:rPr>
                    <w:t>重新选址；在原厂址附近调整（包括总平面布置变化）导致环境防护距离范围变化且新增敏感点的。</w:t>
                  </w:r>
                </w:p>
              </w:tc>
              <w:tc>
                <w:tcPr>
                  <w:tcW w:w="1668" w:type="dxa"/>
                  <w:tcBorders>
                    <w:tl2br w:val="nil"/>
                    <w:tr2bl w:val="nil"/>
                  </w:tcBorders>
                  <w:vAlign w:val="center"/>
                </w:tcPr>
                <w:p w14:paraId="30BCA1A5">
                  <w:pPr>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4FE7BFD4">
                  <w:pPr>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566EB9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restart"/>
                  <w:tcBorders>
                    <w:tl2br w:val="nil"/>
                    <w:tr2bl w:val="nil"/>
                  </w:tcBorders>
                  <w:vAlign w:val="center"/>
                </w:tcPr>
                <w:p w14:paraId="250F8503">
                  <w:pPr>
                    <w:jc w:val="center"/>
                    <w:rPr>
                      <w:rFonts w:hint="eastAsia"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生产</w:t>
                  </w:r>
                </w:p>
                <w:p w14:paraId="66F4C1EA">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工艺</w:t>
                  </w:r>
                </w:p>
              </w:tc>
              <w:tc>
                <w:tcPr>
                  <w:tcW w:w="4951" w:type="dxa"/>
                  <w:tcBorders>
                    <w:tl2br w:val="nil"/>
                    <w:tr2bl w:val="nil"/>
                  </w:tcBorders>
                  <w:vAlign w:val="center"/>
                </w:tcPr>
                <w:p w14:paraId="40A9E6C2">
                  <w:pPr>
                    <w:keepNext w:val="0"/>
                    <w:keepLines w:val="0"/>
                    <w:widowControl/>
                    <w:numPr>
                      <w:ilvl w:val="0"/>
                      <w:numId w:val="12"/>
                    </w:numPr>
                    <w:suppressLineNumbers w:val="0"/>
                    <w:jc w:val="left"/>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u w:val="single"/>
                      <w:lang w:val="en-US" w:eastAsia="zh-CN" w:bidi="ar"/>
                    </w:rPr>
                    <w:t>新增产品品种或生产工艺（含主要生产装置、设备及配套设施）、主要原辅材料、燃料变化，导致以下情形之一：</w:t>
                  </w:r>
                </w:p>
                <w:p w14:paraId="1E8340D0">
                  <w:pPr>
                    <w:keepNext w:val="0"/>
                    <w:keepLines w:val="0"/>
                    <w:widowControl/>
                    <w:numPr>
                      <w:ilvl w:val="0"/>
                      <w:numId w:val="13"/>
                    </w:numPr>
                    <w:suppressLineNumbers w:val="0"/>
                    <w:jc w:val="left"/>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u w:val="single"/>
                      <w:lang w:val="en-US" w:eastAsia="zh-CN" w:bidi="ar"/>
                    </w:rPr>
                    <w:t xml:space="preserve">新增排放污染物种类的（毒性、挥发性降低的除外）； </w:t>
                  </w:r>
                </w:p>
                <w:p w14:paraId="4F9C7EDA">
                  <w:pPr>
                    <w:keepNext w:val="0"/>
                    <w:keepLines w:val="0"/>
                    <w:widowControl/>
                    <w:numPr>
                      <w:ilvl w:val="0"/>
                      <w:numId w:val="13"/>
                    </w:numPr>
                    <w:suppressLineNumbers w:val="0"/>
                    <w:jc w:val="left"/>
                    <w:rPr>
                      <w:color w:val="auto"/>
                      <w:u w:val="single"/>
                    </w:rPr>
                  </w:pPr>
                  <w:r>
                    <w:rPr>
                      <w:rFonts w:hint="eastAsia" w:ascii="宋体" w:hAnsi="宋体" w:eastAsia="宋体" w:cs="宋体"/>
                      <w:color w:val="auto"/>
                      <w:kern w:val="0"/>
                      <w:sz w:val="21"/>
                      <w:szCs w:val="21"/>
                      <w:u w:val="single"/>
                      <w:lang w:val="en-US" w:eastAsia="zh-CN" w:bidi="ar"/>
                    </w:rPr>
                    <w:t xml:space="preserve">位于环境质量不达标区的建设项目相应污染物排放量增加的； </w:t>
                  </w:r>
                </w:p>
                <w:p w14:paraId="3F73C9F4">
                  <w:pPr>
                    <w:keepNext w:val="0"/>
                    <w:keepLines w:val="0"/>
                    <w:widowControl/>
                    <w:suppressLineNumbers w:val="0"/>
                    <w:jc w:val="left"/>
                    <w:rPr>
                      <w:color w:val="auto"/>
                      <w:u w:val="single"/>
                    </w:rPr>
                  </w:pPr>
                  <w:r>
                    <w:rPr>
                      <w:rFonts w:hint="eastAsia" w:ascii="宋体" w:hAnsi="宋体" w:eastAsia="宋体" w:cs="宋体"/>
                      <w:color w:val="auto"/>
                      <w:kern w:val="0"/>
                      <w:sz w:val="21"/>
                      <w:szCs w:val="21"/>
                      <w:u w:val="single"/>
                      <w:lang w:val="en-US" w:eastAsia="zh-CN" w:bidi="ar"/>
                    </w:rPr>
                    <w:t>（</w:t>
                  </w:r>
                  <w:r>
                    <w:rPr>
                      <w:rFonts w:hint="default" w:ascii="Times New Roman" w:hAnsi="Times New Roman" w:eastAsia="宋体" w:cs="Times New Roman"/>
                      <w:color w:val="auto"/>
                      <w:kern w:val="0"/>
                      <w:sz w:val="21"/>
                      <w:szCs w:val="21"/>
                      <w:u w:val="single"/>
                      <w:lang w:val="en-US" w:eastAsia="zh-CN" w:bidi="ar"/>
                    </w:rPr>
                    <w:t>3</w:t>
                  </w:r>
                  <w:r>
                    <w:rPr>
                      <w:rFonts w:hint="eastAsia" w:ascii="宋体" w:hAnsi="宋体" w:eastAsia="宋体" w:cs="宋体"/>
                      <w:color w:val="auto"/>
                      <w:kern w:val="0"/>
                      <w:sz w:val="21"/>
                      <w:szCs w:val="21"/>
                      <w:u w:val="single"/>
                      <w:lang w:val="en-US" w:eastAsia="zh-CN" w:bidi="ar"/>
                    </w:rPr>
                    <w:t xml:space="preserve">）废水第一类污染物排放量增加的； </w:t>
                  </w:r>
                </w:p>
                <w:p w14:paraId="60289C7A">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eastAsia" w:ascii="宋体" w:hAnsi="宋体" w:eastAsia="宋体" w:cs="宋体"/>
                      <w:color w:val="auto"/>
                      <w:kern w:val="0"/>
                      <w:sz w:val="21"/>
                      <w:szCs w:val="21"/>
                      <w:u w:val="single"/>
                      <w:lang w:val="en-US" w:eastAsia="zh-CN" w:bidi="ar"/>
                    </w:rPr>
                    <w:t>（</w:t>
                  </w:r>
                  <w:r>
                    <w:rPr>
                      <w:rFonts w:hint="default" w:ascii="Times New Roman" w:hAnsi="Times New Roman" w:eastAsia="宋体" w:cs="Times New Roman"/>
                      <w:color w:val="auto"/>
                      <w:kern w:val="0"/>
                      <w:sz w:val="21"/>
                      <w:szCs w:val="21"/>
                      <w:u w:val="single"/>
                      <w:lang w:val="en-US" w:eastAsia="zh-CN" w:bidi="ar"/>
                    </w:rPr>
                    <w:t>4</w:t>
                  </w:r>
                  <w:r>
                    <w:rPr>
                      <w:rFonts w:hint="eastAsia" w:ascii="宋体" w:hAnsi="宋体" w:eastAsia="宋体" w:cs="宋体"/>
                      <w:color w:val="auto"/>
                      <w:kern w:val="0"/>
                      <w:sz w:val="21"/>
                      <w:szCs w:val="21"/>
                      <w:u w:val="single"/>
                      <w:lang w:val="en-US" w:eastAsia="zh-CN" w:bidi="ar"/>
                    </w:rPr>
                    <w:t>）其他污染物排放量增加</w:t>
                  </w:r>
                  <w:r>
                    <w:rPr>
                      <w:rFonts w:hint="default" w:ascii="Times New Roman" w:hAnsi="Times New Roman" w:eastAsia="宋体" w:cs="Times New Roman"/>
                      <w:color w:val="auto"/>
                      <w:kern w:val="0"/>
                      <w:sz w:val="21"/>
                      <w:szCs w:val="21"/>
                      <w:u w:val="single"/>
                      <w:lang w:val="en-US" w:eastAsia="zh-CN" w:bidi="ar"/>
                    </w:rPr>
                    <w:t>10%</w:t>
                  </w:r>
                  <w:r>
                    <w:rPr>
                      <w:rFonts w:hint="eastAsia" w:ascii="宋体" w:hAnsi="宋体" w:eastAsia="宋体" w:cs="宋体"/>
                      <w:color w:val="auto"/>
                      <w:kern w:val="0"/>
                      <w:sz w:val="21"/>
                      <w:szCs w:val="21"/>
                      <w:u w:val="single"/>
                      <w:lang w:val="en-US" w:eastAsia="zh-CN" w:bidi="ar"/>
                    </w:rPr>
                    <w:t>及以上的。</w:t>
                  </w:r>
                </w:p>
              </w:tc>
              <w:tc>
                <w:tcPr>
                  <w:tcW w:w="1668" w:type="dxa"/>
                  <w:tcBorders>
                    <w:tl2br w:val="nil"/>
                    <w:tr2bl w:val="nil"/>
                  </w:tcBorders>
                  <w:vAlign w:val="center"/>
                </w:tcPr>
                <w:p w14:paraId="064E286C">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243420C1">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3D946E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continue"/>
                  <w:tcBorders>
                    <w:tl2br w:val="nil"/>
                    <w:tr2bl w:val="nil"/>
                  </w:tcBorders>
                  <w:vAlign w:val="center"/>
                </w:tcPr>
                <w:p w14:paraId="7C33B4A3">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22E106AC">
                  <w:pPr>
                    <w:keepNext w:val="0"/>
                    <w:keepLines w:val="0"/>
                    <w:widowControl/>
                    <w:suppressLineNumbers w:val="0"/>
                    <w:jc w:val="left"/>
                    <w:rPr>
                      <w:rFonts w:hint="eastAsia" w:ascii="宋体" w:hAnsi="宋体" w:eastAsia="宋体" w:cs="宋体"/>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7.</w:t>
                  </w:r>
                  <w:r>
                    <w:rPr>
                      <w:rFonts w:hint="eastAsia" w:ascii="宋体" w:hAnsi="宋体" w:eastAsia="宋体" w:cs="宋体"/>
                      <w:color w:val="auto"/>
                      <w:kern w:val="0"/>
                      <w:sz w:val="21"/>
                      <w:szCs w:val="21"/>
                      <w:u w:val="single"/>
                      <w:lang w:val="en-US" w:eastAsia="zh-CN" w:bidi="ar"/>
                    </w:rPr>
                    <w:t>物料运输、装卸、贮存方式变化，导致大气污染物无组织排放量增加</w:t>
                  </w:r>
                  <w:r>
                    <w:rPr>
                      <w:rFonts w:hint="default" w:ascii="Times New Roman" w:hAnsi="Times New Roman" w:eastAsia="宋体" w:cs="Times New Roman"/>
                      <w:color w:val="auto"/>
                      <w:kern w:val="0"/>
                      <w:sz w:val="21"/>
                      <w:szCs w:val="21"/>
                      <w:u w:val="single"/>
                      <w:lang w:val="en-US" w:eastAsia="zh-CN" w:bidi="ar"/>
                    </w:rPr>
                    <w:t>10%</w:t>
                  </w:r>
                  <w:r>
                    <w:rPr>
                      <w:rFonts w:hint="eastAsia" w:ascii="宋体" w:hAnsi="宋体" w:eastAsia="宋体" w:cs="宋体"/>
                      <w:color w:val="auto"/>
                      <w:kern w:val="0"/>
                      <w:sz w:val="21"/>
                      <w:szCs w:val="21"/>
                      <w:u w:val="single"/>
                      <w:lang w:val="en-US" w:eastAsia="zh-CN" w:bidi="ar"/>
                    </w:rPr>
                    <w:t>及以上的。</w:t>
                  </w:r>
                </w:p>
              </w:tc>
              <w:tc>
                <w:tcPr>
                  <w:tcW w:w="1668" w:type="dxa"/>
                  <w:tcBorders>
                    <w:tl2br w:val="nil"/>
                    <w:tr2bl w:val="nil"/>
                  </w:tcBorders>
                  <w:vAlign w:val="center"/>
                </w:tcPr>
                <w:p w14:paraId="482773FF">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23D24635">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690CCA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restart"/>
                  <w:tcBorders>
                    <w:tl2br w:val="nil"/>
                    <w:tr2bl w:val="nil"/>
                  </w:tcBorders>
                  <w:vAlign w:val="center"/>
                </w:tcPr>
                <w:p w14:paraId="72722F18">
                  <w:pPr>
                    <w:jc w:val="center"/>
                    <w:rPr>
                      <w:rFonts w:hint="eastAsia"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 xml:space="preserve">环境 </w:t>
                  </w:r>
                </w:p>
                <w:p w14:paraId="3339F9D5">
                  <w:pPr>
                    <w:jc w:val="center"/>
                    <w:rPr>
                      <w:rFonts w:hint="eastAsia"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 xml:space="preserve">保护 </w:t>
                  </w:r>
                </w:p>
                <w:p w14:paraId="094803FE">
                  <w:pPr>
                    <w:jc w:val="center"/>
                    <w:rPr>
                      <w:rFonts w:hint="eastAsia"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措施</w:t>
                  </w:r>
                </w:p>
                <w:p w14:paraId="69F5B9E7">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247E68EB">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8.</w:t>
                  </w:r>
                  <w:r>
                    <w:rPr>
                      <w:rFonts w:hint="eastAsia" w:ascii="宋体" w:hAnsi="宋体" w:eastAsia="宋体" w:cs="宋体"/>
                      <w:color w:val="auto"/>
                      <w:kern w:val="0"/>
                      <w:sz w:val="21"/>
                      <w:szCs w:val="21"/>
                      <w:u w:val="single"/>
                      <w:lang w:val="en-US" w:eastAsia="zh-CN" w:bidi="ar"/>
                    </w:rPr>
                    <w:t>废气、废水污染防治措施变化，导致第</w:t>
                  </w:r>
                  <w:r>
                    <w:rPr>
                      <w:rFonts w:hint="default" w:ascii="Times New Roman" w:hAnsi="Times New Roman" w:eastAsia="宋体" w:cs="Times New Roman"/>
                      <w:color w:val="auto"/>
                      <w:kern w:val="0"/>
                      <w:sz w:val="21"/>
                      <w:szCs w:val="21"/>
                      <w:u w:val="single"/>
                      <w:lang w:val="en-US" w:eastAsia="zh-CN" w:bidi="ar"/>
                    </w:rPr>
                    <w:t>6</w:t>
                  </w:r>
                  <w:r>
                    <w:rPr>
                      <w:rFonts w:hint="eastAsia" w:ascii="宋体" w:hAnsi="宋体" w:eastAsia="宋体" w:cs="宋体"/>
                      <w:color w:val="auto"/>
                      <w:kern w:val="0"/>
                      <w:sz w:val="21"/>
                      <w:szCs w:val="21"/>
                      <w:u w:val="single"/>
                      <w:lang w:val="en-US" w:eastAsia="zh-CN" w:bidi="ar"/>
                    </w:rPr>
                    <w:t xml:space="preserve">条中所列情形之一（废气无组织排放改为有组织排放、污染防治措施强化或改进的除外）或大气污染物无组织排放量增加 </w:t>
                  </w:r>
                  <w:r>
                    <w:rPr>
                      <w:rFonts w:hint="default" w:ascii="Times New Roman" w:hAnsi="Times New Roman" w:eastAsia="宋体" w:cs="Times New Roman"/>
                      <w:color w:val="auto"/>
                      <w:kern w:val="0"/>
                      <w:sz w:val="21"/>
                      <w:szCs w:val="21"/>
                      <w:u w:val="single"/>
                      <w:lang w:val="en-US" w:eastAsia="zh-CN" w:bidi="ar"/>
                    </w:rPr>
                    <w:t>10%</w:t>
                  </w:r>
                  <w:r>
                    <w:rPr>
                      <w:rFonts w:hint="eastAsia" w:ascii="宋体" w:hAnsi="宋体" w:eastAsia="宋体" w:cs="宋体"/>
                      <w:color w:val="auto"/>
                      <w:kern w:val="0"/>
                      <w:sz w:val="21"/>
                      <w:szCs w:val="21"/>
                      <w:u w:val="single"/>
                      <w:lang w:val="en-US" w:eastAsia="zh-CN" w:bidi="ar"/>
                    </w:rPr>
                    <w:t>及以上的。</w:t>
                  </w:r>
                </w:p>
              </w:tc>
              <w:tc>
                <w:tcPr>
                  <w:tcW w:w="1668" w:type="dxa"/>
                  <w:tcBorders>
                    <w:tl2br w:val="nil"/>
                    <w:tr2bl w:val="nil"/>
                  </w:tcBorders>
                  <w:vAlign w:val="center"/>
                </w:tcPr>
                <w:p w14:paraId="16B22797">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411C8611">
                  <w:pPr>
                    <w:jc w:val="center"/>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6F2651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continue"/>
                  <w:tcBorders>
                    <w:tl2br w:val="nil"/>
                    <w:tr2bl w:val="nil"/>
                  </w:tcBorders>
                  <w:vAlign w:val="center"/>
                </w:tcPr>
                <w:p w14:paraId="03DE9B63">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13F19B70">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9.</w:t>
                  </w:r>
                  <w:r>
                    <w:rPr>
                      <w:rFonts w:hint="eastAsia" w:ascii="宋体" w:hAnsi="宋体" w:eastAsia="宋体" w:cs="宋体"/>
                      <w:color w:val="auto"/>
                      <w:kern w:val="0"/>
                      <w:sz w:val="21"/>
                      <w:szCs w:val="21"/>
                      <w:u w:val="single"/>
                      <w:lang w:val="en-US" w:eastAsia="zh-CN" w:bidi="ar"/>
                    </w:rPr>
                    <w:t>新增废水直接排放口；废水由间接排放改为直接排放；废水直接排放口位置变化，导致不利环境影响加重的。</w:t>
                  </w:r>
                </w:p>
              </w:tc>
              <w:tc>
                <w:tcPr>
                  <w:tcW w:w="1668" w:type="dxa"/>
                  <w:tcBorders>
                    <w:tl2br w:val="nil"/>
                    <w:tr2bl w:val="nil"/>
                  </w:tcBorders>
                  <w:vAlign w:val="center"/>
                </w:tcPr>
                <w:p w14:paraId="00102B91">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64D6D7C4">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597A52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continue"/>
                  <w:tcBorders>
                    <w:tl2br w:val="nil"/>
                    <w:tr2bl w:val="nil"/>
                  </w:tcBorders>
                  <w:vAlign w:val="center"/>
                </w:tcPr>
                <w:p w14:paraId="092ED8B2">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3EBFD9FA">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10.</w:t>
                  </w:r>
                  <w:r>
                    <w:rPr>
                      <w:rFonts w:hint="eastAsia" w:ascii="宋体" w:hAnsi="宋体" w:eastAsia="宋体" w:cs="宋体"/>
                      <w:color w:val="auto"/>
                      <w:kern w:val="0"/>
                      <w:sz w:val="21"/>
                      <w:szCs w:val="21"/>
                      <w:u w:val="single"/>
                      <w:lang w:val="en-US" w:eastAsia="zh-CN" w:bidi="ar"/>
                    </w:rPr>
                    <w:t xml:space="preserve">新增废气主要排放口（废气无组织排放改为有组织排放的除外）；主要排放口排气筒高度降低 </w:t>
                  </w:r>
                  <w:r>
                    <w:rPr>
                      <w:rFonts w:hint="default" w:ascii="Times New Roman" w:hAnsi="Times New Roman" w:eastAsia="宋体" w:cs="Times New Roman"/>
                      <w:color w:val="auto"/>
                      <w:kern w:val="0"/>
                      <w:sz w:val="21"/>
                      <w:szCs w:val="21"/>
                      <w:u w:val="single"/>
                      <w:lang w:val="en-US" w:eastAsia="zh-CN" w:bidi="ar"/>
                    </w:rPr>
                    <w:t>10%</w:t>
                  </w:r>
                  <w:r>
                    <w:rPr>
                      <w:rFonts w:hint="eastAsia" w:ascii="宋体" w:hAnsi="宋体" w:eastAsia="宋体" w:cs="宋体"/>
                      <w:color w:val="auto"/>
                      <w:kern w:val="0"/>
                      <w:sz w:val="21"/>
                      <w:szCs w:val="21"/>
                      <w:u w:val="single"/>
                      <w:lang w:val="en-US" w:eastAsia="zh-CN" w:bidi="ar"/>
                    </w:rPr>
                    <w:t>及以上的。</w:t>
                  </w:r>
                </w:p>
              </w:tc>
              <w:tc>
                <w:tcPr>
                  <w:tcW w:w="1668" w:type="dxa"/>
                  <w:tcBorders>
                    <w:tl2br w:val="nil"/>
                    <w:tr2bl w:val="nil"/>
                  </w:tcBorders>
                  <w:vAlign w:val="center"/>
                </w:tcPr>
                <w:p w14:paraId="6AA1F9C7">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64E6FCFD">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420642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continue"/>
                  <w:tcBorders>
                    <w:tl2br w:val="nil"/>
                    <w:tr2bl w:val="nil"/>
                  </w:tcBorders>
                  <w:vAlign w:val="center"/>
                </w:tcPr>
                <w:p w14:paraId="0498A484">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40EF2CBC">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11.</w:t>
                  </w:r>
                  <w:r>
                    <w:rPr>
                      <w:rFonts w:hint="eastAsia" w:ascii="宋体" w:hAnsi="宋体" w:eastAsia="宋体" w:cs="宋体"/>
                      <w:color w:val="auto"/>
                      <w:kern w:val="0"/>
                      <w:sz w:val="21"/>
                      <w:szCs w:val="21"/>
                      <w:u w:val="single"/>
                      <w:lang w:val="en-US" w:eastAsia="zh-CN" w:bidi="ar"/>
                    </w:rPr>
                    <w:t>噪声、土壤或地下水污染防治措施变化，导致不利环境影响加重的。</w:t>
                  </w:r>
                </w:p>
              </w:tc>
              <w:tc>
                <w:tcPr>
                  <w:tcW w:w="1668" w:type="dxa"/>
                  <w:tcBorders>
                    <w:tl2br w:val="nil"/>
                    <w:tr2bl w:val="nil"/>
                  </w:tcBorders>
                  <w:vAlign w:val="center"/>
                </w:tcPr>
                <w:p w14:paraId="2F800E8F">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44276FFD">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39C7A6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continue"/>
                  <w:tcBorders>
                    <w:tl2br w:val="nil"/>
                    <w:tr2bl w:val="nil"/>
                  </w:tcBorders>
                  <w:vAlign w:val="center"/>
                </w:tcPr>
                <w:p w14:paraId="607A5D05">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0AC32E8E">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12.</w:t>
                  </w:r>
                  <w:r>
                    <w:rPr>
                      <w:rFonts w:hint="eastAsia" w:ascii="宋体" w:hAnsi="宋体" w:eastAsia="宋体" w:cs="宋体"/>
                      <w:color w:val="auto"/>
                      <w:kern w:val="0"/>
                      <w:sz w:val="21"/>
                      <w:szCs w:val="21"/>
                      <w:u w:val="single"/>
                      <w:lang w:val="en-US" w:eastAsia="zh-CN" w:bidi="ar"/>
                    </w:rPr>
                    <w:t>固体废物利用处置方式由委托外单位利用处置改为自行利用处置的（自行利用处置设施单独开展环境影响评价的除外）；固体废物自行处置方式变化，导致不利环境影响加重的。</w:t>
                  </w:r>
                </w:p>
              </w:tc>
              <w:tc>
                <w:tcPr>
                  <w:tcW w:w="1668" w:type="dxa"/>
                  <w:tcBorders>
                    <w:tl2br w:val="nil"/>
                    <w:tr2bl w:val="nil"/>
                  </w:tcBorders>
                  <w:vAlign w:val="center"/>
                </w:tcPr>
                <w:p w14:paraId="55C580DD">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7D3049E9">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r w14:paraId="0DE526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905" w:type="dxa"/>
                  <w:vMerge w:val="continue"/>
                  <w:tcBorders>
                    <w:tl2br w:val="nil"/>
                    <w:tr2bl w:val="nil"/>
                  </w:tcBorders>
                  <w:vAlign w:val="center"/>
                </w:tcPr>
                <w:p w14:paraId="255D26B3">
                  <w:pPr>
                    <w:jc w:val="center"/>
                    <w:rPr>
                      <w:rFonts w:hint="eastAsia" w:ascii="Times New Roman" w:hAnsi="Times New Roman" w:eastAsia="宋体" w:cs="Times New Roman"/>
                      <w:b w:val="0"/>
                      <w:bCs w:val="0"/>
                      <w:color w:val="auto"/>
                      <w:sz w:val="21"/>
                      <w:szCs w:val="21"/>
                      <w:u w:val="single"/>
                      <w:lang w:val="en-US" w:eastAsia="zh-CN"/>
                    </w:rPr>
                  </w:pPr>
                </w:p>
              </w:tc>
              <w:tc>
                <w:tcPr>
                  <w:tcW w:w="4951" w:type="dxa"/>
                  <w:tcBorders>
                    <w:tl2br w:val="nil"/>
                    <w:tr2bl w:val="nil"/>
                  </w:tcBorders>
                  <w:vAlign w:val="center"/>
                </w:tcPr>
                <w:p w14:paraId="2B3AAB31">
                  <w:pPr>
                    <w:keepNext w:val="0"/>
                    <w:keepLines w:val="0"/>
                    <w:widowControl/>
                    <w:suppressLineNumbers w:val="0"/>
                    <w:jc w:val="left"/>
                    <w:rPr>
                      <w:rFonts w:hint="default" w:ascii="Times New Roman" w:hAnsi="Times New Roman" w:eastAsia="宋体" w:cs="Times New Roman"/>
                      <w:color w:val="auto"/>
                      <w:kern w:val="0"/>
                      <w:sz w:val="21"/>
                      <w:szCs w:val="21"/>
                      <w:u w:val="single"/>
                      <w:lang w:val="en-US" w:eastAsia="zh-CN" w:bidi="ar"/>
                    </w:rPr>
                  </w:pPr>
                  <w:r>
                    <w:rPr>
                      <w:rFonts w:hint="default" w:ascii="Times New Roman" w:hAnsi="Times New Roman" w:eastAsia="宋体" w:cs="Times New Roman"/>
                      <w:color w:val="auto"/>
                      <w:kern w:val="0"/>
                      <w:sz w:val="21"/>
                      <w:szCs w:val="21"/>
                      <w:u w:val="single"/>
                      <w:lang w:val="en-US" w:eastAsia="zh-CN" w:bidi="ar"/>
                    </w:rPr>
                    <w:t>13.</w:t>
                  </w:r>
                  <w:r>
                    <w:rPr>
                      <w:rFonts w:hint="eastAsia" w:ascii="宋体" w:hAnsi="宋体" w:eastAsia="宋体" w:cs="宋体"/>
                      <w:color w:val="auto"/>
                      <w:kern w:val="0"/>
                      <w:sz w:val="21"/>
                      <w:szCs w:val="21"/>
                      <w:u w:val="single"/>
                      <w:lang w:val="en-US" w:eastAsia="zh-CN" w:bidi="ar"/>
                    </w:rPr>
                    <w:t>事故废水暂存能力或拦截设施变化，导致环境风险防范能力弱化或降低的。</w:t>
                  </w:r>
                </w:p>
              </w:tc>
              <w:tc>
                <w:tcPr>
                  <w:tcW w:w="1668" w:type="dxa"/>
                  <w:tcBorders>
                    <w:tl2br w:val="nil"/>
                    <w:tr2bl w:val="nil"/>
                  </w:tcBorders>
                  <w:vAlign w:val="center"/>
                </w:tcPr>
                <w:p w14:paraId="2697D36F">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无</w:t>
                  </w:r>
                </w:p>
              </w:tc>
              <w:tc>
                <w:tcPr>
                  <w:tcW w:w="920" w:type="dxa"/>
                  <w:tcBorders>
                    <w:tl2br w:val="nil"/>
                    <w:tr2bl w:val="nil"/>
                  </w:tcBorders>
                  <w:vAlign w:val="center"/>
                </w:tcPr>
                <w:p w14:paraId="37FBF021">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否</w:t>
                  </w:r>
                </w:p>
              </w:tc>
            </w:tr>
          </w:tbl>
          <w:p w14:paraId="4952F187">
            <w:pPr>
              <w:spacing w:line="360" w:lineRule="auto"/>
              <w:ind w:firstLine="480" w:firstLineChars="200"/>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color w:val="auto"/>
                <w:sz w:val="24"/>
                <w:u w:val="single"/>
                <w:lang w:val="en-US" w:eastAsia="zh-CN"/>
              </w:rPr>
              <w:t>对照《污染影响类建设项目重大变动清单（试行）》（环办环评函〔2020〕 688 号）：本项目</w:t>
            </w:r>
            <w:r>
              <w:rPr>
                <w:rFonts w:hint="eastAsia" w:cs="Times New Roman"/>
                <w:color w:val="auto"/>
                <w:sz w:val="24"/>
                <w:u w:val="single"/>
                <w:lang w:val="en-US" w:eastAsia="zh-CN"/>
              </w:rPr>
              <w:t>规模变大</w:t>
            </w:r>
            <w:r>
              <w:rPr>
                <w:rFonts w:hint="eastAsia" w:ascii="Times New Roman" w:hAnsi="Times New Roman" w:eastAsia="宋体" w:cs="Times New Roman"/>
                <w:color w:val="auto"/>
                <w:sz w:val="24"/>
                <w:u w:val="single"/>
                <w:lang w:val="en-US" w:eastAsia="zh-CN"/>
              </w:rPr>
              <w:t>，属于重大变动。因此需重新报批环境影响评价文件</w:t>
            </w:r>
            <w:r>
              <w:rPr>
                <w:rFonts w:hint="eastAsia" w:ascii="Times New Roman" w:hAnsi="Times New Roman" w:eastAsia="宋体" w:cs="Times New Roman"/>
                <w:color w:val="auto"/>
                <w:sz w:val="24"/>
                <w:lang w:val="en-US" w:eastAsia="zh-CN"/>
              </w:rPr>
              <w:t>。</w:t>
            </w:r>
            <w:r>
              <w:rPr>
                <w:rFonts w:hint="eastAsia" w:cs="Times New Roman"/>
                <w:color w:val="auto"/>
                <w:sz w:val="24"/>
                <w:u w:val="single"/>
                <w:lang w:val="en-US" w:eastAsia="zh-CN"/>
              </w:rPr>
              <w:t>同时根据</w:t>
            </w:r>
            <w:r>
              <w:rPr>
                <w:rFonts w:hint="eastAsia"/>
                <w:color w:val="auto"/>
                <w:u w:val="single"/>
                <w:lang w:val="en-US" w:eastAsia="zh-CN"/>
              </w:rPr>
              <w:t>《</w:t>
            </w:r>
            <w:r>
              <w:rPr>
                <w:rFonts w:ascii="宋体" w:hAnsi="宋体" w:eastAsia="宋体" w:cs="宋体"/>
                <w:color w:val="auto"/>
                <w:sz w:val="24"/>
                <w:szCs w:val="24"/>
                <w:u w:val="single"/>
              </w:rPr>
              <w:t>河南省生态环境厅办公室 关于规范涉变动污染影响类项目环评与排污许可管理的通知</w:t>
            </w:r>
            <w:r>
              <w:rPr>
                <w:rFonts w:hint="eastAsia"/>
                <w:color w:val="auto"/>
                <w:u w:val="single"/>
                <w:lang w:val="en-US" w:eastAsia="zh-CN"/>
              </w:rPr>
              <w:t>》（</w:t>
            </w:r>
            <w:r>
              <w:rPr>
                <w:rFonts w:ascii="宋体" w:hAnsi="宋体" w:eastAsia="宋体" w:cs="宋体"/>
                <w:color w:val="auto"/>
                <w:sz w:val="24"/>
                <w:szCs w:val="24"/>
                <w:u w:val="single"/>
              </w:rPr>
              <w:t>豫环办〔2023〕4 号</w:t>
            </w:r>
            <w:r>
              <w:rPr>
                <w:rFonts w:hint="eastAsia"/>
                <w:color w:val="auto"/>
                <w:u w:val="single"/>
                <w:lang w:val="en-US" w:eastAsia="zh-CN"/>
              </w:rPr>
              <w:t>）</w:t>
            </w:r>
            <w:r>
              <w:rPr>
                <w:rFonts w:hint="eastAsia" w:ascii="宋体" w:hAnsi="宋体" w:eastAsia="宋体" w:cs="宋体"/>
                <w:color w:val="auto"/>
                <w:sz w:val="24"/>
                <w:szCs w:val="24"/>
                <w:u w:val="single"/>
                <w:lang w:val="en-US" w:eastAsia="zh-CN"/>
              </w:rPr>
              <w:t>可知</w:t>
            </w:r>
            <w:r>
              <w:rPr>
                <w:rFonts w:hint="eastAsia"/>
                <w:color w:val="auto"/>
                <w:u w:val="single"/>
                <w:lang w:val="en-US" w:eastAsia="zh-CN"/>
              </w:rPr>
              <w:t>：</w:t>
            </w:r>
            <w:r>
              <w:rPr>
                <w:rFonts w:hint="eastAsia" w:ascii="Times New Roman" w:hAnsi="Times New Roman" w:eastAsia="宋体" w:cs="Times New Roman"/>
                <w:color w:val="auto"/>
                <w:sz w:val="24"/>
                <w:u w:val="single"/>
                <w:lang w:val="en-US" w:eastAsia="zh-CN"/>
              </w:rPr>
              <w:t>对于经判定属于重大变动的，建设单位应当依法重新报批环境影响评价文件，取得批复后纳入排污许可和竣工环境保护验收管理。</w:t>
            </w:r>
          </w:p>
          <w:p w14:paraId="14D99CB6">
            <w:pPr>
              <w:spacing w:line="360" w:lineRule="auto"/>
              <w:ind w:firstLine="480"/>
              <w:contextualSpacing/>
              <w:rPr>
                <w:rFonts w:hint="eastAsia"/>
                <w:b/>
                <w:bCs/>
              </w:rPr>
            </w:pPr>
            <w:r>
              <w:rPr>
                <w:rFonts w:hint="eastAsia" w:ascii="Times New Roman" w:hAnsi="Times New Roman" w:eastAsia="宋体" w:cs="Times New Roman"/>
                <w:sz w:val="24"/>
                <w:lang w:val="en-US" w:eastAsia="zh-CN"/>
              </w:rPr>
              <w:t>项目充填系统由充填站、原料尾矿砂浆输送管线、充填料浆输送管线及附属设施等组成。充填站主要建设仓储浓密机、搅拌机、水泥料仓等。充填料浆经充填泵和管道输送至井下用于充填采空区。项目包含：①尾矿砂浆输送系统和溢流水自流系统，从选厂尾砂泵站到充填站，两条管线并行，</w:t>
            </w:r>
            <w:r>
              <w:rPr>
                <w:rFonts w:hint="eastAsia" w:cs="Times New Roman"/>
                <w:color w:val="auto"/>
                <w:sz w:val="24"/>
                <w:lang w:val="en-US" w:eastAsia="zh-CN"/>
              </w:rPr>
              <w:t>采取架空形式铺设，不涉及地表开挖；②充填站建设：尾矿深锥浓缩等；③尾矿浓密、胶骨剂和尾矿的搅拌；④充填料浆输送管线（混合料运输）：</w:t>
            </w:r>
            <w:r>
              <w:rPr>
                <w:rFonts w:hint="eastAsia" w:ascii="Times New Roman" w:hAnsi="Times New Roman" w:eastAsia="宋体" w:cs="Times New Roman"/>
                <w:sz w:val="24"/>
                <w:lang w:val="en-US" w:eastAsia="zh-CN"/>
              </w:rPr>
              <w:t>从充填站到采空区，管线沿矿井矿道铺设，不新增地表开挖</w:t>
            </w:r>
            <w:r>
              <w:rPr>
                <w:rFonts w:hint="eastAsia" w:cs="Times New Roman"/>
                <w:sz w:val="24"/>
                <w:lang w:val="en-US" w:eastAsia="zh-CN"/>
              </w:rPr>
              <w:t>；⑤胶骨剂研发和生产。</w:t>
            </w:r>
            <w:r>
              <w:rPr>
                <w:rFonts w:hint="eastAsia" w:ascii="Times New Roman" w:hAnsi="Times New Roman" w:eastAsia="宋体" w:cs="Times New Roman"/>
                <w:sz w:val="24"/>
                <w:lang w:val="en-US" w:eastAsia="zh-CN"/>
              </w:rPr>
              <w:t>本项目利用尾矿砂浆制备充填料浆，作为矿山采空区修复材料使用。</w:t>
            </w:r>
            <w:r>
              <w:rPr>
                <w:rFonts w:hint="eastAsia" w:cs="Times New Roman"/>
                <w:sz w:val="24"/>
                <w:lang w:val="en-US" w:eastAsia="zh-CN"/>
              </w:rPr>
              <w:t>本次环评仅包括以上①-④部分内容，不包括第⑤部分内容。</w:t>
            </w:r>
            <w:r>
              <w:rPr>
                <w:rFonts w:hint="eastAsia" w:ascii="Times New Roman" w:hAnsi="Times New Roman" w:eastAsia="宋体" w:cs="Times New Roman"/>
                <w:sz w:val="24"/>
                <w:lang w:val="en-US" w:eastAsia="zh-CN"/>
              </w:rPr>
              <w:t>根据《中华人民共和国环境保护法》、《中华人民共和国环境影响评价法》、国务院令第682号《建设项目环境保护管理条例》相关规定和要求，本项目需要进行环境影响评价。经查阅生态保护部2020年11月30日第16号部令《建设项目环境影响评价分类管理名录》（2021年版）“第四十七、生态保护和环境治理业”中“103一般工业固体废物（含污水处理污泥）、建筑施工废弃物处置及综合利用—其他”，因此，环境影响评价的类别为环境影响报告表。</w:t>
            </w:r>
          </w:p>
          <w:p w14:paraId="2097E446">
            <w:pPr>
              <w:adjustRightInd w:val="0"/>
              <w:snapToGrid w:val="0"/>
              <w:spacing w:line="360" w:lineRule="auto"/>
              <w:ind w:firstLine="480" w:firstLineChars="200"/>
              <w:rPr>
                <w:b/>
              </w:rPr>
            </w:pPr>
            <w:r>
              <w:rPr>
                <w:rFonts w:hAnsi="宋体"/>
                <w:b w:val="0"/>
                <w:bCs w:val="0"/>
                <w:sz w:val="24"/>
              </w:rPr>
              <w:t>受</w:t>
            </w:r>
            <w:r>
              <w:rPr>
                <w:rFonts w:hint="eastAsia"/>
                <w:b w:val="0"/>
                <w:bCs w:val="0"/>
                <w:sz w:val="24"/>
              </w:rPr>
              <w:t>栾川县</w:t>
            </w:r>
            <w:r>
              <w:rPr>
                <w:rFonts w:hint="eastAsia"/>
                <w:b w:val="0"/>
                <w:bCs w:val="0"/>
                <w:sz w:val="24"/>
                <w:lang w:val="en-US" w:eastAsia="zh-CN"/>
              </w:rPr>
              <w:t>惠顿矿业有限公司</w:t>
            </w:r>
            <w:r>
              <w:rPr>
                <w:rFonts w:hAnsi="宋体"/>
                <w:b w:val="0"/>
                <w:bCs w:val="0"/>
                <w:sz w:val="24"/>
              </w:rPr>
              <w:t>委托，</w:t>
            </w:r>
            <w:r>
              <w:rPr>
                <w:rFonts w:hint="eastAsia" w:hAnsi="宋体"/>
                <w:b w:val="0"/>
                <w:bCs w:val="0"/>
                <w:sz w:val="24"/>
                <w:lang w:eastAsia="zh-CN"/>
              </w:rPr>
              <w:t>栾川县蒲壤环保科技有限公司</w:t>
            </w:r>
            <w:r>
              <w:rPr>
                <w:rFonts w:hAnsi="宋体"/>
                <w:b w:val="0"/>
                <w:bCs w:val="0"/>
                <w:sz w:val="24"/>
              </w:rPr>
              <w:t>承担本项目的环境影响评价工作</w:t>
            </w:r>
            <w:r>
              <w:rPr>
                <w:rFonts w:hint="eastAsia"/>
                <w:b w:val="0"/>
                <w:bCs w:val="0"/>
                <w:sz w:val="24"/>
              </w:rPr>
              <w:t>。接受委托后，我公司组织有关技术人员，在现场调查和收集有关资料的基础上，编制了本项目的环境影响报告表。</w:t>
            </w:r>
          </w:p>
          <w:p w14:paraId="2188D622">
            <w:pPr>
              <w:pStyle w:val="8"/>
              <w:spacing w:after="0" w:line="360" w:lineRule="auto"/>
              <w:ind w:left="0" w:leftChars="0"/>
              <w:contextualSpacing/>
              <w:rPr>
                <w:b/>
              </w:rPr>
            </w:pPr>
            <w:r>
              <w:rPr>
                <w:b/>
              </w:rPr>
              <w:t>1.1建设场地</w:t>
            </w:r>
          </w:p>
          <w:p w14:paraId="744EB626">
            <w:pPr>
              <w:spacing w:line="360" w:lineRule="auto"/>
              <w:ind w:firstLine="480" w:firstLineChars="200"/>
              <w:rPr>
                <w:sz w:val="24"/>
              </w:rPr>
            </w:pPr>
            <w:r>
              <w:rPr>
                <w:rFonts w:hint="eastAsia" w:cs="Times New Roman"/>
                <w:color w:val="000000"/>
                <w:sz w:val="24"/>
                <w:szCs w:val="24"/>
                <w:lang w:eastAsia="zh-CN"/>
              </w:rPr>
              <w:t>栾川县</w:t>
            </w:r>
            <w:r>
              <w:rPr>
                <w:rFonts w:hint="eastAsia" w:cs="Times New Roman"/>
                <w:color w:val="000000"/>
                <w:sz w:val="24"/>
                <w:szCs w:val="24"/>
                <w:lang w:val="en-US" w:eastAsia="zh-CN"/>
              </w:rPr>
              <w:t>惠顿矿业有限公司尾矿充填和矿山再利用</w:t>
            </w:r>
            <w:r>
              <w:rPr>
                <w:rFonts w:hint="eastAsia" w:cs="Times New Roman"/>
                <w:color w:val="000000"/>
                <w:sz w:val="24"/>
                <w:szCs w:val="24"/>
                <w:lang w:eastAsia="zh-CN"/>
              </w:rPr>
              <w:t>项目</w:t>
            </w:r>
            <w:r>
              <w:rPr>
                <w:rFonts w:hint="eastAsia" w:cs="Times New Roman"/>
                <w:color w:val="000000"/>
                <w:sz w:val="24"/>
                <w:szCs w:val="24"/>
                <w:lang w:val="en-US" w:eastAsia="zh-CN"/>
              </w:rPr>
              <w:t>位于河南省洛阳市栾川县三川镇火神庙村，项目地理位置见后附图1，充填站利用惠顿矿山原有工业场地进行建设，该场地在充填站建设之前一直为空闲区域，</w:t>
            </w:r>
            <w:r>
              <w:rPr>
                <w:rFonts w:hint="eastAsia"/>
                <w:sz w:val="24"/>
                <w:vertAlign w:val="baseline"/>
                <w:lang w:val="en-US" w:eastAsia="zh-CN"/>
              </w:rPr>
              <w:t>用地性质属于工矿用地，</w:t>
            </w:r>
            <w:r>
              <w:rPr>
                <w:rFonts w:hint="eastAsia"/>
                <w:color w:val="auto"/>
                <w:sz w:val="24"/>
                <w:vertAlign w:val="baseline"/>
                <w:lang w:val="en-US" w:eastAsia="zh-CN"/>
              </w:rPr>
              <w:t>详</w:t>
            </w:r>
            <w:r>
              <w:rPr>
                <w:rFonts w:hint="eastAsia" w:cs="Times New Roman"/>
                <w:color w:val="auto"/>
                <w:sz w:val="24"/>
                <w:szCs w:val="24"/>
                <w:lang w:val="en-US" w:eastAsia="zh-CN"/>
              </w:rPr>
              <w:t>见后附件七。</w:t>
            </w:r>
            <w:r>
              <w:rPr>
                <w:rFonts w:hint="eastAsia"/>
                <w:sz w:val="24"/>
                <w:lang w:val="en-US" w:eastAsia="zh-CN"/>
              </w:rPr>
              <w:t>充填站西北侧、西南侧为惠顿公司矿区，东南侧为矿区道路和山坡，东北侧为大货场沟组居民，项目周边及敏感点分布见后</w:t>
            </w:r>
            <w:r>
              <w:rPr>
                <w:rFonts w:hint="eastAsia"/>
                <w:color w:val="auto"/>
                <w:sz w:val="24"/>
                <w:lang w:val="en-US" w:eastAsia="zh-CN"/>
              </w:rPr>
              <w:t>附图3</w:t>
            </w:r>
            <w:r>
              <w:rPr>
                <w:rFonts w:hint="eastAsia"/>
                <w:sz w:val="24"/>
                <w:lang w:val="en-US" w:eastAsia="zh-CN"/>
              </w:rPr>
              <w:t xml:space="preserve">。                                                     </w:t>
            </w:r>
          </w:p>
          <w:p w14:paraId="4443E0CC">
            <w:pPr>
              <w:numPr>
                <w:ilvl w:val="0"/>
                <w:numId w:val="14"/>
              </w:numPr>
              <w:adjustRightInd w:val="0"/>
              <w:spacing w:before="120" w:beforeLines="50" w:line="360" w:lineRule="auto"/>
              <w:ind w:leftChars="0"/>
              <w:contextualSpacing/>
              <w:rPr>
                <w:b/>
                <w:sz w:val="24"/>
              </w:rPr>
            </w:pPr>
            <w:r>
              <w:rPr>
                <w:b/>
                <w:sz w:val="24"/>
              </w:rPr>
              <w:t>工程内容</w:t>
            </w:r>
          </w:p>
          <w:p w14:paraId="3B24A620">
            <w:pPr>
              <w:pStyle w:val="8"/>
              <w:spacing w:after="0" w:line="360" w:lineRule="auto"/>
              <w:ind w:left="0" w:leftChars="0"/>
              <w:contextualSpacing/>
              <w:rPr>
                <w:rFonts w:hint="default"/>
                <w:b/>
                <w:lang w:val="en-US" w:eastAsia="zh-CN"/>
              </w:rPr>
            </w:pPr>
            <w:r>
              <w:rPr>
                <w:rFonts w:hint="eastAsia"/>
                <w:b/>
                <w:lang w:val="en-US" w:eastAsia="zh-CN"/>
              </w:rPr>
              <w:t>2.1项目主要建设内容</w:t>
            </w:r>
          </w:p>
          <w:p w14:paraId="2BC41C49">
            <w:pPr>
              <w:spacing w:line="360" w:lineRule="auto"/>
              <w:ind w:firstLine="480"/>
              <w:rPr>
                <w:rFonts w:hint="eastAsia"/>
                <w:kern w:val="0"/>
                <w:lang w:eastAsia="zh-CN"/>
              </w:rPr>
            </w:pPr>
            <w:r>
              <w:rPr>
                <w:sz w:val="24"/>
              </w:rPr>
              <w:t>本项目</w:t>
            </w:r>
            <w:r>
              <w:rPr>
                <w:rFonts w:hint="eastAsia"/>
                <w:sz w:val="24"/>
                <w:lang w:val="en-US" w:eastAsia="zh-CN"/>
              </w:rPr>
              <w:t>主要包括主体工程、辅助工程、公用工程和环保工程等，</w:t>
            </w:r>
            <w:r>
              <w:rPr>
                <w:rFonts w:hint="eastAsia"/>
                <w:sz w:val="24"/>
              </w:rPr>
              <w:t>项目</w:t>
            </w:r>
            <w:r>
              <w:rPr>
                <w:rFonts w:hint="eastAsia"/>
                <w:sz w:val="24"/>
                <w:lang w:val="en-US" w:eastAsia="zh-CN"/>
              </w:rPr>
              <w:t>具体建设</w:t>
            </w:r>
            <w:r>
              <w:rPr>
                <w:sz w:val="24"/>
              </w:rPr>
              <w:t>内容见</w:t>
            </w:r>
            <w:r>
              <w:rPr>
                <w:rFonts w:hint="eastAsia"/>
                <w:sz w:val="24"/>
              </w:rPr>
              <w:t>下</w:t>
            </w:r>
            <w:r>
              <w:rPr>
                <w:sz w:val="24"/>
              </w:rPr>
              <w:t>表。</w:t>
            </w:r>
          </w:p>
          <w:p w14:paraId="7DC974EF">
            <w:pPr>
              <w:pStyle w:val="119"/>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Chars="0"/>
              <w:jc w:val="center"/>
              <w:textAlignment w:val="auto"/>
              <w:rPr>
                <w:rFonts w:hint="eastAsia"/>
                <w:color w:val="FF0000"/>
                <w:kern w:val="0"/>
                <w:lang w:val="en-US" w:eastAsia="zh-CN"/>
              </w:rPr>
            </w:pPr>
            <w:r>
              <w:rPr>
                <w:rFonts w:hint="eastAsia"/>
                <w:color w:val="auto"/>
                <w:kern w:val="0"/>
                <w:u w:val="single"/>
                <w:lang w:val="en-US" w:eastAsia="zh-CN"/>
              </w:rPr>
              <w:t>表2-3     主要工程内容一览表</w:t>
            </w:r>
          </w:p>
          <w:tbl>
            <w:tblPr>
              <w:tblStyle w:val="31"/>
              <w:tblW w:w="82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7"/>
              <w:gridCol w:w="399"/>
              <w:gridCol w:w="763"/>
              <w:gridCol w:w="2090"/>
              <w:gridCol w:w="2335"/>
              <w:gridCol w:w="1977"/>
            </w:tblGrid>
            <w:tr w14:paraId="7B135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tcBorders>
                    <w:tl2br w:val="nil"/>
                    <w:tr2bl w:val="nil"/>
                  </w:tcBorders>
                  <w:noWrap w:val="0"/>
                  <w:vAlign w:val="center"/>
                </w:tcPr>
                <w:p w14:paraId="1D6CD370">
                  <w:pPr>
                    <w:jc w:val="center"/>
                    <w:rPr>
                      <w:color w:val="auto"/>
                      <w:sz w:val="21"/>
                      <w:szCs w:val="21"/>
                      <w:u w:val="single"/>
                    </w:rPr>
                  </w:pPr>
                  <w:r>
                    <w:rPr>
                      <w:color w:val="auto"/>
                      <w:sz w:val="21"/>
                      <w:szCs w:val="21"/>
                      <w:u w:val="single"/>
                    </w:rPr>
                    <w:t>工程类别</w:t>
                  </w:r>
                </w:p>
              </w:tc>
              <w:tc>
                <w:tcPr>
                  <w:tcW w:w="1162" w:type="dxa"/>
                  <w:gridSpan w:val="2"/>
                  <w:tcBorders>
                    <w:tl2br w:val="nil"/>
                    <w:tr2bl w:val="nil"/>
                  </w:tcBorders>
                  <w:noWrap w:val="0"/>
                  <w:vAlign w:val="center"/>
                </w:tcPr>
                <w:p w14:paraId="6FF2FD8B">
                  <w:pPr>
                    <w:jc w:val="center"/>
                    <w:rPr>
                      <w:rFonts w:hint="eastAsia" w:eastAsia="宋体"/>
                      <w:color w:val="auto"/>
                      <w:sz w:val="21"/>
                      <w:szCs w:val="21"/>
                      <w:u w:val="single"/>
                      <w:lang w:eastAsia="zh-CN"/>
                    </w:rPr>
                  </w:pPr>
                  <w:r>
                    <w:rPr>
                      <w:color w:val="auto"/>
                      <w:sz w:val="21"/>
                      <w:szCs w:val="21"/>
                      <w:u w:val="single"/>
                    </w:rPr>
                    <w:t>工程</w:t>
                  </w:r>
                  <w:r>
                    <w:rPr>
                      <w:rFonts w:hint="eastAsia"/>
                      <w:color w:val="auto"/>
                      <w:sz w:val="21"/>
                      <w:szCs w:val="21"/>
                      <w:u w:val="single"/>
                      <w:lang w:val="en-US" w:eastAsia="zh-CN"/>
                    </w:rPr>
                    <w:t>名称</w:t>
                  </w:r>
                </w:p>
              </w:tc>
              <w:tc>
                <w:tcPr>
                  <w:tcW w:w="2090" w:type="dxa"/>
                  <w:tcBorders>
                    <w:tl2br w:val="nil"/>
                    <w:tr2bl w:val="nil"/>
                  </w:tcBorders>
                  <w:noWrap w:val="0"/>
                  <w:vAlign w:val="center"/>
                </w:tcPr>
                <w:p w14:paraId="5BDEFB77">
                  <w:pPr>
                    <w:jc w:val="center"/>
                    <w:rPr>
                      <w:color w:val="auto"/>
                      <w:sz w:val="21"/>
                      <w:szCs w:val="21"/>
                      <w:u w:val="single"/>
                    </w:rPr>
                  </w:pPr>
                  <w:r>
                    <w:rPr>
                      <w:rFonts w:hint="eastAsia"/>
                      <w:color w:val="auto"/>
                      <w:sz w:val="21"/>
                      <w:szCs w:val="21"/>
                      <w:u w:val="single"/>
                      <w:lang w:val="en-US" w:eastAsia="zh-CN"/>
                    </w:rPr>
                    <w:t>建设</w:t>
                  </w:r>
                  <w:r>
                    <w:rPr>
                      <w:color w:val="auto"/>
                      <w:sz w:val="21"/>
                      <w:szCs w:val="21"/>
                      <w:u w:val="single"/>
                    </w:rPr>
                    <w:t>内容</w:t>
                  </w:r>
                </w:p>
              </w:tc>
              <w:tc>
                <w:tcPr>
                  <w:tcW w:w="2335" w:type="dxa"/>
                  <w:tcBorders>
                    <w:tl2br w:val="nil"/>
                    <w:tr2bl w:val="nil"/>
                  </w:tcBorders>
                  <w:noWrap w:val="0"/>
                  <w:vAlign w:val="center"/>
                </w:tcPr>
                <w:p w14:paraId="7C3B3856">
                  <w:pPr>
                    <w:jc w:val="center"/>
                    <w:rPr>
                      <w:rFonts w:hint="eastAsia" w:eastAsia="宋体"/>
                      <w:color w:val="auto"/>
                      <w:sz w:val="21"/>
                      <w:szCs w:val="21"/>
                      <w:u w:val="single"/>
                      <w:lang w:eastAsia="zh-CN"/>
                    </w:rPr>
                  </w:pPr>
                  <w:r>
                    <w:rPr>
                      <w:rFonts w:hint="eastAsia" w:ascii="Times New Roman" w:hAnsi="Times New Roman" w:eastAsia="宋体" w:cs="Times New Roman"/>
                      <w:color w:val="auto"/>
                      <w:szCs w:val="21"/>
                      <w:u w:val="single"/>
                      <w:lang w:eastAsia="zh-CN"/>
                    </w:rPr>
                    <w:t>项目重新报批情况</w:t>
                  </w:r>
                </w:p>
              </w:tc>
              <w:tc>
                <w:tcPr>
                  <w:tcW w:w="1977" w:type="dxa"/>
                  <w:tcBorders>
                    <w:tl2br w:val="nil"/>
                    <w:tr2bl w:val="nil"/>
                  </w:tcBorders>
                  <w:noWrap w:val="0"/>
                  <w:vAlign w:val="center"/>
                </w:tcPr>
                <w:p w14:paraId="038E7830">
                  <w:pPr>
                    <w:jc w:val="center"/>
                    <w:rPr>
                      <w:rFonts w:hint="default"/>
                      <w:color w:val="auto"/>
                      <w:sz w:val="21"/>
                      <w:szCs w:val="21"/>
                      <w:u w:val="single"/>
                      <w:lang w:val="en-US" w:eastAsia="zh-CN"/>
                    </w:rPr>
                  </w:pPr>
                  <w:r>
                    <w:rPr>
                      <w:rFonts w:hint="eastAsia"/>
                      <w:color w:val="auto"/>
                      <w:sz w:val="21"/>
                      <w:szCs w:val="21"/>
                      <w:u w:val="single"/>
                      <w:lang w:val="en-US" w:eastAsia="zh-CN"/>
                    </w:rPr>
                    <w:t>备注</w:t>
                  </w:r>
                </w:p>
              </w:tc>
            </w:tr>
            <w:tr w14:paraId="446BB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restart"/>
                  <w:tcBorders>
                    <w:tl2br w:val="nil"/>
                    <w:tr2bl w:val="nil"/>
                  </w:tcBorders>
                  <w:noWrap w:val="0"/>
                  <w:vAlign w:val="center"/>
                </w:tcPr>
                <w:p w14:paraId="577A8461">
                  <w:pPr>
                    <w:jc w:val="center"/>
                    <w:rPr>
                      <w:color w:val="auto"/>
                      <w:sz w:val="21"/>
                      <w:szCs w:val="21"/>
                      <w:u w:val="single"/>
                    </w:rPr>
                  </w:pPr>
                  <w:r>
                    <w:rPr>
                      <w:color w:val="auto"/>
                      <w:sz w:val="21"/>
                      <w:szCs w:val="21"/>
                      <w:u w:val="single"/>
                    </w:rPr>
                    <w:t>主体工程</w:t>
                  </w:r>
                </w:p>
              </w:tc>
              <w:tc>
                <w:tcPr>
                  <w:tcW w:w="1162" w:type="dxa"/>
                  <w:gridSpan w:val="2"/>
                  <w:tcBorders>
                    <w:tl2br w:val="nil"/>
                    <w:tr2bl w:val="nil"/>
                  </w:tcBorders>
                  <w:noWrap w:val="0"/>
                  <w:vAlign w:val="center"/>
                </w:tcPr>
                <w:p w14:paraId="1FB3A212">
                  <w:pPr>
                    <w:jc w:val="center"/>
                    <w:rPr>
                      <w:rFonts w:hint="eastAsia"/>
                      <w:color w:val="auto"/>
                      <w:sz w:val="21"/>
                      <w:szCs w:val="21"/>
                      <w:u w:val="single"/>
                      <w:lang w:val="en-US" w:eastAsia="zh-CN"/>
                    </w:rPr>
                  </w:pPr>
                  <w:r>
                    <w:rPr>
                      <w:rFonts w:hint="eastAsia"/>
                      <w:color w:val="auto"/>
                      <w:sz w:val="21"/>
                      <w:szCs w:val="21"/>
                      <w:u w:val="single"/>
                      <w:lang w:val="en-US" w:eastAsia="zh-CN"/>
                    </w:rPr>
                    <w:t>尾矿砂浆输送系统</w:t>
                  </w:r>
                </w:p>
              </w:tc>
              <w:tc>
                <w:tcPr>
                  <w:tcW w:w="2090" w:type="dxa"/>
                  <w:tcBorders>
                    <w:tl2br w:val="nil"/>
                    <w:tr2bl w:val="nil"/>
                  </w:tcBorders>
                  <w:noWrap w:val="0"/>
                  <w:vAlign w:val="center"/>
                </w:tcPr>
                <w:p w14:paraId="1073FC37">
                  <w:pPr>
                    <w:jc w:val="center"/>
                    <w:rPr>
                      <w:rFonts w:hint="default"/>
                      <w:color w:val="auto"/>
                      <w:sz w:val="21"/>
                      <w:szCs w:val="21"/>
                      <w:u w:val="single"/>
                      <w:lang w:val="en-US" w:eastAsia="zh-CN"/>
                    </w:rPr>
                  </w:pPr>
                  <w:r>
                    <w:rPr>
                      <w:rFonts w:hint="eastAsia"/>
                      <w:color w:val="auto"/>
                      <w:sz w:val="21"/>
                      <w:szCs w:val="21"/>
                      <w:u w:val="single"/>
                      <w:lang w:val="en-US" w:eastAsia="zh-CN"/>
                    </w:rPr>
                    <w:t>/</w:t>
                  </w:r>
                </w:p>
              </w:tc>
              <w:tc>
                <w:tcPr>
                  <w:tcW w:w="2335" w:type="dxa"/>
                  <w:tcBorders>
                    <w:tl2br w:val="nil"/>
                    <w:tr2bl w:val="nil"/>
                  </w:tcBorders>
                  <w:noWrap w:val="0"/>
                  <w:vAlign w:val="center"/>
                </w:tcPr>
                <w:p w14:paraId="42718F21">
                  <w:pPr>
                    <w:jc w:val="center"/>
                    <w:rPr>
                      <w:rFonts w:hint="default"/>
                      <w:color w:val="auto"/>
                      <w:sz w:val="21"/>
                      <w:szCs w:val="21"/>
                      <w:u w:val="single"/>
                      <w:lang w:val="en-US" w:eastAsia="zh-CN"/>
                    </w:rPr>
                  </w:pPr>
                  <w:r>
                    <w:rPr>
                      <w:rFonts w:hint="eastAsia"/>
                      <w:color w:val="auto"/>
                      <w:sz w:val="21"/>
                      <w:szCs w:val="21"/>
                      <w:u w:val="single"/>
                      <w:lang w:val="en-US" w:eastAsia="zh-CN"/>
                    </w:rPr>
                    <w:t>选厂至充填站尾矿输送管道φ159×8mm的Q355B无缝钢管，壁厚8mm，管道铺设2路，1用1备，尾砂输送管从选厂总尾排放泵房铺设到充填站的浓密机进料口，沿着公路铺设管线，管道长度2340m，高差18m。配置2台（1用1备）渣浆泵。</w:t>
                  </w:r>
                </w:p>
              </w:tc>
              <w:tc>
                <w:tcPr>
                  <w:tcW w:w="1977" w:type="dxa"/>
                  <w:tcBorders>
                    <w:tl2br w:val="nil"/>
                    <w:tr2bl w:val="nil"/>
                  </w:tcBorders>
                  <w:noWrap w:val="0"/>
                  <w:vAlign w:val="center"/>
                </w:tcPr>
                <w:p w14:paraId="40B3ACC8">
                  <w:pPr>
                    <w:jc w:val="center"/>
                    <w:rPr>
                      <w:rFonts w:hint="default"/>
                      <w:color w:val="auto"/>
                      <w:sz w:val="21"/>
                      <w:szCs w:val="21"/>
                      <w:u w:val="single"/>
                      <w:lang w:val="en-US" w:eastAsia="zh-CN"/>
                    </w:rPr>
                  </w:pPr>
                  <w:r>
                    <w:rPr>
                      <w:rFonts w:hint="eastAsia"/>
                      <w:color w:val="auto"/>
                      <w:sz w:val="21"/>
                      <w:szCs w:val="21"/>
                      <w:u w:val="single"/>
                      <w:lang w:val="en-US" w:eastAsia="zh-CN"/>
                    </w:rPr>
                    <w:t>已建</w:t>
                  </w:r>
                </w:p>
              </w:tc>
            </w:tr>
            <w:tr w14:paraId="26563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697" w:type="dxa"/>
                  <w:vMerge w:val="continue"/>
                  <w:tcBorders>
                    <w:tl2br w:val="nil"/>
                    <w:tr2bl w:val="nil"/>
                  </w:tcBorders>
                  <w:noWrap w:val="0"/>
                  <w:vAlign w:val="center"/>
                </w:tcPr>
                <w:p w14:paraId="4CA453E0">
                  <w:pPr>
                    <w:jc w:val="center"/>
                    <w:rPr>
                      <w:color w:val="auto"/>
                      <w:sz w:val="21"/>
                      <w:szCs w:val="21"/>
                      <w:u w:val="single"/>
                    </w:rPr>
                  </w:pPr>
                </w:p>
              </w:tc>
              <w:tc>
                <w:tcPr>
                  <w:tcW w:w="399" w:type="dxa"/>
                  <w:vMerge w:val="restart"/>
                  <w:tcBorders>
                    <w:tl2br w:val="nil"/>
                    <w:tr2bl w:val="nil"/>
                  </w:tcBorders>
                  <w:noWrap w:val="0"/>
                  <w:vAlign w:val="center"/>
                </w:tcPr>
                <w:p w14:paraId="26D6991C">
                  <w:pPr>
                    <w:jc w:val="center"/>
                    <w:rPr>
                      <w:rFonts w:hint="default" w:eastAsia="宋体"/>
                      <w:color w:val="auto"/>
                      <w:sz w:val="21"/>
                      <w:szCs w:val="21"/>
                      <w:u w:val="single"/>
                      <w:lang w:val="en-US" w:eastAsia="zh-CN"/>
                    </w:rPr>
                  </w:pPr>
                  <w:r>
                    <w:rPr>
                      <w:rFonts w:hint="eastAsia"/>
                      <w:color w:val="auto"/>
                      <w:sz w:val="21"/>
                      <w:szCs w:val="21"/>
                      <w:u w:val="single"/>
                      <w:lang w:val="en-US" w:eastAsia="zh-CN"/>
                    </w:rPr>
                    <w:t>充填站</w:t>
                  </w:r>
                </w:p>
              </w:tc>
              <w:tc>
                <w:tcPr>
                  <w:tcW w:w="763" w:type="dxa"/>
                  <w:tcBorders>
                    <w:tl2br w:val="nil"/>
                    <w:tr2bl w:val="nil"/>
                  </w:tcBorders>
                  <w:noWrap w:val="0"/>
                  <w:vAlign w:val="center"/>
                </w:tcPr>
                <w:p w14:paraId="65C6B13A">
                  <w:pPr>
                    <w:jc w:val="center"/>
                    <w:rPr>
                      <w:rFonts w:hint="eastAsia"/>
                      <w:color w:val="auto"/>
                      <w:sz w:val="21"/>
                      <w:szCs w:val="21"/>
                      <w:u w:val="single"/>
                      <w:lang w:val="en-US" w:eastAsia="zh-CN"/>
                    </w:rPr>
                  </w:pPr>
                  <w:r>
                    <w:rPr>
                      <w:rFonts w:hint="eastAsia"/>
                      <w:color w:val="auto"/>
                      <w:sz w:val="21"/>
                      <w:szCs w:val="21"/>
                      <w:u w:val="single"/>
                      <w:lang w:val="en-US" w:eastAsia="zh-CN"/>
                    </w:rPr>
                    <w:t>充填制备站</w:t>
                  </w:r>
                </w:p>
              </w:tc>
              <w:tc>
                <w:tcPr>
                  <w:tcW w:w="2090" w:type="dxa"/>
                  <w:tcBorders>
                    <w:tl2br w:val="nil"/>
                    <w:tr2bl w:val="nil"/>
                  </w:tcBorders>
                  <w:noWrap w:val="0"/>
                  <w:vAlign w:val="center"/>
                </w:tcPr>
                <w:p w14:paraId="24D9227C">
                  <w:pPr>
                    <w:rPr>
                      <w:rFonts w:hint="default"/>
                      <w:color w:val="auto"/>
                      <w:sz w:val="21"/>
                      <w:szCs w:val="21"/>
                      <w:u w:val="single"/>
                      <w:lang w:val="en-US"/>
                    </w:rPr>
                  </w:pPr>
                  <w:r>
                    <w:rPr>
                      <w:rFonts w:hint="eastAsia"/>
                      <w:color w:val="auto"/>
                      <w:sz w:val="21"/>
                      <w:szCs w:val="21"/>
                      <w:u w:val="single"/>
                      <w:lang w:val="en-US" w:eastAsia="zh-CN"/>
                    </w:rPr>
                    <w:t>充填制备站位于露天采空区东北处，主要为钢结构标准化厂房，厂房内安装搅拌机、填充泵等。</w:t>
                  </w:r>
                </w:p>
              </w:tc>
              <w:tc>
                <w:tcPr>
                  <w:tcW w:w="2335" w:type="dxa"/>
                  <w:tcBorders>
                    <w:tl2br w:val="nil"/>
                    <w:tr2bl w:val="nil"/>
                  </w:tcBorders>
                  <w:noWrap w:val="0"/>
                  <w:vAlign w:val="center"/>
                </w:tcPr>
                <w:p w14:paraId="1E82790F">
                  <w:pPr>
                    <w:jc w:val="center"/>
                    <w:rPr>
                      <w:rFonts w:hint="eastAsia"/>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4A0D6D28">
                  <w:pPr>
                    <w:jc w:val="center"/>
                    <w:rPr>
                      <w:rFonts w:hint="default"/>
                      <w:color w:val="auto"/>
                      <w:sz w:val="21"/>
                      <w:szCs w:val="21"/>
                      <w:u w:val="single"/>
                      <w:lang w:val="en-US" w:eastAsia="zh-CN"/>
                    </w:rPr>
                  </w:pPr>
                  <w:r>
                    <w:rPr>
                      <w:rFonts w:hint="eastAsia"/>
                      <w:color w:val="auto"/>
                      <w:sz w:val="21"/>
                      <w:szCs w:val="21"/>
                      <w:u w:val="single"/>
                      <w:lang w:val="en-US" w:eastAsia="zh-CN"/>
                    </w:rPr>
                    <w:t>已建</w:t>
                  </w:r>
                </w:p>
              </w:tc>
            </w:tr>
            <w:tr w14:paraId="085C2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7" w:type="dxa"/>
                  <w:vMerge w:val="continue"/>
                  <w:tcBorders>
                    <w:tl2br w:val="nil"/>
                    <w:tr2bl w:val="nil"/>
                  </w:tcBorders>
                  <w:noWrap w:val="0"/>
                  <w:vAlign w:val="center"/>
                </w:tcPr>
                <w:p w14:paraId="18DD9B25">
                  <w:pPr>
                    <w:jc w:val="center"/>
                    <w:rPr>
                      <w:color w:val="auto"/>
                      <w:sz w:val="21"/>
                      <w:szCs w:val="21"/>
                      <w:u w:val="single"/>
                    </w:rPr>
                  </w:pPr>
                </w:p>
              </w:tc>
              <w:tc>
                <w:tcPr>
                  <w:tcW w:w="399" w:type="dxa"/>
                  <w:vMerge w:val="continue"/>
                  <w:tcBorders>
                    <w:tl2br w:val="nil"/>
                    <w:tr2bl w:val="nil"/>
                  </w:tcBorders>
                  <w:noWrap w:val="0"/>
                  <w:vAlign w:val="center"/>
                </w:tcPr>
                <w:p w14:paraId="37171B7A">
                  <w:pPr>
                    <w:jc w:val="center"/>
                    <w:rPr>
                      <w:rFonts w:hint="default"/>
                      <w:color w:val="auto"/>
                      <w:sz w:val="21"/>
                      <w:szCs w:val="21"/>
                      <w:u w:val="single"/>
                      <w:lang w:val="en-US" w:eastAsia="zh-CN"/>
                    </w:rPr>
                  </w:pPr>
                </w:p>
              </w:tc>
              <w:tc>
                <w:tcPr>
                  <w:tcW w:w="763" w:type="dxa"/>
                  <w:tcBorders>
                    <w:tl2br w:val="nil"/>
                    <w:tr2bl w:val="nil"/>
                  </w:tcBorders>
                  <w:noWrap w:val="0"/>
                  <w:vAlign w:val="center"/>
                </w:tcPr>
                <w:p w14:paraId="6AEE43CB">
                  <w:pPr>
                    <w:jc w:val="center"/>
                    <w:rPr>
                      <w:rFonts w:hint="eastAsia"/>
                      <w:color w:val="auto"/>
                      <w:sz w:val="21"/>
                      <w:szCs w:val="21"/>
                      <w:u w:val="single"/>
                      <w:lang w:val="en-US" w:eastAsia="zh-CN"/>
                    </w:rPr>
                  </w:pPr>
                  <w:r>
                    <w:rPr>
                      <w:rFonts w:hint="eastAsia"/>
                      <w:color w:val="auto"/>
                      <w:sz w:val="21"/>
                      <w:szCs w:val="21"/>
                      <w:u w:val="single"/>
                      <w:lang w:val="en-US" w:eastAsia="zh-CN"/>
                    </w:rPr>
                    <w:t>尾砂浓密系统</w:t>
                  </w:r>
                </w:p>
              </w:tc>
              <w:tc>
                <w:tcPr>
                  <w:tcW w:w="2090" w:type="dxa"/>
                  <w:tcBorders>
                    <w:tl2br w:val="nil"/>
                    <w:tr2bl w:val="nil"/>
                  </w:tcBorders>
                  <w:noWrap w:val="0"/>
                  <w:vAlign w:val="center"/>
                </w:tcPr>
                <w:p w14:paraId="57DAE373">
                  <w:pPr>
                    <w:rPr>
                      <w:rFonts w:hint="default" w:eastAsia="宋体"/>
                      <w:color w:val="auto"/>
                      <w:sz w:val="21"/>
                      <w:szCs w:val="21"/>
                      <w:u w:val="single"/>
                      <w:lang w:val="en-US" w:eastAsia="zh-CN"/>
                    </w:rPr>
                  </w:pPr>
                  <w:r>
                    <w:rPr>
                      <w:rFonts w:hint="eastAsia"/>
                      <w:color w:val="auto"/>
                      <w:sz w:val="21"/>
                      <w:szCs w:val="21"/>
                      <w:u w:val="single"/>
                      <w:lang w:val="en-US" w:eastAsia="zh-CN"/>
                    </w:rPr>
                    <w:t>膏体仓储浓密机，型号：GCN 12/16、直径12m，容量1000t</w:t>
                  </w:r>
                </w:p>
              </w:tc>
              <w:tc>
                <w:tcPr>
                  <w:tcW w:w="2335" w:type="dxa"/>
                  <w:tcBorders>
                    <w:tl2br w:val="nil"/>
                    <w:tr2bl w:val="nil"/>
                  </w:tcBorders>
                  <w:noWrap w:val="0"/>
                  <w:vAlign w:val="center"/>
                </w:tcPr>
                <w:p w14:paraId="69D235C7">
                  <w:pPr>
                    <w:jc w:val="center"/>
                    <w:rPr>
                      <w:rFonts w:hint="default"/>
                      <w:color w:val="auto"/>
                      <w:sz w:val="21"/>
                      <w:szCs w:val="21"/>
                      <w:u w:val="single"/>
                      <w:lang w:val="en-US" w:eastAsia="zh-CN"/>
                    </w:rPr>
                  </w:pPr>
                  <w:r>
                    <w:rPr>
                      <w:rFonts w:hint="eastAsia"/>
                      <w:color w:val="auto"/>
                      <w:sz w:val="21"/>
                      <w:szCs w:val="21"/>
                      <w:u w:val="single"/>
                      <w:lang w:val="en-US" w:eastAsia="zh-CN"/>
                    </w:rPr>
                    <w:t>膏体仓储浓密机，型号：GCN12/16、直径12m，容量2000t。</w:t>
                  </w:r>
                </w:p>
              </w:tc>
              <w:tc>
                <w:tcPr>
                  <w:tcW w:w="1977" w:type="dxa"/>
                  <w:tcBorders>
                    <w:tl2br w:val="nil"/>
                    <w:tr2bl w:val="nil"/>
                  </w:tcBorders>
                  <w:noWrap w:val="0"/>
                  <w:vAlign w:val="center"/>
                </w:tcPr>
                <w:p w14:paraId="6B7B6B82">
                  <w:pPr>
                    <w:jc w:val="center"/>
                    <w:rPr>
                      <w:rFonts w:hint="default"/>
                      <w:color w:val="auto"/>
                      <w:sz w:val="21"/>
                      <w:szCs w:val="21"/>
                      <w:u w:val="single"/>
                      <w:lang w:val="en-US" w:eastAsia="zh-CN"/>
                    </w:rPr>
                  </w:pPr>
                  <w:r>
                    <w:rPr>
                      <w:rFonts w:hint="eastAsia"/>
                      <w:color w:val="auto"/>
                      <w:sz w:val="21"/>
                      <w:szCs w:val="21"/>
                      <w:u w:val="single"/>
                      <w:lang w:val="en-US" w:eastAsia="zh-CN"/>
                    </w:rPr>
                    <w:t>已建。原设计浓密机容量本身偏大，浓密机24小时运行，浓密机内矿浆浓密为8小时，因此浓密机容积需满足尾浆8小时浓密停留时间。原环评尾矿浆来料为74.28t/h，则浓密机8小时收矿量为594.24t，能满足储存处理要求。根据浓密机尺寸核算出实际储量为2000t，重新报批后，尾矿浆来料为145.51t/h，则浓密机8小时收矿量为1164.08t，原有设备能满足储存处理要求</w:t>
                  </w:r>
                </w:p>
              </w:tc>
            </w:tr>
            <w:tr w14:paraId="2C41B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97" w:type="dxa"/>
                  <w:vMerge w:val="continue"/>
                  <w:tcBorders>
                    <w:tl2br w:val="nil"/>
                    <w:tr2bl w:val="nil"/>
                  </w:tcBorders>
                  <w:noWrap w:val="0"/>
                  <w:vAlign w:val="center"/>
                </w:tcPr>
                <w:p w14:paraId="4BBE5B81">
                  <w:pPr>
                    <w:jc w:val="center"/>
                    <w:rPr>
                      <w:color w:val="auto"/>
                      <w:sz w:val="21"/>
                      <w:szCs w:val="21"/>
                      <w:u w:val="single"/>
                    </w:rPr>
                  </w:pPr>
                </w:p>
              </w:tc>
              <w:tc>
                <w:tcPr>
                  <w:tcW w:w="399" w:type="dxa"/>
                  <w:vMerge w:val="continue"/>
                  <w:tcBorders>
                    <w:tl2br w:val="nil"/>
                    <w:tr2bl w:val="nil"/>
                  </w:tcBorders>
                  <w:noWrap w:val="0"/>
                  <w:vAlign w:val="center"/>
                </w:tcPr>
                <w:p w14:paraId="0C8DA822">
                  <w:pPr>
                    <w:jc w:val="center"/>
                    <w:rPr>
                      <w:rFonts w:hint="default"/>
                      <w:color w:val="auto"/>
                      <w:sz w:val="21"/>
                      <w:szCs w:val="21"/>
                      <w:u w:val="single"/>
                      <w:lang w:val="en-US" w:eastAsia="zh-CN"/>
                    </w:rPr>
                  </w:pPr>
                </w:p>
              </w:tc>
              <w:tc>
                <w:tcPr>
                  <w:tcW w:w="763" w:type="dxa"/>
                  <w:tcBorders>
                    <w:tl2br w:val="nil"/>
                    <w:tr2bl w:val="nil"/>
                  </w:tcBorders>
                  <w:noWrap w:val="0"/>
                  <w:vAlign w:val="center"/>
                </w:tcPr>
                <w:p w14:paraId="39F7DD05">
                  <w:pPr>
                    <w:jc w:val="center"/>
                    <w:rPr>
                      <w:rFonts w:hint="eastAsia"/>
                      <w:color w:val="auto"/>
                      <w:sz w:val="21"/>
                      <w:szCs w:val="21"/>
                      <w:u w:val="single"/>
                      <w:lang w:val="en-US" w:eastAsia="zh-CN"/>
                    </w:rPr>
                  </w:pPr>
                  <w:r>
                    <w:rPr>
                      <w:rFonts w:hint="eastAsia"/>
                      <w:color w:val="auto"/>
                      <w:sz w:val="21"/>
                      <w:szCs w:val="21"/>
                      <w:u w:val="single"/>
                      <w:lang w:val="en-US" w:eastAsia="zh-CN"/>
                    </w:rPr>
                    <w:t>絮凝剂添加系统</w:t>
                  </w:r>
                </w:p>
              </w:tc>
              <w:tc>
                <w:tcPr>
                  <w:tcW w:w="2090" w:type="dxa"/>
                  <w:tcBorders>
                    <w:tl2br w:val="nil"/>
                    <w:tr2bl w:val="nil"/>
                  </w:tcBorders>
                  <w:noWrap w:val="0"/>
                  <w:vAlign w:val="center"/>
                </w:tcPr>
                <w:p w14:paraId="6927EA9B">
                  <w:pPr>
                    <w:rPr>
                      <w:rFonts w:hint="default"/>
                      <w:color w:val="auto"/>
                      <w:sz w:val="21"/>
                      <w:szCs w:val="21"/>
                      <w:u w:val="single"/>
                      <w:lang w:val="en-US" w:eastAsia="zh-CN"/>
                    </w:rPr>
                  </w:pPr>
                  <w:r>
                    <w:rPr>
                      <w:rFonts w:hint="eastAsia"/>
                      <w:color w:val="auto"/>
                      <w:sz w:val="21"/>
                      <w:szCs w:val="21"/>
                      <w:u w:val="single"/>
                      <w:lang w:val="en-US" w:eastAsia="zh-CN"/>
                    </w:rPr>
                    <w:t>采用一套XNT3000絮凝剂添加系统。</w:t>
                  </w:r>
                </w:p>
              </w:tc>
              <w:tc>
                <w:tcPr>
                  <w:tcW w:w="2335" w:type="dxa"/>
                  <w:tcBorders>
                    <w:tl2br w:val="nil"/>
                    <w:tr2bl w:val="nil"/>
                  </w:tcBorders>
                  <w:noWrap w:val="0"/>
                  <w:vAlign w:val="center"/>
                </w:tcPr>
                <w:p w14:paraId="3A2C519D">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6FC913D1">
                  <w:pPr>
                    <w:jc w:val="center"/>
                    <w:rPr>
                      <w:rFonts w:hint="default"/>
                      <w:color w:val="auto"/>
                      <w:sz w:val="21"/>
                      <w:szCs w:val="21"/>
                      <w:u w:val="single"/>
                      <w:lang w:val="en-US" w:eastAsia="zh-CN"/>
                    </w:rPr>
                  </w:pPr>
                  <w:r>
                    <w:rPr>
                      <w:rFonts w:hint="eastAsia"/>
                      <w:color w:val="auto"/>
                      <w:sz w:val="21"/>
                      <w:szCs w:val="21"/>
                      <w:u w:val="single"/>
                      <w:lang w:val="en-US" w:eastAsia="zh-CN"/>
                    </w:rPr>
                    <w:t>已建</w:t>
                  </w:r>
                </w:p>
              </w:tc>
            </w:tr>
            <w:tr w14:paraId="419A6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663630A9">
                  <w:pPr>
                    <w:jc w:val="center"/>
                    <w:rPr>
                      <w:color w:val="auto"/>
                      <w:sz w:val="21"/>
                      <w:szCs w:val="21"/>
                      <w:u w:val="single"/>
                    </w:rPr>
                  </w:pPr>
                </w:p>
              </w:tc>
              <w:tc>
                <w:tcPr>
                  <w:tcW w:w="399" w:type="dxa"/>
                  <w:vMerge w:val="continue"/>
                  <w:tcBorders>
                    <w:tl2br w:val="nil"/>
                    <w:tr2bl w:val="nil"/>
                  </w:tcBorders>
                  <w:noWrap w:val="0"/>
                  <w:vAlign w:val="center"/>
                </w:tcPr>
                <w:p w14:paraId="1802050B">
                  <w:pPr>
                    <w:jc w:val="center"/>
                    <w:rPr>
                      <w:rFonts w:hint="default"/>
                      <w:color w:val="auto"/>
                      <w:sz w:val="21"/>
                      <w:szCs w:val="21"/>
                      <w:u w:val="single"/>
                      <w:lang w:val="en-US" w:eastAsia="zh-CN"/>
                    </w:rPr>
                  </w:pPr>
                </w:p>
              </w:tc>
              <w:tc>
                <w:tcPr>
                  <w:tcW w:w="763" w:type="dxa"/>
                  <w:tcBorders>
                    <w:tl2br w:val="nil"/>
                    <w:tr2bl w:val="nil"/>
                  </w:tcBorders>
                  <w:noWrap w:val="0"/>
                  <w:vAlign w:val="center"/>
                </w:tcPr>
                <w:p w14:paraId="286710A8">
                  <w:pPr>
                    <w:jc w:val="center"/>
                    <w:rPr>
                      <w:rFonts w:hint="eastAsia"/>
                      <w:color w:val="auto"/>
                      <w:sz w:val="21"/>
                      <w:szCs w:val="21"/>
                      <w:u w:val="single"/>
                      <w:lang w:val="en-US" w:eastAsia="zh-CN"/>
                    </w:rPr>
                  </w:pPr>
                  <w:r>
                    <w:rPr>
                      <w:rFonts w:hint="eastAsia"/>
                      <w:color w:val="auto"/>
                      <w:sz w:val="21"/>
                      <w:szCs w:val="21"/>
                      <w:u w:val="single"/>
                      <w:lang w:val="en-US" w:eastAsia="zh-CN"/>
                    </w:rPr>
                    <w:t>水泥罐</w:t>
                  </w:r>
                </w:p>
              </w:tc>
              <w:tc>
                <w:tcPr>
                  <w:tcW w:w="2090" w:type="dxa"/>
                  <w:tcBorders>
                    <w:tl2br w:val="nil"/>
                    <w:tr2bl w:val="nil"/>
                  </w:tcBorders>
                  <w:noWrap w:val="0"/>
                  <w:vAlign w:val="center"/>
                </w:tcPr>
                <w:p w14:paraId="2114C2D7">
                  <w:pPr>
                    <w:rPr>
                      <w:rFonts w:hint="default"/>
                      <w:color w:val="auto"/>
                      <w:sz w:val="21"/>
                      <w:szCs w:val="21"/>
                      <w:u w:val="single"/>
                      <w:lang w:val="en-US" w:eastAsia="zh-CN"/>
                    </w:rPr>
                  </w:pPr>
                  <w:r>
                    <w:rPr>
                      <w:rFonts w:hint="eastAsia"/>
                      <w:color w:val="auto"/>
                      <w:sz w:val="21"/>
                      <w:szCs w:val="21"/>
                      <w:u w:val="single"/>
                      <w:lang w:val="en-US" w:eastAsia="zh-CN"/>
                    </w:rPr>
                    <w:t>建设1个水泥罐，直径5m，容量300t，罐体采用钢结构，罐体设置料位计，底部通过螺旋输送给料机进行输送计量后卸料至搅拌桶内。</w:t>
                  </w:r>
                </w:p>
              </w:tc>
              <w:tc>
                <w:tcPr>
                  <w:tcW w:w="2335" w:type="dxa"/>
                  <w:tcBorders>
                    <w:tl2br w:val="nil"/>
                    <w:tr2bl w:val="nil"/>
                  </w:tcBorders>
                  <w:noWrap w:val="0"/>
                  <w:vAlign w:val="center"/>
                </w:tcPr>
                <w:p w14:paraId="1DAF4FC4">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180F121E">
                  <w:pPr>
                    <w:jc w:val="center"/>
                    <w:rPr>
                      <w:rFonts w:hint="default"/>
                      <w:color w:val="auto"/>
                      <w:sz w:val="21"/>
                      <w:szCs w:val="21"/>
                      <w:u w:val="single"/>
                      <w:lang w:val="en-US" w:eastAsia="zh-CN"/>
                    </w:rPr>
                  </w:pPr>
                  <w:r>
                    <w:rPr>
                      <w:rFonts w:hint="eastAsia"/>
                      <w:color w:val="auto"/>
                      <w:sz w:val="21"/>
                      <w:szCs w:val="21"/>
                      <w:u w:val="single"/>
                      <w:lang w:val="en-US" w:eastAsia="zh-CN"/>
                    </w:rPr>
                    <w:t>原设计水泥罐容量本身偏大，容量为300t，重新报批后水泥用量为81.49t/d，满足日用水泥储存要求</w:t>
                  </w:r>
                </w:p>
              </w:tc>
            </w:tr>
            <w:tr w14:paraId="054C6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65F8E722">
                  <w:pPr>
                    <w:jc w:val="center"/>
                    <w:rPr>
                      <w:color w:val="auto"/>
                      <w:sz w:val="21"/>
                      <w:szCs w:val="21"/>
                      <w:u w:val="single"/>
                    </w:rPr>
                  </w:pPr>
                </w:p>
              </w:tc>
              <w:tc>
                <w:tcPr>
                  <w:tcW w:w="399" w:type="dxa"/>
                  <w:vMerge w:val="continue"/>
                  <w:tcBorders>
                    <w:tl2br w:val="nil"/>
                    <w:tr2bl w:val="nil"/>
                  </w:tcBorders>
                  <w:noWrap w:val="0"/>
                  <w:vAlign w:val="center"/>
                </w:tcPr>
                <w:p w14:paraId="50A26F35">
                  <w:pPr>
                    <w:jc w:val="center"/>
                    <w:rPr>
                      <w:rFonts w:hint="default"/>
                      <w:color w:val="auto"/>
                      <w:sz w:val="21"/>
                      <w:szCs w:val="21"/>
                      <w:u w:val="single"/>
                      <w:lang w:val="en-US" w:eastAsia="zh-CN"/>
                    </w:rPr>
                  </w:pPr>
                </w:p>
              </w:tc>
              <w:tc>
                <w:tcPr>
                  <w:tcW w:w="763" w:type="dxa"/>
                  <w:tcBorders>
                    <w:tl2br w:val="nil"/>
                    <w:tr2bl w:val="nil"/>
                  </w:tcBorders>
                  <w:noWrap w:val="0"/>
                  <w:vAlign w:val="center"/>
                </w:tcPr>
                <w:p w14:paraId="53F4F01F">
                  <w:pPr>
                    <w:jc w:val="center"/>
                    <w:rPr>
                      <w:rFonts w:hint="eastAsia"/>
                      <w:color w:val="auto"/>
                      <w:sz w:val="21"/>
                      <w:szCs w:val="21"/>
                      <w:u w:val="single"/>
                      <w:lang w:val="en-US" w:eastAsia="zh-CN"/>
                    </w:rPr>
                  </w:pPr>
                  <w:r>
                    <w:rPr>
                      <w:rFonts w:hint="eastAsia"/>
                      <w:color w:val="auto"/>
                      <w:sz w:val="21"/>
                      <w:szCs w:val="21"/>
                      <w:u w:val="single"/>
                      <w:lang w:val="en-US" w:eastAsia="zh-CN"/>
                    </w:rPr>
                    <w:t>搅拌系统</w:t>
                  </w:r>
                </w:p>
              </w:tc>
              <w:tc>
                <w:tcPr>
                  <w:tcW w:w="2090" w:type="dxa"/>
                  <w:tcBorders>
                    <w:tl2br w:val="nil"/>
                    <w:tr2bl w:val="nil"/>
                  </w:tcBorders>
                  <w:noWrap w:val="0"/>
                  <w:vAlign w:val="center"/>
                </w:tcPr>
                <w:p w14:paraId="2C937A93">
                  <w:pPr>
                    <w:rPr>
                      <w:rFonts w:hint="default"/>
                      <w:color w:val="auto"/>
                      <w:sz w:val="21"/>
                      <w:szCs w:val="21"/>
                      <w:u w:val="single"/>
                      <w:lang w:val="en-US" w:eastAsia="zh-CN"/>
                    </w:rPr>
                  </w:pPr>
                  <w:r>
                    <w:rPr>
                      <w:rFonts w:hint="eastAsia"/>
                      <w:color w:val="auto"/>
                      <w:sz w:val="21"/>
                      <w:szCs w:val="21"/>
                      <w:u w:val="single"/>
                      <w:lang w:val="en-US" w:eastAsia="zh-CN"/>
                    </w:rPr>
                    <w:t>1台柔性搅拌机，型号RGJ-3.5L，尾砂浆、水泥经各自的供料线进入进料斗后供给搅拌机</w:t>
                  </w:r>
                  <w:r>
                    <w:rPr>
                      <w:rFonts w:hint="eastAsia" w:cs="Times New Roman"/>
                      <w:b w:val="0"/>
                      <w:bCs w:val="0"/>
                      <w:color w:val="auto"/>
                      <w:sz w:val="21"/>
                      <w:szCs w:val="21"/>
                      <w:u w:val="single"/>
                      <w:vertAlign w:val="baseline"/>
                      <w:lang w:val="en-US" w:eastAsia="zh-CN"/>
                    </w:rPr>
                    <w:t>。</w:t>
                  </w:r>
                </w:p>
              </w:tc>
              <w:tc>
                <w:tcPr>
                  <w:tcW w:w="2335" w:type="dxa"/>
                  <w:tcBorders>
                    <w:tl2br w:val="nil"/>
                    <w:tr2bl w:val="nil"/>
                  </w:tcBorders>
                  <w:noWrap w:val="0"/>
                  <w:vAlign w:val="center"/>
                </w:tcPr>
                <w:p w14:paraId="1394D609">
                  <w:pPr>
                    <w:jc w:val="center"/>
                    <w:rPr>
                      <w:rFonts w:hint="default"/>
                      <w:color w:val="auto"/>
                      <w:sz w:val="21"/>
                      <w:szCs w:val="21"/>
                      <w:u w:val="single"/>
                      <w:lang w:val="en-US" w:eastAsia="zh-CN"/>
                    </w:rPr>
                  </w:pPr>
                  <w:r>
                    <w:rPr>
                      <w:rFonts w:hint="eastAsia"/>
                      <w:color w:val="auto"/>
                      <w:sz w:val="21"/>
                      <w:szCs w:val="21"/>
                      <w:u w:val="single"/>
                      <w:lang w:val="en-US" w:eastAsia="zh-CN"/>
                    </w:rPr>
                    <w:t>1台柔性搅拌机，搅拌桶φ2x2.5，容积7.85立方</w:t>
                  </w:r>
                </w:p>
              </w:tc>
              <w:tc>
                <w:tcPr>
                  <w:tcW w:w="1977" w:type="dxa"/>
                  <w:tcBorders>
                    <w:tl2br w:val="nil"/>
                    <w:tr2bl w:val="nil"/>
                  </w:tcBorders>
                  <w:noWrap w:val="0"/>
                  <w:vAlign w:val="center"/>
                </w:tcPr>
                <w:p w14:paraId="42A42D55">
                  <w:pPr>
                    <w:jc w:val="center"/>
                    <w:rPr>
                      <w:rFonts w:hint="default"/>
                      <w:color w:val="auto"/>
                      <w:sz w:val="21"/>
                      <w:szCs w:val="21"/>
                      <w:u w:val="single"/>
                      <w:lang w:val="en-US" w:eastAsia="zh-CN"/>
                    </w:rPr>
                  </w:pPr>
                  <w:r>
                    <w:rPr>
                      <w:rFonts w:hint="eastAsia"/>
                      <w:color w:val="auto"/>
                      <w:sz w:val="21"/>
                      <w:szCs w:val="21"/>
                      <w:u w:val="single"/>
                      <w:lang w:val="en-US" w:eastAsia="zh-CN"/>
                    </w:rPr>
                    <w:t>已建，原搅拌系统处理规模为50m</w:t>
                  </w:r>
                  <w:r>
                    <w:rPr>
                      <w:rFonts w:hint="eastAsia"/>
                      <w:color w:val="auto"/>
                      <w:sz w:val="21"/>
                      <w:szCs w:val="21"/>
                      <w:u w:val="single"/>
                      <w:vertAlign w:val="superscript"/>
                      <w:lang w:val="en-US" w:eastAsia="zh-CN"/>
                    </w:rPr>
                    <w:t>3</w:t>
                  </w:r>
                  <w:r>
                    <w:rPr>
                      <w:rFonts w:hint="eastAsia"/>
                      <w:color w:val="auto"/>
                      <w:sz w:val="21"/>
                      <w:szCs w:val="21"/>
                      <w:u w:val="single"/>
                      <w:vertAlign w:val="baseline"/>
                      <w:lang w:val="en-US" w:eastAsia="zh-CN"/>
                    </w:rPr>
                    <w:t>/h，现处理能力为97.5</w:t>
                  </w:r>
                  <w:r>
                    <w:rPr>
                      <w:rFonts w:hint="eastAsia"/>
                      <w:color w:val="auto"/>
                      <w:sz w:val="21"/>
                      <w:szCs w:val="21"/>
                      <w:u w:val="single"/>
                      <w:lang w:val="en-US" w:eastAsia="zh-CN"/>
                    </w:rPr>
                    <w:t>m</w:t>
                  </w:r>
                  <w:r>
                    <w:rPr>
                      <w:rFonts w:hint="eastAsia"/>
                      <w:color w:val="auto"/>
                      <w:sz w:val="21"/>
                      <w:szCs w:val="21"/>
                      <w:u w:val="single"/>
                      <w:vertAlign w:val="superscript"/>
                      <w:lang w:val="en-US" w:eastAsia="zh-CN"/>
                    </w:rPr>
                    <w:t>3</w:t>
                  </w:r>
                  <w:r>
                    <w:rPr>
                      <w:rFonts w:hint="eastAsia"/>
                      <w:color w:val="auto"/>
                      <w:sz w:val="21"/>
                      <w:szCs w:val="21"/>
                      <w:u w:val="single"/>
                      <w:vertAlign w:val="baseline"/>
                      <w:lang w:val="en-US" w:eastAsia="zh-CN"/>
                    </w:rPr>
                    <w:t>/h，搅拌系统产能变大</w:t>
                  </w:r>
                </w:p>
              </w:tc>
            </w:tr>
            <w:tr w14:paraId="11A86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697" w:type="dxa"/>
                  <w:vMerge w:val="continue"/>
                  <w:tcBorders>
                    <w:tl2br w:val="nil"/>
                    <w:tr2bl w:val="nil"/>
                  </w:tcBorders>
                  <w:noWrap w:val="0"/>
                  <w:vAlign w:val="center"/>
                </w:tcPr>
                <w:p w14:paraId="6E117A1C">
                  <w:pPr>
                    <w:jc w:val="center"/>
                    <w:rPr>
                      <w:color w:val="auto"/>
                      <w:sz w:val="21"/>
                      <w:szCs w:val="21"/>
                      <w:u w:val="single"/>
                    </w:rPr>
                  </w:pPr>
                </w:p>
              </w:tc>
              <w:tc>
                <w:tcPr>
                  <w:tcW w:w="399" w:type="dxa"/>
                  <w:vMerge w:val="continue"/>
                  <w:tcBorders>
                    <w:tl2br w:val="nil"/>
                    <w:tr2bl w:val="nil"/>
                  </w:tcBorders>
                  <w:noWrap w:val="0"/>
                  <w:vAlign w:val="center"/>
                </w:tcPr>
                <w:p w14:paraId="724DAA7E">
                  <w:pPr>
                    <w:jc w:val="center"/>
                    <w:rPr>
                      <w:rFonts w:hint="default"/>
                      <w:color w:val="auto"/>
                      <w:sz w:val="21"/>
                      <w:szCs w:val="21"/>
                      <w:u w:val="single"/>
                      <w:lang w:val="en-US" w:eastAsia="zh-CN"/>
                    </w:rPr>
                  </w:pPr>
                </w:p>
              </w:tc>
              <w:tc>
                <w:tcPr>
                  <w:tcW w:w="763" w:type="dxa"/>
                  <w:tcBorders>
                    <w:tl2br w:val="nil"/>
                    <w:tr2bl w:val="nil"/>
                  </w:tcBorders>
                  <w:noWrap w:val="0"/>
                  <w:vAlign w:val="center"/>
                </w:tcPr>
                <w:p w14:paraId="10A4102E">
                  <w:pPr>
                    <w:jc w:val="center"/>
                    <w:rPr>
                      <w:rFonts w:hint="eastAsia"/>
                      <w:color w:val="auto"/>
                      <w:sz w:val="21"/>
                      <w:szCs w:val="21"/>
                      <w:u w:val="single"/>
                      <w:lang w:val="en-US" w:eastAsia="zh-CN"/>
                    </w:rPr>
                  </w:pPr>
                  <w:r>
                    <w:rPr>
                      <w:rFonts w:hint="eastAsia"/>
                      <w:color w:val="auto"/>
                      <w:sz w:val="21"/>
                      <w:szCs w:val="21"/>
                      <w:u w:val="single"/>
                      <w:lang w:val="en-US" w:eastAsia="zh-CN"/>
                    </w:rPr>
                    <w:t>自动控制系统</w:t>
                  </w:r>
                </w:p>
              </w:tc>
              <w:tc>
                <w:tcPr>
                  <w:tcW w:w="2090" w:type="dxa"/>
                  <w:tcBorders>
                    <w:tl2br w:val="nil"/>
                    <w:tr2bl w:val="nil"/>
                  </w:tcBorders>
                  <w:noWrap w:val="0"/>
                  <w:vAlign w:val="center"/>
                </w:tcPr>
                <w:p w14:paraId="765DA49B">
                  <w:pPr>
                    <w:rPr>
                      <w:rFonts w:hint="eastAsia" w:eastAsia="宋体"/>
                      <w:color w:val="auto"/>
                      <w:sz w:val="21"/>
                      <w:szCs w:val="21"/>
                      <w:u w:val="single"/>
                      <w:lang w:val="en-US" w:eastAsia="zh-CN"/>
                    </w:rPr>
                  </w:pPr>
                  <w:r>
                    <w:rPr>
                      <w:rFonts w:hint="eastAsia"/>
                      <w:color w:val="auto"/>
                      <w:sz w:val="21"/>
                      <w:szCs w:val="21"/>
                      <w:u w:val="single"/>
                      <w:lang w:val="en-US" w:eastAsia="zh-CN"/>
                    </w:rPr>
                    <w:t>建设1个控制室，占地面积20m</w:t>
                  </w:r>
                  <w:r>
                    <w:rPr>
                      <w:rFonts w:hint="eastAsia"/>
                      <w:color w:val="auto"/>
                      <w:sz w:val="21"/>
                      <w:szCs w:val="21"/>
                      <w:u w:val="single"/>
                      <w:vertAlign w:val="superscript"/>
                      <w:lang w:val="en-US" w:eastAsia="zh-CN"/>
                    </w:rPr>
                    <w:t>2</w:t>
                  </w:r>
                  <w:r>
                    <w:rPr>
                      <w:rFonts w:hint="eastAsia"/>
                      <w:color w:val="auto"/>
                      <w:sz w:val="21"/>
                      <w:szCs w:val="21"/>
                      <w:u w:val="single"/>
                      <w:vertAlign w:val="baseline"/>
                      <w:lang w:val="en-US" w:eastAsia="zh-CN"/>
                    </w:rPr>
                    <w:t>，</w:t>
                  </w:r>
                  <w:r>
                    <w:rPr>
                      <w:rFonts w:hint="eastAsia"/>
                      <w:color w:val="auto"/>
                      <w:u w:val="single"/>
                    </w:rPr>
                    <w:t>控制尾砂调浓、原料配比、管道清洗等</w:t>
                  </w:r>
                  <w:r>
                    <w:rPr>
                      <w:rFonts w:hint="eastAsia"/>
                      <w:color w:val="auto"/>
                      <w:u w:val="single"/>
                      <w:lang w:eastAsia="zh-CN"/>
                    </w:rPr>
                    <w:t>。</w:t>
                  </w:r>
                </w:p>
              </w:tc>
              <w:tc>
                <w:tcPr>
                  <w:tcW w:w="2335" w:type="dxa"/>
                  <w:tcBorders>
                    <w:tl2br w:val="nil"/>
                    <w:tr2bl w:val="nil"/>
                  </w:tcBorders>
                  <w:noWrap w:val="0"/>
                  <w:vAlign w:val="center"/>
                </w:tcPr>
                <w:p w14:paraId="448739D1">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5AC56B5A">
                  <w:pPr>
                    <w:jc w:val="center"/>
                    <w:rPr>
                      <w:rFonts w:hint="default"/>
                      <w:color w:val="auto"/>
                      <w:sz w:val="21"/>
                      <w:szCs w:val="21"/>
                      <w:u w:val="single"/>
                      <w:lang w:val="en-US" w:eastAsia="zh-CN"/>
                    </w:rPr>
                  </w:pPr>
                  <w:r>
                    <w:rPr>
                      <w:rFonts w:hint="eastAsia"/>
                      <w:color w:val="auto"/>
                      <w:sz w:val="21"/>
                      <w:szCs w:val="21"/>
                      <w:u w:val="single"/>
                      <w:lang w:val="en-US" w:eastAsia="zh-CN"/>
                    </w:rPr>
                    <w:t>已建</w:t>
                  </w:r>
                </w:p>
              </w:tc>
            </w:tr>
            <w:tr w14:paraId="6C1C9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6" w:hRule="atLeast"/>
                <w:jc w:val="center"/>
              </w:trPr>
              <w:tc>
                <w:tcPr>
                  <w:tcW w:w="697" w:type="dxa"/>
                  <w:vMerge w:val="continue"/>
                  <w:tcBorders>
                    <w:tl2br w:val="nil"/>
                    <w:tr2bl w:val="nil"/>
                  </w:tcBorders>
                  <w:noWrap w:val="0"/>
                  <w:vAlign w:val="center"/>
                </w:tcPr>
                <w:p w14:paraId="094DB0D0">
                  <w:pPr>
                    <w:jc w:val="center"/>
                    <w:rPr>
                      <w:color w:val="auto"/>
                      <w:sz w:val="21"/>
                      <w:szCs w:val="21"/>
                      <w:u w:val="single"/>
                    </w:rPr>
                  </w:pPr>
                </w:p>
              </w:tc>
              <w:tc>
                <w:tcPr>
                  <w:tcW w:w="1162" w:type="dxa"/>
                  <w:gridSpan w:val="2"/>
                  <w:tcBorders>
                    <w:tl2br w:val="nil"/>
                    <w:tr2bl w:val="nil"/>
                  </w:tcBorders>
                  <w:noWrap w:val="0"/>
                  <w:vAlign w:val="center"/>
                </w:tcPr>
                <w:p w14:paraId="35DD406B">
                  <w:pPr>
                    <w:jc w:val="center"/>
                    <w:rPr>
                      <w:rFonts w:hint="eastAsia"/>
                      <w:color w:val="auto"/>
                      <w:sz w:val="21"/>
                      <w:szCs w:val="21"/>
                      <w:u w:val="single"/>
                      <w:lang w:val="en-US" w:eastAsia="zh-CN"/>
                    </w:rPr>
                  </w:pPr>
                  <w:r>
                    <w:rPr>
                      <w:rFonts w:hint="eastAsia"/>
                      <w:color w:val="auto"/>
                      <w:sz w:val="21"/>
                      <w:szCs w:val="21"/>
                      <w:u w:val="single"/>
                      <w:lang w:val="en-US" w:eastAsia="zh-CN"/>
                    </w:rPr>
                    <w:t>溢流水自流系统</w:t>
                  </w:r>
                </w:p>
              </w:tc>
              <w:tc>
                <w:tcPr>
                  <w:tcW w:w="2090" w:type="dxa"/>
                  <w:tcBorders>
                    <w:tl2br w:val="nil"/>
                    <w:tr2bl w:val="nil"/>
                  </w:tcBorders>
                  <w:noWrap w:val="0"/>
                  <w:vAlign w:val="center"/>
                </w:tcPr>
                <w:p w14:paraId="1AB527B5">
                  <w:pPr>
                    <w:rPr>
                      <w:rFonts w:hint="eastAsia"/>
                      <w:color w:val="auto"/>
                      <w:sz w:val="21"/>
                      <w:szCs w:val="21"/>
                      <w:u w:val="single"/>
                      <w:lang w:val="en-US" w:eastAsia="zh-CN"/>
                    </w:rPr>
                  </w:pPr>
                  <w:r>
                    <w:rPr>
                      <w:rFonts w:hint="eastAsia"/>
                      <w:color w:val="auto"/>
                      <w:sz w:val="21"/>
                      <w:szCs w:val="21"/>
                      <w:u w:val="single"/>
                      <w:lang w:val="en-US" w:eastAsia="zh-CN"/>
                    </w:rPr>
                    <w:t>新建50m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容积的溢流水池，用规格φ140×4mm无缝钢管将水引入充填站站内各用水点。多余溢流水泵送回选厂，配套回水泵2台（一用一备），采用规格φ159×4mm，耐压等级1MPa的PE管道铺设至选厂，管道长度约2500m。</w:t>
                  </w:r>
                </w:p>
              </w:tc>
              <w:tc>
                <w:tcPr>
                  <w:tcW w:w="2335" w:type="dxa"/>
                  <w:tcBorders>
                    <w:tl2br w:val="nil"/>
                    <w:tr2bl w:val="nil"/>
                  </w:tcBorders>
                  <w:noWrap w:val="0"/>
                  <w:vAlign w:val="center"/>
                </w:tcPr>
                <w:p w14:paraId="39F7D2FA">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28FD8788">
                  <w:pPr>
                    <w:jc w:val="center"/>
                    <w:rPr>
                      <w:rFonts w:hint="eastAsia"/>
                      <w:color w:val="auto"/>
                      <w:sz w:val="21"/>
                      <w:szCs w:val="21"/>
                      <w:u w:val="single"/>
                      <w:lang w:val="en-US" w:eastAsia="zh-CN"/>
                    </w:rPr>
                  </w:pPr>
                  <w:r>
                    <w:rPr>
                      <w:rFonts w:hint="eastAsia"/>
                      <w:color w:val="auto"/>
                      <w:sz w:val="21"/>
                      <w:szCs w:val="21"/>
                      <w:u w:val="single"/>
                      <w:lang w:val="en-US" w:eastAsia="zh-CN"/>
                    </w:rPr>
                    <w:t>已建</w:t>
                  </w:r>
                </w:p>
              </w:tc>
            </w:tr>
            <w:tr w14:paraId="56CC2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6F07820C">
                  <w:pPr>
                    <w:jc w:val="center"/>
                    <w:rPr>
                      <w:color w:val="auto"/>
                      <w:sz w:val="21"/>
                      <w:szCs w:val="21"/>
                      <w:u w:val="single"/>
                    </w:rPr>
                  </w:pPr>
                </w:p>
              </w:tc>
              <w:tc>
                <w:tcPr>
                  <w:tcW w:w="1162" w:type="dxa"/>
                  <w:gridSpan w:val="2"/>
                  <w:tcBorders>
                    <w:tl2br w:val="nil"/>
                    <w:tr2bl w:val="nil"/>
                  </w:tcBorders>
                  <w:noWrap w:val="0"/>
                  <w:vAlign w:val="center"/>
                </w:tcPr>
                <w:p w14:paraId="29E28014">
                  <w:pPr>
                    <w:jc w:val="center"/>
                    <w:rPr>
                      <w:rFonts w:hint="default"/>
                      <w:color w:val="auto"/>
                      <w:sz w:val="21"/>
                      <w:szCs w:val="21"/>
                      <w:u w:val="single"/>
                      <w:lang w:val="en-US" w:eastAsia="zh-CN"/>
                    </w:rPr>
                  </w:pPr>
                  <w:r>
                    <w:rPr>
                      <w:rFonts w:hint="eastAsia"/>
                      <w:color w:val="auto"/>
                      <w:sz w:val="21"/>
                      <w:szCs w:val="21"/>
                      <w:u w:val="single"/>
                      <w:lang w:val="en-US" w:eastAsia="zh-CN"/>
                    </w:rPr>
                    <w:t>充填料浆输送管路</w:t>
                  </w:r>
                </w:p>
              </w:tc>
              <w:tc>
                <w:tcPr>
                  <w:tcW w:w="2090" w:type="dxa"/>
                  <w:tcBorders>
                    <w:tl2br w:val="nil"/>
                    <w:tr2bl w:val="nil"/>
                  </w:tcBorders>
                  <w:noWrap w:val="0"/>
                  <w:vAlign w:val="center"/>
                </w:tcPr>
                <w:p w14:paraId="4D92E268">
                  <w:pPr>
                    <w:rPr>
                      <w:rFonts w:hint="eastAsia"/>
                      <w:color w:val="auto"/>
                      <w:sz w:val="21"/>
                      <w:szCs w:val="21"/>
                      <w:u w:val="single"/>
                      <w:lang w:val="en-US" w:eastAsia="zh-CN"/>
                    </w:rPr>
                  </w:pPr>
                  <w:r>
                    <w:rPr>
                      <w:rFonts w:hint="eastAsia"/>
                      <w:color w:val="auto"/>
                      <w:sz w:val="21"/>
                      <w:szCs w:val="21"/>
                      <w:u w:val="single"/>
                      <w:lang w:val="en-US" w:eastAsia="zh-CN"/>
                    </w:rPr>
                    <w:t>尾砂浆输送管采用φ159mm×8mm的Q355B无缝钢管，壁厚8mm，管道长度约450m，高差18m。管道铺设2路，1用1备。</w:t>
                  </w:r>
                </w:p>
              </w:tc>
              <w:tc>
                <w:tcPr>
                  <w:tcW w:w="2335" w:type="dxa"/>
                  <w:tcBorders>
                    <w:tl2br w:val="nil"/>
                    <w:tr2bl w:val="nil"/>
                  </w:tcBorders>
                  <w:noWrap w:val="0"/>
                  <w:vAlign w:val="center"/>
                </w:tcPr>
                <w:p w14:paraId="6F1246C4">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27DB8017">
                  <w:pPr>
                    <w:jc w:val="center"/>
                    <w:rPr>
                      <w:rFonts w:hint="default"/>
                      <w:color w:val="auto"/>
                      <w:sz w:val="21"/>
                      <w:szCs w:val="21"/>
                      <w:u w:val="single"/>
                      <w:lang w:val="en-US" w:eastAsia="zh-CN"/>
                    </w:rPr>
                  </w:pPr>
                  <w:r>
                    <w:rPr>
                      <w:rFonts w:hint="eastAsia"/>
                      <w:color w:val="auto"/>
                      <w:sz w:val="21"/>
                      <w:szCs w:val="21"/>
                      <w:u w:val="single"/>
                      <w:lang w:val="en-US" w:eastAsia="zh-CN"/>
                    </w:rPr>
                    <w:t>尾矿管道为输送介质，未发生变化，重新报批后充填泵处理能力变大</w:t>
                  </w:r>
                </w:p>
              </w:tc>
            </w:tr>
            <w:tr w14:paraId="430A1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restart"/>
                  <w:tcBorders>
                    <w:tl2br w:val="nil"/>
                    <w:tr2bl w:val="nil"/>
                  </w:tcBorders>
                  <w:noWrap w:val="0"/>
                  <w:vAlign w:val="center"/>
                </w:tcPr>
                <w:p w14:paraId="56A70D42">
                  <w:pPr>
                    <w:jc w:val="center"/>
                    <w:rPr>
                      <w:color w:val="auto"/>
                      <w:sz w:val="21"/>
                      <w:szCs w:val="21"/>
                      <w:u w:val="single"/>
                    </w:rPr>
                  </w:pPr>
                  <w:r>
                    <w:rPr>
                      <w:color w:val="auto"/>
                      <w:sz w:val="21"/>
                      <w:szCs w:val="21"/>
                      <w:u w:val="single"/>
                    </w:rPr>
                    <w:t>公用工程</w:t>
                  </w:r>
                </w:p>
              </w:tc>
              <w:tc>
                <w:tcPr>
                  <w:tcW w:w="1162" w:type="dxa"/>
                  <w:gridSpan w:val="2"/>
                  <w:tcBorders>
                    <w:tl2br w:val="nil"/>
                    <w:tr2bl w:val="nil"/>
                  </w:tcBorders>
                  <w:noWrap w:val="0"/>
                  <w:vAlign w:val="center"/>
                </w:tcPr>
                <w:p w14:paraId="776BF08E">
                  <w:pPr>
                    <w:ind w:firstLine="210" w:firstLineChars="100"/>
                    <w:rPr>
                      <w:rFonts w:hint="eastAsia"/>
                      <w:color w:val="auto"/>
                      <w:sz w:val="21"/>
                      <w:szCs w:val="21"/>
                      <w:u w:val="single"/>
                      <w:lang w:val="en-US" w:eastAsia="zh-CN"/>
                    </w:rPr>
                  </w:pPr>
                  <w:r>
                    <w:rPr>
                      <w:rFonts w:hint="eastAsia"/>
                      <w:color w:val="auto"/>
                      <w:sz w:val="21"/>
                      <w:szCs w:val="21"/>
                      <w:u w:val="single"/>
                      <w:lang w:val="en-US" w:eastAsia="zh-CN"/>
                    </w:rPr>
                    <w:t>给水</w:t>
                  </w:r>
                </w:p>
              </w:tc>
              <w:tc>
                <w:tcPr>
                  <w:tcW w:w="2090" w:type="dxa"/>
                  <w:tcBorders>
                    <w:tl2br w:val="nil"/>
                    <w:tr2bl w:val="nil"/>
                  </w:tcBorders>
                  <w:noWrap w:val="0"/>
                  <w:vAlign w:val="center"/>
                </w:tcPr>
                <w:p w14:paraId="540AA0DC">
                  <w:pPr>
                    <w:rPr>
                      <w:rFonts w:hint="default"/>
                      <w:color w:val="auto"/>
                      <w:sz w:val="21"/>
                      <w:szCs w:val="21"/>
                      <w:u w:val="single"/>
                      <w:lang w:val="en-US" w:eastAsia="zh-CN"/>
                    </w:rPr>
                  </w:pPr>
                  <w:r>
                    <w:rPr>
                      <w:rFonts w:hint="eastAsia"/>
                      <w:color w:val="auto"/>
                      <w:sz w:val="21"/>
                      <w:szCs w:val="21"/>
                      <w:u w:val="single"/>
                      <w:lang w:val="en-US" w:eastAsia="zh-CN"/>
                    </w:rPr>
                    <w:t>生活用水取自山间裂隙流出的地表径流水，由水管引至生活办公区高位水池（50m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w:t>
                  </w:r>
                </w:p>
              </w:tc>
              <w:tc>
                <w:tcPr>
                  <w:tcW w:w="2335" w:type="dxa"/>
                  <w:tcBorders>
                    <w:tl2br w:val="nil"/>
                    <w:tr2bl w:val="nil"/>
                  </w:tcBorders>
                  <w:noWrap w:val="0"/>
                  <w:vAlign w:val="center"/>
                </w:tcPr>
                <w:p w14:paraId="30902A46">
                  <w:pPr>
                    <w:jc w:val="center"/>
                    <w:rPr>
                      <w:rFonts w:hint="eastAsia"/>
                      <w:color w:val="auto"/>
                      <w:sz w:val="21"/>
                      <w:szCs w:val="21"/>
                      <w:u w:val="single"/>
                      <w:lang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1F527FDB">
                  <w:pPr>
                    <w:jc w:val="center"/>
                    <w:rPr>
                      <w:rFonts w:hint="default"/>
                      <w:color w:val="auto"/>
                      <w:sz w:val="21"/>
                      <w:szCs w:val="21"/>
                      <w:u w:val="single"/>
                      <w:lang w:val="en-US" w:eastAsia="zh-CN"/>
                    </w:rPr>
                  </w:pPr>
                  <w:r>
                    <w:rPr>
                      <w:rFonts w:hint="eastAsia"/>
                      <w:color w:val="auto"/>
                      <w:sz w:val="21"/>
                      <w:szCs w:val="21"/>
                      <w:u w:val="single"/>
                      <w:lang w:val="en-US" w:eastAsia="zh-CN"/>
                    </w:rPr>
                    <w:t>高位水池已建，办公区正在建设</w:t>
                  </w:r>
                </w:p>
              </w:tc>
            </w:tr>
            <w:tr w14:paraId="56863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67ACFE7D">
                  <w:pPr>
                    <w:jc w:val="center"/>
                    <w:rPr>
                      <w:color w:val="auto"/>
                      <w:sz w:val="21"/>
                      <w:szCs w:val="21"/>
                      <w:u w:val="single"/>
                    </w:rPr>
                  </w:pPr>
                </w:p>
              </w:tc>
              <w:tc>
                <w:tcPr>
                  <w:tcW w:w="1162" w:type="dxa"/>
                  <w:gridSpan w:val="2"/>
                  <w:tcBorders>
                    <w:tl2br w:val="nil"/>
                    <w:tr2bl w:val="nil"/>
                  </w:tcBorders>
                  <w:noWrap w:val="0"/>
                  <w:vAlign w:val="center"/>
                </w:tcPr>
                <w:p w14:paraId="6CB4B5A1">
                  <w:pPr>
                    <w:jc w:val="center"/>
                    <w:rPr>
                      <w:color w:val="auto"/>
                      <w:sz w:val="21"/>
                      <w:szCs w:val="21"/>
                      <w:u w:val="single"/>
                    </w:rPr>
                  </w:pPr>
                  <w:r>
                    <w:rPr>
                      <w:color w:val="auto"/>
                      <w:sz w:val="21"/>
                      <w:szCs w:val="21"/>
                      <w:u w:val="single"/>
                    </w:rPr>
                    <w:t>供电</w:t>
                  </w:r>
                </w:p>
              </w:tc>
              <w:tc>
                <w:tcPr>
                  <w:tcW w:w="2090" w:type="dxa"/>
                  <w:tcBorders>
                    <w:tl2br w:val="nil"/>
                    <w:tr2bl w:val="nil"/>
                  </w:tcBorders>
                  <w:noWrap w:val="0"/>
                  <w:vAlign w:val="center"/>
                </w:tcPr>
                <w:p w14:paraId="0FB0DC05">
                  <w:pPr>
                    <w:rPr>
                      <w:rFonts w:hint="default" w:eastAsia="宋体"/>
                      <w:color w:val="auto"/>
                      <w:sz w:val="21"/>
                      <w:szCs w:val="21"/>
                      <w:u w:val="single"/>
                      <w:lang w:val="en-US" w:eastAsia="zh-CN"/>
                    </w:rPr>
                  </w:pPr>
                  <w:r>
                    <w:rPr>
                      <w:rFonts w:hint="eastAsia"/>
                      <w:color w:val="auto"/>
                      <w:sz w:val="21"/>
                      <w:szCs w:val="21"/>
                      <w:u w:val="single"/>
                      <w:lang w:val="en-US" w:eastAsia="zh-CN"/>
                    </w:rPr>
                    <w:t>选厂渣浆泵房用电由选厂供给，充填制备站相应设备的供电由配电室供给。</w:t>
                  </w:r>
                </w:p>
              </w:tc>
              <w:tc>
                <w:tcPr>
                  <w:tcW w:w="2335" w:type="dxa"/>
                  <w:tcBorders>
                    <w:tl2br w:val="nil"/>
                    <w:tr2bl w:val="nil"/>
                  </w:tcBorders>
                  <w:noWrap w:val="0"/>
                  <w:vAlign w:val="center"/>
                </w:tcPr>
                <w:p w14:paraId="402D63BF">
                  <w:pPr>
                    <w:jc w:val="center"/>
                    <w:rPr>
                      <w:rFonts w:hint="eastAsia"/>
                      <w:color w:val="auto"/>
                      <w:sz w:val="21"/>
                      <w:szCs w:val="21"/>
                      <w:u w:val="single"/>
                      <w:lang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51DE0164">
                  <w:pPr>
                    <w:jc w:val="center"/>
                    <w:rPr>
                      <w:rFonts w:hint="default"/>
                      <w:color w:val="auto"/>
                      <w:sz w:val="21"/>
                      <w:szCs w:val="21"/>
                      <w:u w:val="single"/>
                      <w:lang w:val="en-US" w:eastAsia="zh-CN"/>
                    </w:rPr>
                  </w:pPr>
                  <w:r>
                    <w:rPr>
                      <w:rFonts w:hint="default"/>
                      <w:color w:val="auto"/>
                      <w:sz w:val="21"/>
                      <w:szCs w:val="21"/>
                      <w:u w:val="single"/>
                      <w:lang w:val="en-US" w:eastAsia="zh-CN"/>
                    </w:rPr>
                    <w:t>依托原有</w:t>
                  </w:r>
                </w:p>
              </w:tc>
            </w:tr>
            <w:tr w14:paraId="0882F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97" w:type="dxa"/>
                  <w:vMerge w:val="continue"/>
                  <w:tcBorders>
                    <w:tl2br w:val="nil"/>
                    <w:tr2bl w:val="nil"/>
                  </w:tcBorders>
                  <w:noWrap w:val="0"/>
                  <w:vAlign w:val="center"/>
                </w:tcPr>
                <w:p w14:paraId="2ECAED17">
                  <w:pPr>
                    <w:jc w:val="center"/>
                    <w:rPr>
                      <w:color w:val="auto"/>
                      <w:sz w:val="21"/>
                      <w:szCs w:val="21"/>
                      <w:u w:val="single"/>
                    </w:rPr>
                  </w:pPr>
                </w:p>
              </w:tc>
              <w:tc>
                <w:tcPr>
                  <w:tcW w:w="1162" w:type="dxa"/>
                  <w:gridSpan w:val="2"/>
                  <w:tcBorders>
                    <w:tl2br w:val="nil"/>
                    <w:tr2bl w:val="nil"/>
                  </w:tcBorders>
                  <w:noWrap w:val="0"/>
                  <w:vAlign w:val="center"/>
                </w:tcPr>
                <w:p w14:paraId="3C7647A1">
                  <w:pPr>
                    <w:jc w:val="center"/>
                    <w:rPr>
                      <w:rFonts w:hint="eastAsia"/>
                      <w:color w:val="auto"/>
                      <w:sz w:val="21"/>
                      <w:szCs w:val="21"/>
                      <w:u w:val="single"/>
                    </w:rPr>
                  </w:pPr>
                  <w:r>
                    <w:rPr>
                      <w:color w:val="auto"/>
                      <w:sz w:val="21"/>
                      <w:szCs w:val="21"/>
                      <w:u w:val="single"/>
                    </w:rPr>
                    <w:t>排</w:t>
                  </w:r>
                  <w:r>
                    <w:rPr>
                      <w:rFonts w:hint="eastAsia"/>
                      <w:color w:val="auto"/>
                      <w:sz w:val="21"/>
                      <w:szCs w:val="21"/>
                      <w:u w:val="single"/>
                    </w:rPr>
                    <w:t>水</w:t>
                  </w:r>
                </w:p>
              </w:tc>
              <w:tc>
                <w:tcPr>
                  <w:tcW w:w="2090" w:type="dxa"/>
                  <w:tcBorders>
                    <w:tl2br w:val="nil"/>
                    <w:tr2bl w:val="nil"/>
                  </w:tcBorders>
                  <w:noWrap w:val="0"/>
                  <w:vAlign w:val="center"/>
                </w:tcPr>
                <w:p w14:paraId="6D62B7A8">
                  <w:pPr>
                    <w:rPr>
                      <w:rFonts w:hint="default" w:eastAsia="宋体"/>
                      <w:color w:val="auto"/>
                      <w:spacing w:val="-12"/>
                      <w:sz w:val="21"/>
                      <w:szCs w:val="21"/>
                      <w:u w:val="single"/>
                      <w:lang w:val="en-US" w:eastAsia="zh-CN"/>
                    </w:rPr>
                  </w:pPr>
                  <w:r>
                    <w:rPr>
                      <w:rFonts w:hint="eastAsia"/>
                      <w:color w:val="auto"/>
                      <w:spacing w:val="-12"/>
                      <w:sz w:val="21"/>
                      <w:szCs w:val="21"/>
                      <w:u w:val="single"/>
                      <w:lang w:val="en-US" w:eastAsia="zh-CN"/>
                    </w:rPr>
                    <w:t>浓密机溢流水经过溢流水池沉淀后通过回水管线输送至选厂回用，不外排；生活污水经化粪池处理后用于当地农田施肥。</w:t>
                  </w:r>
                </w:p>
              </w:tc>
              <w:tc>
                <w:tcPr>
                  <w:tcW w:w="2335" w:type="dxa"/>
                  <w:tcBorders>
                    <w:tl2br w:val="nil"/>
                    <w:tr2bl w:val="nil"/>
                  </w:tcBorders>
                  <w:noWrap w:val="0"/>
                  <w:vAlign w:val="center"/>
                </w:tcPr>
                <w:p w14:paraId="7DC6C4F9">
                  <w:pPr>
                    <w:jc w:val="center"/>
                    <w:rPr>
                      <w:rFonts w:hint="default" w:eastAsia="宋体"/>
                      <w:color w:val="auto"/>
                      <w:kern w:val="0"/>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7EC0E164">
                  <w:pPr>
                    <w:jc w:val="center"/>
                    <w:rPr>
                      <w:rFonts w:hint="eastAsia"/>
                      <w:color w:val="auto"/>
                      <w:kern w:val="0"/>
                      <w:sz w:val="21"/>
                      <w:szCs w:val="21"/>
                      <w:u w:val="single"/>
                      <w:lang w:val="en-US" w:eastAsia="zh-CN"/>
                    </w:rPr>
                  </w:pPr>
                  <w:r>
                    <w:rPr>
                      <w:rFonts w:hint="eastAsia"/>
                      <w:color w:val="auto"/>
                      <w:kern w:val="0"/>
                      <w:sz w:val="21"/>
                      <w:szCs w:val="21"/>
                      <w:u w:val="single"/>
                      <w:lang w:val="en-US" w:eastAsia="zh-CN"/>
                    </w:rPr>
                    <w:t>已建</w:t>
                  </w:r>
                </w:p>
              </w:tc>
            </w:tr>
            <w:tr w14:paraId="6E449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97" w:type="dxa"/>
                  <w:vMerge w:val="restart"/>
                  <w:tcBorders>
                    <w:tl2br w:val="nil"/>
                    <w:tr2bl w:val="nil"/>
                  </w:tcBorders>
                  <w:noWrap w:val="0"/>
                  <w:vAlign w:val="center"/>
                </w:tcPr>
                <w:p w14:paraId="3060E796">
                  <w:pPr>
                    <w:jc w:val="center"/>
                    <w:rPr>
                      <w:color w:val="auto"/>
                      <w:sz w:val="21"/>
                      <w:szCs w:val="21"/>
                      <w:u w:val="single"/>
                    </w:rPr>
                  </w:pPr>
                  <w:r>
                    <w:rPr>
                      <w:color w:val="auto"/>
                      <w:sz w:val="21"/>
                      <w:szCs w:val="21"/>
                      <w:u w:val="single"/>
                    </w:rPr>
                    <w:t>环保工程</w:t>
                  </w:r>
                </w:p>
              </w:tc>
              <w:tc>
                <w:tcPr>
                  <w:tcW w:w="1162" w:type="dxa"/>
                  <w:gridSpan w:val="2"/>
                  <w:tcBorders>
                    <w:tl2br w:val="nil"/>
                    <w:tr2bl w:val="nil"/>
                  </w:tcBorders>
                  <w:noWrap w:val="0"/>
                  <w:vAlign w:val="center"/>
                </w:tcPr>
                <w:p w14:paraId="0E446EE9">
                  <w:pPr>
                    <w:jc w:val="center"/>
                    <w:rPr>
                      <w:color w:val="auto"/>
                      <w:sz w:val="21"/>
                      <w:szCs w:val="21"/>
                      <w:u w:val="single"/>
                    </w:rPr>
                  </w:pPr>
                  <w:r>
                    <w:rPr>
                      <w:color w:val="auto"/>
                      <w:sz w:val="21"/>
                      <w:szCs w:val="21"/>
                      <w:u w:val="single"/>
                    </w:rPr>
                    <w:t>废气</w:t>
                  </w:r>
                </w:p>
              </w:tc>
              <w:tc>
                <w:tcPr>
                  <w:tcW w:w="2090" w:type="dxa"/>
                  <w:tcBorders>
                    <w:tl2br w:val="nil"/>
                    <w:tr2bl w:val="nil"/>
                  </w:tcBorders>
                  <w:noWrap w:val="0"/>
                  <w:vAlign w:val="center"/>
                </w:tcPr>
                <w:p w14:paraId="38D2FA01">
                  <w:pPr>
                    <w:keepNext w:val="0"/>
                    <w:keepLines w:val="0"/>
                    <w:widowControl/>
                    <w:suppressLineNumbers w:val="0"/>
                    <w:jc w:val="left"/>
                    <w:rPr>
                      <w:rFonts w:hint="default" w:eastAsia="宋体"/>
                      <w:color w:val="auto"/>
                      <w:sz w:val="21"/>
                      <w:szCs w:val="21"/>
                      <w:u w:val="single"/>
                      <w:lang w:val="en-US" w:eastAsia="zh-CN"/>
                    </w:rPr>
                  </w:pPr>
                  <w:r>
                    <w:rPr>
                      <w:rFonts w:hint="eastAsia"/>
                      <w:color w:val="auto"/>
                      <w:sz w:val="21"/>
                      <w:szCs w:val="21"/>
                      <w:u w:val="single"/>
                      <w:lang w:val="en-US" w:eastAsia="zh-CN"/>
                    </w:rPr>
                    <w:t>项目水泥采用密闭仓储，配备覆膜袋式除尘系统，搅拌作业均在密闭搅拌机内进行。</w:t>
                  </w:r>
                </w:p>
              </w:tc>
              <w:tc>
                <w:tcPr>
                  <w:tcW w:w="2335" w:type="dxa"/>
                  <w:tcBorders>
                    <w:tl2br w:val="nil"/>
                    <w:tr2bl w:val="nil"/>
                  </w:tcBorders>
                  <w:noWrap w:val="0"/>
                  <w:vAlign w:val="center"/>
                </w:tcPr>
                <w:p w14:paraId="35B42726">
                  <w:pPr>
                    <w:jc w:val="center"/>
                    <w:rPr>
                      <w:rFonts w:hint="default" w:eastAsia="宋体"/>
                      <w:color w:val="auto"/>
                      <w:sz w:val="21"/>
                      <w:szCs w:val="21"/>
                      <w:u w:val="single"/>
                      <w:lang w:val="en-US" w:eastAsia="zh-CN"/>
                    </w:rPr>
                  </w:pPr>
                  <w:r>
                    <w:rPr>
                      <w:rFonts w:hint="eastAsia"/>
                      <w:color w:val="auto"/>
                      <w:sz w:val="21"/>
                      <w:szCs w:val="21"/>
                      <w:u w:val="single"/>
                      <w:lang w:val="en-US" w:eastAsia="zh-CN"/>
                    </w:rPr>
                    <w:t>项目水泥采用密闭仓储，配备覆膜袋式除尘系统，搅拌作业因为过程全密闭，不产生粉尘，未设置除尘器</w:t>
                  </w:r>
                </w:p>
              </w:tc>
              <w:tc>
                <w:tcPr>
                  <w:tcW w:w="1977" w:type="dxa"/>
                  <w:tcBorders>
                    <w:tl2br w:val="nil"/>
                    <w:tr2bl w:val="nil"/>
                  </w:tcBorders>
                  <w:noWrap w:val="0"/>
                  <w:vAlign w:val="center"/>
                </w:tcPr>
                <w:p w14:paraId="0697215D">
                  <w:pPr>
                    <w:jc w:val="center"/>
                    <w:rPr>
                      <w:rFonts w:hint="default"/>
                      <w:color w:val="auto"/>
                      <w:sz w:val="21"/>
                      <w:szCs w:val="21"/>
                      <w:u w:val="single"/>
                      <w:lang w:val="en-US" w:eastAsia="zh-CN"/>
                    </w:rPr>
                  </w:pPr>
                  <w:r>
                    <w:rPr>
                      <w:rFonts w:hint="eastAsia"/>
                      <w:color w:val="auto"/>
                      <w:sz w:val="21"/>
                      <w:szCs w:val="21"/>
                      <w:u w:val="single"/>
                      <w:lang w:val="en-US" w:eastAsia="zh-CN"/>
                    </w:rPr>
                    <w:t>项目生产设备已建成，现场踏勘时发现搅拌工序中尾砂通过浓密机底部输送系统进入搅拌机内，水泥经密闭螺旋输送机输送至搅拌机内，搅拌机为全封闭设备，投料及搅拌过程均在密闭条件下进行，过程中不会产生粉尘</w:t>
                  </w:r>
                </w:p>
              </w:tc>
            </w:tr>
            <w:tr w14:paraId="62ADE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099F9494">
                  <w:pPr>
                    <w:jc w:val="center"/>
                    <w:rPr>
                      <w:color w:val="auto"/>
                      <w:sz w:val="21"/>
                      <w:szCs w:val="21"/>
                      <w:u w:val="single"/>
                    </w:rPr>
                  </w:pPr>
                </w:p>
              </w:tc>
              <w:tc>
                <w:tcPr>
                  <w:tcW w:w="1162" w:type="dxa"/>
                  <w:gridSpan w:val="2"/>
                  <w:vMerge w:val="restart"/>
                  <w:tcBorders>
                    <w:tl2br w:val="nil"/>
                    <w:tr2bl w:val="nil"/>
                  </w:tcBorders>
                  <w:noWrap w:val="0"/>
                  <w:vAlign w:val="center"/>
                </w:tcPr>
                <w:p w14:paraId="34DEE251">
                  <w:pPr>
                    <w:jc w:val="center"/>
                    <w:rPr>
                      <w:color w:val="auto"/>
                      <w:sz w:val="21"/>
                      <w:szCs w:val="21"/>
                      <w:u w:val="single"/>
                    </w:rPr>
                  </w:pPr>
                  <w:r>
                    <w:rPr>
                      <w:color w:val="auto"/>
                      <w:sz w:val="21"/>
                      <w:szCs w:val="21"/>
                      <w:u w:val="single"/>
                    </w:rPr>
                    <w:t>废水</w:t>
                  </w:r>
                </w:p>
              </w:tc>
              <w:tc>
                <w:tcPr>
                  <w:tcW w:w="2090" w:type="dxa"/>
                  <w:tcBorders>
                    <w:tl2br w:val="nil"/>
                    <w:tr2bl w:val="nil"/>
                  </w:tcBorders>
                  <w:noWrap w:val="0"/>
                  <w:vAlign w:val="center"/>
                </w:tcPr>
                <w:p w14:paraId="753898F9">
                  <w:pPr>
                    <w:keepNext w:val="0"/>
                    <w:keepLines w:val="0"/>
                    <w:widowControl/>
                    <w:suppressLineNumbers w:val="0"/>
                    <w:jc w:val="left"/>
                    <w:rPr>
                      <w:rFonts w:hint="eastAsia"/>
                      <w:color w:val="auto"/>
                      <w:sz w:val="21"/>
                      <w:szCs w:val="21"/>
                      <w:u w:val="single"/>
                    </w:rPr>
                  </w:pPr>
                  <w:r>
                    <w:rPr>
                      <w:rFonts w:hint="eastAsia"/>
                      <w:color w:val="auto"/>
                      <w:spacing w:val="-12"/>
                      <w:sz w:val="21"/>
                      <w:szCs w:val="21"/>
                      <w:u w:val="single"/>
                      <w:lang w:val="en-US" w:eastAsia="zh-CN"/>
                    </w:rPr>
                    <w:t>生活污水经新设置的化粪池处理后用于当地农田施肥。</w:t>
                  </w:r>
                </w:p>
              </w:tc>
              <w:tc>
                <w:tcPr>
                  <w:tcW w:w="2335" w:type="dxa"/>
                  <w:tcBorders>
                    <w:tl2br w:val="nil"/>
                    <w:tr2bl w:val="nil"/>
                  </w:tcBorders>
                  <w:noWrap w:val="0"/>
                  <w:vAlign w:val="center"/>
                </w:tcPr>
                <w:p w14:paraId="1BBA3C2D">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0749DC71">
                  <w:pPr>
                    <w:jc w:val="center"/>
                    <w:rPr>
                      <w:rFonts w:hint="default"/>
                      <w:color w:val="auto"/>
                      <w:sz w:val="21"/>
                      <w:szCs w:val="21"/>
                      <w:u w:val="single"/>
                      <w:lang w:val="en-US" w:eastAsia="zh-CN"/>
                    </w:rPr>
                  </w:pPr>
                  <w:r>
                    <w:rPr>
                      <w:rFonts w:hint="eastAsia"/>
                      <w:color w:val="auto"/>
                      <w:kern w:val="0"/>
                      <w:sz w:val="21"/>
                      <w:szCs w:val="21"/>
                      <w:u w:val="single"/>
                      <w:lang w:val="en-US" w:eastAsia="zh-CN"/>
                    </w:rPr>
                    <w:t>已建</w:t>
                  </w:r>
                </w:p>
              </w:tc>
            </w:tr>
            <w:tr w14:paraId="0BF57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697" w:type="dxa"/>
                  <w:vMerge w:val="continue"/>
                  <w:tcBorders>
                    <w:tl2br w:val="nil"/>
                    <w:tr2bl w:val="nil"/>
                  </w:tcBorders>
                  <w:noWrap w:val="0"/>
                  <w:vAlign w:val="center"/>
                </w:tcPr>
                <w:p w14:paraId="653C5B45">
                  <w:pPr>
                    <w:jc w:val="center"/>
                    <w:rPr>
                      <w:color w:val="auto"/>
                      <w:sz w:val="21"/>
                      <w:szCs w:val="21"/>
                      <w:u w:val="single"/>
                    </w:rPr>
                  </w:pPr>
                </w:p>
              </w:tc>
              <w:tc>
                <w:tcPr>
                  <w:tcW w:w="1162" w:type="dxa"/>
                  <w:gridSpan w:val="2"/>
                  <w:vMerge w:val="continue"/>
                  <w:tcBorders>
                    <w:tl2br w:val="nil"/>
                    <w:tr2bl w:val="nil"/>
                  </w:tcBorders>
                  <w:noWrap w:val="0"/>
                  <w:vAlign w:val="center"/>
                </w:tcPr>
                <w:p w14:paraId="67A7F1B8">
                  <w:pPr>
                    <w:jc w:val="center"/>
                    <w:rPr>
                      <w:color w:val="auto"/>
                      <w:sz w:val="21"/>
                      <w:szCs w:val="21"/>
                      <w:u w:val="single"/>
                    </w:rPr>
                  </w:pPr>
                </w:p>
              </w:tc>
              <w:tc>
                <w:tcPr>
                  <w:tcW w:w="2090" w:type="dxa"/>
                  <w:tcBorders>
                    <w:tl2br w:val="nil"/>
                    <w:tr2bl w:val="nil"/>
                  </w:tcBorders>
                  <w:noWrap w:val="0"/>
                  <w:vAlign w:val="center"/>
                </w:tcPr>
                <w:p w14:paraId="5B8342E4">
                  <w:pPr>
                    <w:keepNext w:val="0"/>
                    <w:keepLines w:val="0"/>
                    <w:widowControl/>
                    <w:suppressLineNumbers w:val="0"/>
                    <w:jc w:val="left"/>
                    <w:rPr>
                      <w:rFonts w:hint="eastAsia"/>
                      <w:color w:val="auto"/>
                      <w:spacing w:val="-12"/>
                      <w:sz w:val="21"/>
                      <w:szCs w:val="21"/>
                      <w:u w:val="single"/>
                      <w:lang w:val="en-US" w:eastAsia="zh-CN"/>
                    </w:rPr>
                  </w:pPr>
                  <w:r>
                    <w:rPr>
                      <w:rFonts w:hint="eastAsia"/>
                      <w:color w:val="auto"/>
                      <w:spacing w:val="-12"/>
                      <w:sz w:val="21"/>
                      <w:szCs w:val="21"/>
                      <w:u w:val="single"/>
                      <w:lang w:val="en-US" w:eastAsia="zh-CN"/>
                    </w:rPr>
                    <w:t>浓密机溢流水经过溢流水池沉淀后通过回水管线输送至选厂回用，不外排。</w:t>
                  </w:r>
                </w:p>
              </w:tc>
              <w:tc>
                <w:tcPr>
                  <w:tcW w:w="2335" w:type="dxa"/>
                  <w:tcBorders>
                    <w:tl2br w:val="nil"/>
                    <w:tr2bl w:val="nil"/>
                  </w:tcBorders>
                  <w:noWrap w:val="0"/>
                  <w:vAlign w:val="center"/>
                </w:tcPr>
                <w:p w14:paraId="5307626A">
                  <w:pPr>
                    <w:jc w:val="center"/>
                    <w:rPr>
                      <w:rFonts w:hint="eastAsia"/>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6F8CBE4C">
                  <w:pPr>
                    <w:jc w:val="center"/>
                    <w:rPr>
                      <w:rFonts w:hint="eastAsia"/>
                      <w:color w:val="auto"/>
                      <w:sz w:val="21"/>
                      <w:szCs w:val="21"/>
                      <w:u w:val="single"/>
                      <w:lang w:val="en-US" w:eastAsia="zh-CN"/>
                    </w:rPr>
                  </w:pPr>
                  <w:r>
                    <w:rPr>
                      <w:rFonts w:hint="eastAsia"/>
                      <w:color w:val="auto"/>
                      <w:kern w:val="0"/>
                      <w:sz w:val="21"/>
                      <w:szCs w:val="21"/>
                      <w:u w:val="single"/>
                      <w:lang w:val="en-US" w:eastAsia="zh-CN"/>
                    </w:rPr>
                    <w:t>已建</w:t>
                  </w:r>
                </w:p>
              </w:tc>
            </w:tr>
            <w:tr w14:paraId="58CE2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50FE5007">
                  <w:pPr>
                    <w:jc w:val="center"/>
                    <w:rPr>
                      <w:color w:val="auto"/>
                      <w:sz w:val="21"/>
                      <w:szCs w:val="21"/>
                      <w:u w:val="single"/>
                    </w:rPr>
                  </w:pPr>
                </w:p>
              </w:tc>
              <w:tc>
                <w:tcPr>
                  <w:tcW w:w="1162" w:type="dxa"/>
                  <w:gridSpan w:val="2"/>
                  <w:vMerge w:val="continue"/>
                  <w:tcBorders>
                    <w:tl2br w:val="nil"/>
                    <w:tr2bl w:val="nil"/>
                  </w:tcBorders>
                  <w:noWrap w:val="0"/>
                  <w:vAlign w:val="center"/>
                </w:tcPr>
                <w:p w14:paraId="02969B85">
                  <w:pPr>
                    <w:jc w:val="center"/>
                    <w:rPr>
                      <w:color w:val="auto"/>
                      <w:sz w:val="21"/>
                      <w:szCs w:val="21"/>
                      <w:u w:val="single"/>
                    </w:rPr>
                  </w:pPr>
                </w:p>
              </w:tc>
              <w:tc>
                <w:tcPr>
                  <w:tcW w:w="2090" w:type="dxa"/>
                  <w:tcBorders>
                    <w:tl2br w:val="nil"/>
                    <w:tr2bl w:val="nil"/>
                  </w:tcBorders>
                  <w:noWrap w:val="0"/>
                  <w:vAlign w:val="center"/>
                </w:tcPr>
                <w:p w14:paraId="403738CB">
                  <w:pPr>
                    <w:keepNext w:val="0"/>
                    <w:keepLines w:val="0"/>
                    <w:widowControl/>
                    <w:suppressLineNumbers w:val="0"/>
                    <w:jc w:val="left"/>
                    <w:rPr>
                      <w:rFonts w:hint="default"/>
                      <w:color w:val="auto"/>
                      <w:spacing w:val="-12"/>
                      <w:sz w:val="21"/>
                      <w:szCs w:val="21"/>
                      <w:u w:val="single"/>
                      <w:lang w:val="en-US" w:eastAsia="zh-CN"/>
                    </w:rPr>
                  </w:pPr>
                  <w:r>
                    <w:rPr>
                      <w:rFonts w:hint="eastAsia"/>
                      <w:color w:val="auto"/>
                      <w:u w:val="single"/>
                      <w:lang w:eastAsia="zh-CN"/>
                    </w:rPr>
                    <w:t>管线冲洗水进入矿井，依托井下收水系统，收集后</w:t>
                  </w:r>
                  <w:r>
                    <w:rPr>
                      <w:rFonts w:hint="eastAsia"/>
                      <w:color w:val="auto"/>
                      <w:spacing w:val="-12"/>
                      <w:sz w:val="21"/>
                      <w:szCs w:val="21"/>
                      <w:u w:val="single"/>
                      <w:lang w:val="en-US" w:eastAsia="zh-CN"/>
                    </w:rPr>
                    <w:t>送至选厂回用于生产，不外排。</w:t>
                  </w:r>
                </w:p>
              </w:tc>
              <w:tc>
                <w:tcPr>
                  <w:tcW w:w="2335" w:type="dxa"/>
                  <w:tcBorders>
                    <w:tl2br w:val="nil"/>
                    <w:tr2bl w:val="nil"/>
                  </w:tcBorders>
                  <w:noWrap w:val="0"/>
                  <w:vAlign w:val="center"/>
                </w:tcPr>
                <w:p w14:paraId="1291D685">
                  <w:pPr>
                    <w:jc w:val="center"/>
                    <w:rPr>
                      <w:rFonts w:hint="eastAsia"/>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2A6C162B">
                  <w:pPr>
                    <w:jc w:val="center"/>
                    <w:rPr>
                      <w:rFonts w:hint="eastAsia"/>
                      <w:color w:val="auto"/>
                      <w:sz w:val="21"/>
                      <w:szCs w:val="21"/>
                      <w:u w:val="single"/>
                      <w:lang w:val="en-US" w:eastAsia="zh-CN"/>
                    </w:rPr>
                  </w:pPr>
                  <w:r>
                    <w:rPr>
                      <w:rFonts w:hint="default"/>
                      <w:color w:val="auto"/>
                      <w:sz w:val="21"/>
                      <w:szCs w:val="21"/>
                      <w:u w:val="single"/>
                      <w:lang w:val="en-US" w:eastAsia="zh-CN"/>
                    </w:rPr>
                    <w:t>依托原有</w:t>
                  </w:r>
                </w:p>
              </w:tc>
            </w:tr>
            <w:tr w14:paraId="03EAE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697" w:type="dxa"/>
                  <w:vMerge w:val="continue"/>
                  <w:tcBorders>
                    <w:tl2br w:val="nil"/>
                    <w:tr2bl w:val="nil"/>
                  </w:tcBorders>
                  <w:noWrap w:val="0"/>
                  <w:vAlign w:val="center"/>
                </w:tcPr>
                <w:p w14:paraId="4E6B8B67">
                  <w:pPr>
                    <w:jc w:val="center"/>
                    <w:rPr>
                      <w:color w:val="auto"/>
                      <w:sz w:val="21"/>
                      <w:szCs w:val="21"/>
                      <w:u w:val="single"/>
                    </w:rPr>
                  </w:pPr>
                </w:p>
              </w:tc>
              <w:tc>
                <w:tcPr>
                  <w:tcW w:w="1162" w:type="dxa"/>
                  <w:gridSpan w:val="2"/>
                  <w:vMerge w:val="continue"/>
                  <w:tcBorders>
                    <w:tl2br w:val="nil"/>
                    <w:tr2bl w:val="nil"/>
                  </w:tcBorders>
                  <w:noWrap w:val="0"/>
                  <w:vAlign w:val="center"/>
                </w:tcPr>
                <w:p w14:paraId="35C84AD4">
                  <w:pPr>
                    <w:jc w:val="center"/>
                    <w:rPr>
                      <w:color w:val="auto"/>
                      <w:sz w:val="21"/>
                      <w:szCs w:val="21"/>
                      <w:u w:val="single"/>
                    </w:rPr>
                  </w:pPr>
                </w:p>
              </w:tc>
              <w:tc>
                <w:tcPr>
                  <w:tcW w:w="2090" w:type="dxa"/>
                  <w:tcBorders>
                    <w:tl2br w:val="nil"/>
                    <w:tr2bl w:val="nil"/>
                  </w:tcBorders>
                  <w:noWrap w:val="0"/>
                  <w:vAlign w:val="center"/>
                </w:tcPr>
                <w:p w14:paraId="2DD8F17A">
                  <w:pPr>
                    <w:keepNext w:val="0"/>
                    <w:keepLines w:val="0"/>
                    <w:widowControl/>
                    <w:suppressLineNumbers w:val="0"/>
                    <w:jc w:val="left"/>
                    <w:rPr>
                      <w:rFonts w:hint="eastAsia" w:eastAsia="宋体"/>
                      <w:color w:val="auto"/>
                      <w:spacing w:val="-12"/>
                      <w:sz w:val="21"/>
                      <w:szCs w:val="21"/>
                      <w:u w:val="single"/>
                      <w:lang w:val="en-US" w:eastAsia="zh-CN"/>
                    </w:rPr>
                  </w:pPr>
                  <w:r>
                    <w:rPr>
                      <w:rFonts w:hint="eastAsia"/>
                      <w:color w:val="auto"/>
                      <w:u w:val="single"/>
                      <w:lang w:val="en-US" w:eastAsia="zh-CN"/>
                    </w:rPr>
                    <w:t>5</w:t>
                  </w:r>
                  <w:r>
                    <w:rPr>
                      <w:rFonts w:hint="eastAsia"/>
                      <w:color w:val="auto"/>
                      <w:u w:val="single"/>
                    </w:rPr>
                    <w:t>0m</w:t>
                  </w:r>
                  <w:r>
                    <w:rPr>
                      <w:rFonts w:hint="eastAsia"/>
                      <w:color w:val="auto"/>
                      <w:u w:val="single"/>
                      <w:vertAlign w:val="superscript"/>
                    </w:rPr>
                    <w:t>3</w:t>
                  </w:r>
                  <w:r>
                    <w:rPr>
                      <w:rFonts w:hint="eastAsia"/>
                      <w:color w:val="auto"/>
                      <w:u w:val="single"/>
                    </w:rPr>
                    <w:t>事故池，主要用来收集事故状态下搅拌桶里的料浆</w:t>
                  </w:r>
                  <w:r>
                    <w:rPr>
                      <w:rFonts w:hint="eastAsia"/>
                      <w:color w:val="auto"/>
                      <w:u w:val="single"/>
                      <w:lang w:eastAsia="zh-CN"/>
                    </w:rPr>
                    <w:t>。</w:t>
                  </w:r>
                </w:p>
              </w:tc>
              <w:tc>
                <w:tcPr>
                  <w:tcW w:w="2335" w:type="dxa"/>
                  <w:tcBorders>
                    <w:tl2br w:val="nil"/>
                    <w:tr2bl w:val="nil"/>
                  </w:tcBorders>
                  <w:noWrap w:val="0"/>
                  <w:vAlign w:val="center"/>
                </w:tcPr>
                <w:p w14:paraId="6BF69D55">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123E7A41">
                  <w:pPr>
                    <w:jc w:val="center"/>
                    <w:rPr>
                      <w:rFonts w:hint="default"/>
                      <w:color w:val="auto"/>
                      <w:sz w:val="21"/>
                      <w:szCs w:val="21"/>
                      <w:u w:val="single"/>
                      <w:lang w:val="en-US" w:eastAsia="zh-CN"/>
                    </w:rPr>
                  </w:pPr>
                  <w:r>
                    <w:rPr>
                      <w:rFonts w:hint="eastAsia"/>
                      <w:color w:val="auto"/>
                      <w:sz w:val="21"/>
                      <w:szCs w:val="21"/>
                      <w:u w:val="single"/>
                      <w:lang w:val="en-US" w:eastAsia="zh-CN"/>
                    </w:rPr>
                    <w:t>事故池设置有事故泵，重新报批后事故池能收集搅拌桶30min的废浆量，发生事故排放时启动事故泵将废浆泵至矿浆池内，能满足应急要求</w:t>
                  </w:r>
                </w:p>
              </w:tc>
            </w:tr>
            <w:tr w14:paraId="3CCD1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62C21559">
                  <w:pPr>
                    <w:jc w:val="center"/>
                    <w:rPr>
                      <w:color w:val="auto"/>
                      <w:sz w:val="21"/>
                      <w:szCs w:val="21"/>
                      <w:u w:val="single"/>
                    </w:rPr>
                  </w:pPr>
                </w:p>
              </w:tc>
              <w:tc>
                <w:tcPr>
                  <w:tcW w:w="1162" w:type="dxa"/>
                  <w:gridSpan w:val="2"/>
                  <w:tcBorders>
                    <w:tl2br w:val="nil"/>
                    <w:tr2bl w:val="nil"/>
                  </w:tcBorders>
                  <w:noWrap w:val="0"/>
                  <w:vAlign w:val="center"/>
                </w:tcPr>
                <w:p w14:paraId="61E8586E">
                  <w:pPr>
                    <w:jc w:val="center"/>
                    <w:rPr>
                      <w:color w:val="auto"/>
                      <w:sz w:val="21"/>
                      <w:szCs w:val="21"/>
                      <w:u w:val="single"/>
                    </w:rPr>
                  </w:pPr>
                  <w:r>
                    <w:rPr>
                      <w:color w:val="auto"/>
                      <w:sz w:val="21"/>
                      <w:szCs w:val="21"/>
                      <w:u w:val="single"/>
                    </w:rPr>
                    <w:t>噪声</w:t>
                  </w:r>
                </w:p>
              </w:tc>
              <w:tc>
                <w:tcPr>
                  <w:tcW w:w="2090" w:type="dxa"/>
                  <w:tcBorders>
                    <w:tl2br w:val="nil"/>
                    <w:tr2bl w:val="nil"/>
                  </w:tcBorders>
                  <w:noWrap w:val="0"/>
                  <w:vAlign w:val="center"/>
                </w:tcPr>
                <w:p w14:paraId="5217D686">
                  <w:pPr>
                    <w:rPr>
                      <w:rFonts w:hint="eastAsia" w:eastAsia="宋体"/>
                      <w:color w:val="auto"/>
                      <w:sz w:val="21"/>
                      <w:szCs w:val="21"/>
                      <w:u w:val="single"/>
                      <w:lang w:val="en-US" w:eastAsia="zh-CN"/>
                    </w:rPr>
                  </w:pPr>
                  <w:r>
                    <w:rPr>
                      <w:rFonts w:hint="eastAsia"/>
                      <w:color w:val="auto"/>
                      <w:sz w:val="21"/>
                      <w:szCs w:val="21"/>
                      <w:u w:val="single"/>
                      <w:lang w:val="en-US" w:eastAsia="zh-CN"/>
                    </w:rPr>
                    <w:t>采用低噪声设备，</w:t>
                  </w:r>
                  <w:r>
                    <w:rPr>
                      <w:color w:val="auto"/>
                      <w:sz w:val="21"/>
                      <w:szCs w:val="21"/>
                      <w:u w:val="single"/>
                    </w:rPr>
                    <w:t>安装减震、</w:t>
                  </w:r>
                  <w:r>
                    <w:rPr>
                      <w:rFonts w:hint="eastAsia"/>
                      <w:color w:val="auto"/>
                      <w:sz w:val="21"/>
                      <w:szCs w:val="21"/>
                      <w:u w:val="single"/>
                    </w:rPr>
                    <w:t>隔声、</w:t>
                  </w:r>
                  <w:r>
                    <w:rPr>
                      <w:color w:val="auto"/>
                      <w:sz w:val="21"/>
                      <w:szCs w:val="21"/>
                      <w:u w:val="single"/>
                    </w:rPr>
                    <w:t>降噪</w:t>
                  </w:r>
                  <w:r>
                    <w:rPr>
                      <w:rFonts w:hint="eastAsia"/>
                      <w:color w:val="auto"/>
                      <w:sz w:val="21"/>
                      <w:szCs w:val="21"/>
                      <w:u w:val="single"/>
                      <w:lang w:val="en-US" w:eastAsia="zh-CN"/>
                    </w:rPr>
                    <w:t>措施。</w:t>
                  </w:r>
                </w:p>
              </w:tc>
              <w:tc>
                <w:tcPr>
                  <w:tcW w:w="2335" w:type="dxa"/>
                  <w:tcBorders>
                    <w:tl2br w:val="nil"/>
                    <w:tr2bl w:val="nil"/>
                  </w:tcBorders>
                  <w:noWrap w:val="0"/>
                  <w:vAlign w:val="center"/>
                </w:tcPr>
                <w:p w14:paraId="31358540">
                  <w:pPr>
                    <w:jc w:val="center"/>
                    <w:rPr>
                      <w:rFonts w:hint="default" w:eastAsia="宋体"/>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30F67700">
                  <w:pPr>
                    <w:jc w:val="center"/>
                    <w:rPr>
                      <w:rFonts w:hint="eastAsia"/>
                      <w:color w:val="auto"/>
                      <w:sz w:val="21"/>
                      <w:szCs w:val="21"/>
                      <w:u w:val="single"/>
                      <w:lang w:val="en-US" w:eastAsia="zh-CN"/>
                    </w:rPr>
                  </w:pPr>
                  <w:r>
                    <w:rPr>
                      <w:rFonts w:hint="eastAsia"/>
                      <w:color w:val="auto"/>
                      <w:kern w:val="0"/>
                      <w:sz w:val="21"/>
                      <w:szCs w:val="21"/>
                      <w:u w:val="single"/>
                      <w:lang w:val="en-US" w:eastAsia="zh-CN"/>
                    </w:rPr>
                    <w:t>已建</w:t>
                  </w:r>
                </w:p>
              </w:tc>
            </w:tr>
            <w:tr w14:paraId="0ED4C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7" w:type="dxa"/>
                  <w:vMerge w:val="continue"/>
                  <w:tcBorders>
                    <w:tl2br w:val="nil"/>
                    <w:tr2bl w:val="nil"/>
                  </w:tcBorders>
                  <w:noWrap w:val="0"/>
                  <w:vAlign w:val="center"/>
                </w:tcPr>
                <w:p w14:paraId="01BC65CB">
                  <w:pPr>
                    <w:jc w:val="center"/>
                    <w:rPr>
                      <w:color w:val="auto"/>
                      <w:sz w:val="21"/>
                      <w:szCs w:val="21"/>
                      <w:u w:val="single"/>
                    </w:rPr>
                  </w:pPr>
                </w:p>
              </w:tc>
              <w:tc>
                <w:tcPr>
                  <w:tcW w:w="1162" w:type="dxa"/>
                  <w:gridSpan w:val="2"/>
                  <w:tcBorders>
                    <w:tl2br w:val="nil"/>
                    <w:tr2bl w:val="nil"/>
                  </w:tcBorders>
                  <w:noWrap w:val="0"/>
                  <w:vAlign w:val="center"/>
                </w:tcPr>
                <w:p w14:paraId="492141F6">
                  <w:pPr>
                    <w:jc w:val="center"/>
                    <w:rPr>
                      <w:rFonts w:hint="default"/>
                      <w:color w:val="auto"/>
                      <w:sz w:val="21"/>
                      <w:szCs w:val="21"/>
                      <w:u w:val="single"/>
                      <w:lang w:val="en-US" w:eastAsia="zh-CN"/>
                    </w:rPr>
                  </w:pPr>
                  <w:r>
                    <w:rPr>
                      <w:rFonts w:hint="eastAsia"/>
                      <w:color w:val="auto"/>
                      <w:sz w:val="21"/>
                      <w:szCs w:val="21"/>
                      <w:u w:val="single"/>
                      <w:lang w:val="en-US" w:eastAsia="zh-CN"/>
                    </w:rPr>
                    <w:t>固体废物</w:t>
                  </w:r>
                </w:p>
              </w:tc>
              <w:tc>
                <w:tcPr>
                  <w:tcW w:w="2090" w:type="dxa"/>
                  <w:tcBorders>
                    <w:tl2br w:val="nil"/>
                    <w:tr2bl w:val="nil"/>
                  </w:tcBorders>
                  <w:noWrap w:val="0"/>
                  <w:vAlign w:val="center"/>
                </w:tcPr>
                <w:p w14:paraId="0C19C53B">
                  <w:pPr>
                    <w:keepNext w:val="0"/>
                    <w:keepLines w:val="0"/>
                    <w:widowControl/>
                    <w:suppressLineNumbers w:val="0"/>
                    <w:jc w:val="left"/>
                    <w:rPr>
                      <w:rFonts w:hint="default" w:ascii="宋体" w:hAnsi="宋体" w:cs="宋体"/>
                      <w:color w:val="auto"/>
                      <w:kern w:val="0"/>
                      <w:sz w:val="21"/>
                      <w:szCs w:val="21"/>
                      <w:u w:val="single"/>
                      <w:lang w:val="en-US" w:eastAsia="zh-CN" w:bidi="ar"/>
                    </w:rPr>
                  </w:pPr>
                  <w:r>
                    <w:rPr>
                      <w:rFonts w:hint="eastAsia"/>
                      <w:color w:val="auto"/>
                      <w:sz w:val="21"/>
                      <w:szCs w:val="21"/>
                      <w:u w:val="single"/>
                      <w:lang w:val="en-US" w:eastAsia="zh-CN"/>
                    </w:rPr>
                    <w:t>生活垃圾</w:t>
                  </w:r>
                  <w:r>
                    <w:rPr>
                      <w:rFonts w:hint="eastAsia" w:ascii="宋体" w:hAnsi="宋体" w:cs="宋体"/>
                      <w:color w:val="auto"/>
                      <w:kern w:val="0"/>
                      <w:sz w:val="21"/>
                      <w:szCs w:val="21"/>
                      <w:u w:val="single"/>
                      <w:lang w:val="en-US" w:eastAsia="zh-CN" w:bidi="ar"/>
                    </w:rPr>
                    <w:t>垃设置圾桶分类收集，定期清运。</w:t>
                  </w:r>
                </w:p>
              </w:tc>
              <w:tc>
                <w:tcPr>
                  <w:tcW w:w="2335" w:type="dxa"/>
                  <w:tcBorders>
                    <w:tl2br w:val="nil"/>
                    <w:tr2bl w:val="nil"/>
                  </w:tcBorders>
                  <w:noWrap w:val="0"/>
                  <w:vAlign w:val="center"/>
                </w:tcPr>
                <w:p w14:paraId="31EB5CC4">
                  <w:pPr>
                    <w:jc w:val="center"/>
                    <w:rPr>
                      <w:rFonts w:hint="default"/>
                      <w:color w:val="auto"/>
                      <w:sz w:val="21"/>
                      <w:szCs w:val="21"/>
                      <w:u w:val="single"/>
                      <w:lang w:val="en-US" w:eastAsia="zh-CN"/>
                    </w:rPr>
                  </w:pPr>
                  <w:r>
                    <w:rPr>
                      <w:rFonts w:hint="eastAsia" w:ascii="Times New Roman" w:hAnsi="Times New Roman" w:eastAsia="宋体" w:cs="Times New Roman"/>
                      <w:color w:val="auto"/>
                      <w:szCs w:val="21"/>
                      <w:u w:val="single"/>
                      <w:lang w:eastAsia="zh-CN"/>
                    </w:rPr>
                    <w:t>与原环评审批情况保持一致</w:t>
                  </w:r>
                </w:p>
              </w:tc>
              <w:tc>
                <w:tcPr>
                  <w:tcW w:w="1977" w:type="dxa"/>
                  <w:tcBorders>
                    <w:tl2br w:val="nil"/>
                    <w:tr2bl w:val="nil"/>
                  </w:tcBorders>
                  <w:noWrap w:val="0"/>
                  <w:vAlign w:val="center"/>
                </w:tcPr>
                <w:p w14:paraId="28EA2676">
                  <w:pPr>
                    <w:jc w:val="center"/>
                    <w:rPr>
                      <w:rFonts w:hint="eastAsia"/>
                      <w:color w:val="auto"/>
                      <w:sz w:val="21"/>
                      <w:szCs w:val="21"/>
                      <w:u w:val="single"/>
                      <w:lang w:val="en-US" w:eastAsia="zh-CN"/>
                    </w:rPr>
                  </w:pPr>
                  <w:r>
                    <w:rPr>
                      <w:rFonts w:hint="eastAsia"/>
                      <w:color w:val="auto"/>
                      <w:kern w:val="0"/>
                      <w:sz w:val="21"/>
                      <w:szCs w:val="21"/>
                      <w:u w:val="single"/>
                      <w:lang w:val="en-US" w:eastAsia="zh-CN"/>
                    </w:rPr>
                    <w:t>已建</w:t>
                  </w:r>
                </w:p>
              </w:tc>
            </w:tr>
          </w:tbl>
          <w:p w14:paraId="18A4CD52">
            <w:pPr>
              <w:spacing w:before="120" w:beforeLines="50" w:line="360" w:lineRule="auto"/>
              <w:rPr>
                <w:rFonts w:hint="eastAsia"/>
                <w:b/>
                <w:sz w:val="24"/>
                <w:lang w:val="en-US" w:eastAsia="zh-CN"/>
              </w:rPr>
            </w:pPr>
            <w:r>
              <w:rPr>
                <w:rFonts w:hint="eastAsia"/>
                <w:b/>
                <w:sz w:val="24"/>
                <w:lang w:val="en-US" w:eastAsia="zh-CN"/>
              </w:rPr>
              <w:t>2</w:t>
            </w:r>
            <w:r>
              <w:rPr>
                <w:b/>
                <w:sz w:val="24"/>
              </w:rPr>
              <w:t>.</w:t>
            </w:r>
            <w:r>
              <w:rPr>
                <w:rFonts w:hint="eastAsia"/>
                <w:b/>
                <w:sz w:val="24"/>
                <w:lang w:val="en-US" w:eastAsia="zh-CN"/>
              </w:rPr>
              <w:t>2主要设备</w:t>
            </w:r>
          </w:p>
          <w:p w14:paraId="6B75DA2B">
            <w:pPr>
              <w:pStyle w:val="119"/>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Chars="0"/>
              <w:jc w:val="center"/>
              <w:textAlignment w:val="auto"/>
              <w:rPr>
                <w:rFonts w:hint="eastAsia"/>
                <w:color w:val="auto"/>
                <w:kern w:val="0"/>
                <w:u w:val="single"/>
                <w:lang w:eastAsia="zh-CN"/>
              </w:rPr>
            </w:pPr>
            <w:r>
              <w:rPr>
                <w:rFonts w:hint="eastAsia"/>
                <w:color w:val="auto"/>
                <w:kern w:val="0"/>
                <w:u w:val="single"/>
                <w:lang w:eastAsia="zh-CN"/>
              </w:rPr>
              <w:t>表</w:t>
            </w:r>
            <w:r>
              <w:rPr>
                <w:rFonts w:hint="eastAsia"/>
                <w:color w:val="auto"/>
                <w:kern w:val="0"/>
                <w:u w:val="single"/>
                <w:lang w:val="en-US" w:eastAsia="zh-CN"/>
              </w:rPr>
              <w:t>2-4</w:t>
            </w:r>
            <w:r>
              <w:rPr>
                <w:rFonts w:hint="eastAsia"/>
                <w:color w:val="auto"/>
                <w:kern w:val="0"/>
                <w:u w:val="single"/>
                <w:lang w:eastAsia="zh-CN"/>
              </w:rPr>
              <w:t xml:space="preserve">   主要生产设备一览表</w:t>
            </w:r>
          </w:p>
          <w:tbl>
            <w:tblPr>
              <w:tblStyle w:val="134"/>
              <w:tblpPr w:leftFromText="180" w:rightFromText="180" w:vertAnchor="text" w:horzAnchor="page" w:tblpX="86" w:tblpY="282"/>
              <w:tblOverlap w:val="never"/>
              <w:tblW w:w="8346" w:type="dxa"/>
              <w:tblInd w:w="-1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880"/>
              <w:gridCol w:w="1383"/>
              <w:gridCol w:w="2097"/>
              <w:gridCol w:w="2364"/>
              <w:gridCol w:w="1622"/>
            </w:tblGrid>
            <w:tr w14:paraId="25E90D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880" w:type="dxa"/>
                  <w:tcBorders>
                    <w:tl2br w:val="nil"/>
                    <w:tr2bl w:val="nil"/>
                  </w:tcBorders>
                  <w:noWrap w:val="0"/>
                  <w:vAlign w:val="center"/>
                </w:tcPr>
                <w:p w14:paraId="10D45F80">
                  <w:pPr>
                    <w:jc w:val="center"/>
                    <w:rPr>
                      <w:rFonts w:hint="default"/>
                      <w:color w:val="auto"/>
                      <w:sz w:val="21"/>
                      <w:szCs w:val="21"/>
                      <w:u w:val="single"/>
                      <w:lang w:val="en-US" w:eastAsia="zh-CN"/>
                    </w:rPr>
                  </w:pPr>
                  <w:r>
                    <w:rPr>
                      <w:rFonts w:hint="eastAsia"/>
                      <w:color w:val="auto"/>
                      <w:sz w:val="21"/>
                      <w:szCs w:val="21"/>
                      <w:u w:val="single"/>
                      <w:lang w:val="en-US" w:eastAsia="zh-CN"/>
                    </w:rPr>
                    <w:t>生产系统</w:t>
                  </w:r>
                </w:p>
              </w:tc>
              <w:tc>
                <w:tcPr>
                  <w:tcW w:w="1383" w:type="dxa"/>
                  <w:tcBorders>
                    <w:tl2br w:val="nil"/>
                    <w:tr2bl w:val="nil"/>
                  </w:tcBorders>
                  <w:noWrap w:val="0"/>
                  <w:vAlign w:val="center"/>
                </w:tcPr>
                <w:p w14:paraId="58168862">
                  <w:pPr>
                    <w:jc w:val="center"/>
                    <w:rPr>
                      <w:rFonts w:hint="eastAsia"/>
                      <w:color w:val="auto"/>
                      <w:sz w:val="21"/>
                      <w:szCs w:val="21"/>
                      <w:u w:val="single"/>
                      <w:lang w:val="en-US" w:eastAsia="zh-CN"/>
                    </w:rPr>
                  </w:pPr>
                  <w:r>
                    <w:rPr>
                      <w:rFonts w:hint="eastAsia"/>
                      <w:color w:val="auto"/>
                      <w:sz w:val="21"/>
                      <w:szCs w:val="21"/>
                      <w:u w:val="single"/>
                      <w:lang w:val="en-US" w:eastAsia="zh-CN"/>
                    </w:rPr>
                    <w:t>设备名称</w:t>
                  </w:r>
                </w:p>
              </w:tc>
              <w:tc>
                <w:tcPr>
                  <w:tcW w:w="2097" w:type="dxa"/>
                  <w:tcBorders>
                    <w:tl2br w:val="nil"/>
                    <w:tr2bl w:val="nil"/>
                  </w:tcBorders>
                  <w:noWrap w:val="0"/>
                  <w:vAlign w:val="center"/>
                </w:tcPr>
                <w:p w14:paraId="69E1C049">
                  <w:pPr>
                    <w:jc w:val="center"/>
                    <w:rPr>
                      <w:rFonts w:hint="default"/>
                      <w:color w:val="auto"/>
                      <w:sz w:val="21"/>
                      <w:szCs w:val="21"/>
                      <w:u w:val="single"/>
                      <w:lang w:val="en-US" w:eastAsia="zh-CN"/>
                    </w:rPr>
                  </w:pPr>
                  <w:r>
                    <w:rPr>
                      <w:rFonts w:hint="eastAsia"/>
                      <w:color w:val="auto"/>
                      <w:sz w:val="21"/>
                      <w:szCs w:val="21"/>
                      <w:u w:val="single"/>
                      <w:lang w:val="en-US" w:eastAsia="zh-CN"/>
                    </w:rPr>
                    <w:t>原环评型号、数量、处理能力</w:t>
                  </w:r>
                </w:p>
              </w:tc>
              <w:tc>
                <w:tcPr>
                  <w:tcW w:w="2364" w:type="dxa"/>
                  <w:tcBorders>
                    <w:tl2br w:val="nil"/>
                    <w:tr2bl w:val="nil"/>
                  </w:tcBorders>
                  <w:noWrap w:val="0"/>
                  <w:vAlign w:val="center"/>
                </w:tcPr>
                <w:p w14:paraId="60052174">
                  <w:pPr>
                    <w:jc w:val="center"/>
                    <w:rPr>
                      <w:rFonts w:hint="default"/>
                      <w:color w:val="auto"/>
                      <w:sz w:val="21"/>
                      <w:szCs w:val="21"/>
                      <w:u w:val="single"/>
                      <w:lang w:val="en-US" w:eastAsia="zh-CN"/>
                    </w:rPr>
                  </w:pPr>
                  <w:r>
                    <w:rPr>
                      <w:rFonts w:hint="eastAsia"/>
                      <w:color w:val="auto"/>
                      <w:sz w:val="21"/>
                      <w:szCs w:val="21"/>
                      <w:u w:val="single"/>
                      <w:lang w:val="en-US" w:eastAsia="zh-CN"/>
                    </w:rPr>
                    <w:t>重新报批后型号、数量、处理能力</w:t>
                  </w:r>
                </w:p>
              </w:tc>
              <w:tc>
                <w:tcPr>
                  <w:tcW w:w="1622" w:type="dxa"/>
                  <w:tcBorders>
                    <w:tl2br w:val="nil"/>
                    <w:tr2bl w:val="nil"/>
                  </w:tcBorders>
                  <w:noWrap w:val="0"/>
                  <w:vAlign w:val="center"/>
                </w:tcPr>
                <w:p w14:paraId="7288765D">
                  <w:pPr>
                    <w:jc w:val="center"/>
                    <w:rPr>
                      <w:rFonts w:hint="default"/>
                      <w:color w:val="auto"/>
                      <w:sz w:val="21"/>
                      <w:szCs w:val="21"/>
                      <w:u w:val="single"/>
                      <w:lang w:val="en-US" w:eastAsia="zh-CN"/>
                    </w:rPr>
                  </w:pPr>
                  <w:r>
                    <w:rPr>
                      <w:rFonts w:hint="eastAsia"/>
                      <w:color w:val="auto"/>
                      <w:sz w:val="21"/>
                      <w:szCs w:val="21"/>
                      <w:u w:val="single"/>
                      <w:lang w:val="en-US" w:eastAsia="zh-CN"/>
                    </w:rPr>
                    <w:t>变化情况</w:t>
                  </w:r>
                </w:p>
              </w:tc>
            </w:tr>
            <w:tr w14:paraId="5E6B41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880" w:type="dxa"/>
                  <w:vMerge w:val="restart"/>
                  <w:tcBorders>
                    <w:tl2br w:val="nil"/>
                    <w:tr2bl w:val="nil"/>
                  </w:tcBorders>
                  <w:noWrap w:val="0"/>
                  <w:vAlign w:val="center"/>
                </w:tcPr>
                <w:p w14:paraId="424115BF">
                  <w:pPr>
                    <w:jc w:val="center"/>
                    <w:rPr>
                      <w:rFonts w:hint="eastAsia"/>
                      <w:color w:val="auto"/>
                      <w:sz w:val="21"/>
                      <w:szCs w:val="21"/>
                      <w:u w:val="single"/>
                      <w:lang w:val="en-US" w:eastAsia="zh-CN"/>
                    </w:rPr>
                  </w:pPr>
                </w:p>
                <w:p w14:paraId="476B44D8">
                  <w:pPr>
                    <w:jc w:val="center"/>
                    <w:rPr>
                      <w:rFonts w:hint="default"/>
                      <w:color w:val="auto"/>
                      <w:sz w:val="21"/>
                      <w:szCs w:val="21"/>
                      <w:u w:val="single"/>
                      <w:lang w:val="en-US" w:eastAsia="zh-CN"/>
                    </w:rPr>
                  </w:pPr>
                  <w:r>
                    <w:rPr>
                      <w:rFonts w:hint="eastAsia"/>
                      <w:color w:val="auto"/>
                      <w:sz w:val="21"/>
                      <w:szCs w:val="21"/>
                      <w:u w:val="single"/>
                      <w:lang w:val="en-US" w:eastAsia="zh-CN"/>
                    </w:rPr>
                    <w:t>尾砂浓密系统</w:t>
                  </w:r>
                </w:p>
              </w:tc>
              <w:tc>
                <w:tcPr>
                  <w:tcW w:w="1383" w:type="dxa"/>
                  <w:tcBorders>
                    <w:tl2br w:val="nil"/>
                    <w:tr2bl w:val="nil"/>
                  </w:tcBorders>
                  <w:noWrap w:val="0"/>
                  <w:vAlign w:val="center"/>
                </w:tcPr>
                <w:p w14:paraId="5237CC34">
                  <w:pPr>
                    <w:jc w:val="center"/>
                    <w:rPr>
                      <w:rFonts w:hint="eastAsia"/>
                      <w:color w:val="auto"/>
                      <w:sz w:val="21"/>
                      <w:szCs w:val="21"/>
                      <w:u w:val="single"/>
                      <w:lang w:val="en-US" w:eastAsia="zh-CN"/>
                    </w:rPr>
                  </w:pPr>
                  <w:r>
                    <w:rPr>
                      <w:rFonts w:hint="eastAsia"/>
                      <w:color w:val="auto"/>
                      <w:sz w:val="21"/>
                      <w:szCs w:val="21"/>
                      <w:u w:val="single"/>
                      <w:lang w:val="en-US" w:eastAsia="zh-CN"/>
                    </w:rPr>
                    <w:t>膏体仓储浓</w:t>
                  </w:r>
                </w:p>
                <w:p w14:paraId="510AF91D">
                  <w:pPr>
                    <w:jc w:val="center"/>
                    <w:rPr>
                      <w:rFonts w:hint="eastAsia"/>
                      <w:color w:val="auto"/>
                      <w:sz w:val="21"/>
                      <w:szCs w:val="21"/>
                      <w:u w:val="single"/>
                      <w:lang w:val="en-US" w:eastAsia="zh-CN"/>
                    </w:rPr>
                  </w:pPr>
                  <w:r>
                    <w:rPr>
                      <w:rFonts w:hint="eastAsia"/>
                      <w:color w:val="auto"/>
                      <w:sz w:val="21"/>
                      <w:szCs w:val="21"/>
                      <w:u w:val="single"/>
                      <w:lang w:val="en-US" w:eastAsia="zh-CN"/>
                    </w:rPr>
                    <w:t>密机</w:t>
                  </w:r>
                </w:p>
              </w:tc>
              <w:tc>
                <w:tcPr>
                  <w:tcW w:w="2097" w:type="dxa"/>
                  <w:tcBorders>
                    <w:tl2br w:val="nil"/>
                    <w:tr2bl w:val="nil"/>
                  </w:tcBorders>
                  <w:noWrap w:val="0"/>
                  <w:vAlign w:val="center"/>
                </w:tcPr>
                <w:p w14:paraId="75D5FD3B">
                  <w:pPr>
                    <w:jc w:val="center"/>
                    <w:rPr>
                      <w:rFonts w:hint="eastAsia"/>
                      <w:color w:val="auto"/>
                      <w:sz w:val="21"/>
                      <w:szCs w:val="21"/>
                      <w:u w:val="single"/>
                      <w:lang w:val="en-US" w:eastAsia="zh-CN"/>
                    </w:rPr>
                  </w:pPr>
                  <w:r>
                    <w:rPr>
                      <w:rFonts w:hint="eastAsia"/>
                      <w:color w:val="auto"/>
                      <w:sz w:val="21"/>
                      <w:szCs w:val="21"/>
                      <w:u w:val="single"/>
                      <w:lang w:val="en-US" w:eastAsia="zh-CN"/>
                    </w:rPr>
                    <w:t>GCN 12/16；1台；</w:t>
                  </w:r>
                  <w:r>
                    <w:rPr>
                      <w:rFonts w:hint="eastAsia" w:ascii="Times New Roman" w:cs="Times New Roman"/>
                      <w:bCs/>
                      <w:color w:val="auto"/>
                      <w:kern w:val="2"/>
                      <w:sz w:val="21"/>
                      <w:szCs w:val="21"/>
                      <w:u w:val="single"/>
                      <w:vertAlign w:val="baseline"/>
                      <w:lang w:val="en-US" w:eastAsia="zh-CN" w:bidi="ar-SA"/>
                    </w:rPr>
                    <w:t>处理能力</w:t>
                  </w:r>
                  <w:r>
                    <w:rPr>
                      <w:rFonts w:hint="eastAsia" w:ascii="Times New Roman" w:hAnsi="Times New Roman" w:eastAsia="宋体" w:cs="Times New Roman"/>
                      <w:bCs/>
                      <w:color w:val="auto"/>
                      <w:kern w:val="2"/>
                      <w:sz w:val="21"/>
                      <w:szCs w:val="21"/>
                      <w:u w:val="single"/>
                      <w:vertAlign w:val="baseline"/>
                      <w:lang w:val="en-US" w:eastAsia="zh-CN" w:bidi="ar-SA"/>
                    </w:rPr>
                    <w:t>100t/h-120t/h</w:t>
                  </w:r>
                </w:p>
              </w:tc>
              <w:tc>
                <w:tcPr>
                  <w:tcW w:w="2364" w:type="dxa"/>
                  <w:tcBorders>
                    <w:tl2br w:val="nil"/>
                    <w:tr2bl w:val="nil"/>
                  </w:tcBorders>
                  <w:noWrap w:val="0"/>
                  <w:vAlign w:val="center"/>
                </w:tcPr>
                <w:p w14:paraId="12C1EE7C">
                  <w:pPr>
                    <w:jc w:val="center"/>
                    <w:rPr>
                      <w:rFonts w:hint="eastAsia"/>
                      <w:color w:val="auto"/>
                      <w:sz w:val="21"/>
                      <w:szCs w:val="21"/>
                      <w:u w:val="single"/>
                      <w:lang w:val="en-US" w:eastAsia="zh-CN"/>
                    </w:rPr>
                  </w:pPr>
                  <w:r>
                    <w:rPr>
                      <w:rFonts w:hint="eastAsia"/>
                      <w:color w:val="auto"/>
                      <w:sz w:val="21"/>
                      <w:szCs w:val="21"/>
                      <w:u w:val="single"/>
                      <w:lang w:val="en-US" w:eastAsia="zh-CN"/>
                    </w:rPr>
                    <w:t>GCN 12/16；1台；</w:t>
                  </w:r>
                  <w:r>
                    <w:rPr>
                      <w:rFonts w:hint="eastAsia" w:ascii="Times New Roman" w:cs="Times New Roman"/>
                      <w:bCs/>
                      <w:color w:val="auto"/>
                      <w:kern w:val="2"/>
                      <w:sz w:val="21"/>
                      <w:szCs w:val="21"/>
                      <w:u w:val="single"/>
                      <w:vertAlign w:val="baseline"/>
                      <w:lang w:val="en-US" w:eastAsia="zh-CN" w:bidi="ar-SA"/>
                    </w:rPr>
                    <w:t>处理能力</w:t>
                  </w:r>
                  <w:r>
                    <w:rPr>
                      <w:rFonts w:hint="eastAsia" w:cs="Times New Roman"/>
                      <w:bCs/>
                      <w:color w:val="auto"/>
                      <w:kern w:val="2"/>
                      <w:sz w:val="21"/>
                      <w:szCs w:val="21"/>
                      <w:u w:val="single"/>
                      <w:vertAlign w:val="baseline"/>
                      <w:lang w:val="en-US" w:eastAsia="zh-CN" w:bidi="ar-SA"/>
                    </w:rPr>
                    <w:t>150</w:t>
                  </w:r>
                  <w:r>
                    <w:rPr>
                      <w:rFonts w:hint="eastAsia" w:ascii="Times New Roman" w:hAnsi="Times New Roman" w:eastAsia="宋体" w:cs="Times New Roman"/>
                      <w:bCs/>
                      <w:color w:val="auto"/>
                      <w:kern w:val="2"/>
                      <w:sz w:val="21"/>
                      <w:szCs w:val="21"/>
                      <w:u w:val="single"/>
                      <w:vertAlign w:val="baseline"/>
                      <w:lang w:val="en-US" w:eastAsia="zh-CN" w:bidi="ar-SA"/>
                    </w:rPr>
                    <w:t>t/h-</w:t>
                  </w:r>
                  <w:r>
                    <w:rPr>
                      <w:rFonts w:hint="eastAsia" w:cs="Times New Roman"/>
                      <w:bCs/>
                      <w:color w:val="auto"/>
                      <w:kern w:val="2"/>
                      <w:sz w:val="21"/>
                      <w:szCs w:val="21"/>
                      <w:u w:val="single"/>
                      <w:vertAlign w:val="baseline"/>
                      <w:lang w:val="en-US" w:eastAsia="zh-CN" w:bidi="ar-SA"/>
                    </w:rPr>
                    <w:t>250</w:t>
                  </w:r>
                  <w:r>
                    <w:rPr>
                      <w:rFonts w:hint="eastAsia" w:ascii="Times New Roman" w:hAnsi="Times New Roman" w:eastAsia="宋体" w:cs="Times New Roman"/>
                      <w:bCs/>
                      <w:color w:val="auto"/>
                      <w:kern w:val="2"/>
                      <w:sz w:val="21"/>
                      <w:szCs w:val="21"/>
                      <w:u w:val="single"/>
                      <w:vertAlign w:val="baseline"/>
                      <w:lang w:val="en-US" w:eastAsia="zh-CN" w:bidi="ar-SA"/>
                    </w:rPr>
                    <w:t>t/h</w:t>
                  </w:r>
                </w:p>
              </w:tc>
              <w:tc>
                <w:tcPr>
                  <w:tcW w:w="1622" w:type="dxa"/>
                  <w:tcBorders>
                    <w:tl2br w:val="nil"/>
                    <w:tr2bl w:val="nil"/>
                  </w:tcBorders>
                  <w:noWrap w:val="0"/>
                  <w:vAlign w:val="center"/>
                </w:tcPr>
                <w:p w14:paraId="17B8B3DB">
                  <w:pPr>
                    <w:jc w:val="center"/>
                    <w:rPr>
                      <w:rFonts w:hint="default"/>
                      <w:color w:val="auto"/>
                      <w:sz w:val="21"/>
                      <w:szCs w:val="21"/>
                      <w:u w:val="single"/>
                      <w:lang w:val="en-US" w:eastAsia="zh-CN"/>
                    </w:rPr>
                  </w:pPr>
                  <w:r>
                    <w:rPr>
                      <w:rFonts w:hint="eastAsia"/>
                      <w:color w:val="auto"/>
                      <w:sz w:val="21"/>
                      <w:szCs w:val="21"/>
                      <w:u w:val="single"/>
                      <w:lang w:val="en-US" w:eastAsia="zh-CN"/>
                    </w:rPr>
                    <w:t>膏体浓密机设计能力本身较大，实际处理能力为</w:t>
                  </w:r>
                  <w:r>
                    <w:rPr>
                      <w:rFonts w:hint="eastAsia" w:cs="Times New Roman"/>
                      <w:bCs/>
                      <w:color w:val="auto"/>
                      <w:kern w:val="2"/>
                      <w:sz w:val="21"/>
                      <w:szCs w:val="21"/>
                      <w:u w:val="single"/>
                      <w:vertAlign w:val="baseline"/>
                      <w:lang w:val="en-US" w:eastAsia="zh-CN" w:bidi="ar-SA"/>
                    </w:rPr>
                    <w:t>150</w:t>
                  </w:r>
                  <w:r>
                    <w:rPr>
                      <w:rFonts w:hint="eastAsia" w:ascii="Times New Roman" w:hAnsi="Times New Roman" w:eastAsia="宋体" w:cs="Times New Roman"/>
                      <w:bCs/>
                      <w:color w:val="auto"/>
                      <w:kern w:val="2"/>
                      <w:sz w:val="21"/>
                      <w:szCs w:val="21"/>
                      <w:u w:val="single"/>
                      <w:vertAlign w:val="baseline"/>
                      <w:lang w:val="en-US" w:eastAsia="zh-CN" w:bidi="ar-SA"/>
                    </w:rPr>
                    <w:t>t/h-</w:t>
                  </w:r>
                  <w:r>
                    <w:rPr>
                      <w:rFonts w:hint="eastAsia" w:cs="Times New Roman"/>
                      <w:bCs/>
                      <w:color w:val="auto"/>
                      <w:kern w:val="2"/>
                      <w:sz w:val="21"/>
                      <w:szCs w:val="21"/>
                      <w:u w:val="single"/>
                      <w:vertAlign w:val="baseline"/>
                      <w:lang w:val="en-US" w:eastAsia="zh-CN" w:bidi="ar-SA"/>
                    </w:rPr>
                    <w:t>250</w:t>
                  </w:r>
                  <w:r>
                    <w:rPr>
                      <w:rFonts w:hint="eastAsia" w:ascii="Times New Roman" w:hAnsi="Times New Roman" w:eastAsia="宋体" w:cs="Times New Roman"/>
                      <w:bCs/>
                      <w:color w:val="auto"/>
                      <w:kern w:val="2"/>
                      <w:sz w:val="21"/>
                      <w:szCs w:val="21"/>
                      <w:u w:val="single"/>
                      <w:vertAlign w:val="baseline"/>
                      <w:lang w:val="en-US" w:eastAsia="zh-CN" w:bidi="ar-SA"/>
                    </w:rPr>
                    <w:t>t/h</w:t>
                  </w:r>
                  <w:r>
                    <w:rPr>
                      <w:rFonts w:hint="eastAsia" w:cs="Times New Roman"/>
                      <w:bCs/>
                      <w:color w:val="auto"/>
                      <w:kern w:val="2"/>
                      <w:sz w:val="21"/>
                      <w:szCs w:val="21"/>
                      <w:u w:val="single"/>
                      <w:vertAlign w:val="baseline"/>
                      <w:lang w:val="en-US" w:eastAsia="zh-CN" w:bidi="ar-SA"/>
                    </w:rPr>
                    <w:t>；</w:t>
                  </w:r>
                  <w:r>
                    <w:rPr>
                      <w:rFonts w:hint="eastAsia"/>
                      <w:color w:val="auto"/>
                      <w:sz w:val="21"/>
                      <w:szCs w:val="21"/>
                      <w:u w:val="single"/>
                      <w:lang w:val="en-US" w:eastAsia="zh-CN"/>
                    </w:rPr>
                    <w:t>原环评为了匹配74.28t/h的矿浆来料，处理能力核算偏小</w:t>
                  </w:r>
                </w:p>
              </w:tc>
            </w:tr>
            <w:tr w14:paraId="00CD78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880" w:type="dxa"/>
                  <w:vMerge w:val="continue"/>
                  <w:tcBorders>
                    <w:tl2br w:val="nil"/>
                    <w:tr2bl w:val="nil"/>
                  </w:tcBorders>
                  <w:noWrap w:val="0"/>
                  <w:vAlign w:val="center"/>
                </w:tcPr>
                <w:p w14:paraId="44C3E3B4">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483D7F11">
                  <w:pPr>
                    <w:jc w:val="center"/>
                    <w:rPr>
                      <w:rFonts w:hint="eastAsia"/>
                      <w:color w:val="auto"/>
                      <w:sz w:val="21"/>
                      <w:szCs w:val="21"/>
                      <w:u w:val="single"/>
                      <w:lang w:val="en-US" w:eastAsia="zh-CN"/>
                    </w:rPr>
                  </w:pPr>
                  <w:r>
                    <w:rPr>
                      <w:rFonts w:hint="eastAsia"/>
                      <w:color w:val="auto"/>
                      <w:sz w:val="21"/>
                      <w:szCs w:val="21"/>
                      <w:u w:val="single"/>
                      <w:lang w:val="en-US" w:eastAsia="zh-CN"/>
                    </w:rPr>
                    <w:t>絮凝剂添加</w:t>
                  </w:r>
                </w:p>
                <w:p w14:paraId="7A1A8341">
                  <w:pPr>
                    <w:jc w:val="center"/>
                    <w:rPr>
                      <w:rFonts w:hint="default"/>
                      <w:color w:val="auto"/>
                      <w:sz w:val="21"/>
                      <w:szCs w:val="21"/>
                      <w:u w:val="single"/>
                      <w:lang w:val="en-US" w:eastAsia="zh-CN"/>
                    </w:rPr>
                  </w:pPr>
                  <w:r>
                    <w:rPr>
                      <w:rFonts w:hint="eastAsia"/>
                      <w:color w:val="auto"/>
                      <w:sz w:val="21"/>
                      <w:szCs w:val="21"/>
                      <w:u w:val="single"/>
                      <w:lang w:val="en-US" w:eastAsia="zh-CN"/>
                    </w:rPr>
                    <w:t>系统</w:t>
                  </w:r>
                </w:p>
              </w:tc>
              <w:tc>
                <w:tcPr>
                  <w:tcW w:w="2097" w:type="dxa"/>
                  <w:tcBorders>
                    <w:tl2br w:val="nil"/>
                    <w:tr2bl w:val="nil"/>
                  </w:tcBorders>
                  <w:noWrap w:val="0"/>
                  <w:vAlign w:val="center"/>
                </w:tcPr>
                <w:p w14:paraId="3E16C543">
                  <w:pPr>
                    <w:jc w:val="center"/>
                    <w:rPr>
                      <w:rFonts w:hint="eastAsia"/>
                      <w:color w:val="auto"/>
                      <w:sz w:val="21"/>
                      <w:szCs w:val="21"/>
                      <w:u w:val="single"/>
                      <w:lang w:val="en-US" w:eastAsia="zh-CN"/>
                    </w:rPr>
                  </w:pPr>
                  <w:r>
                    <w:rPr>
                      <w:rFonts w:hint="eastAsia"/>
                      <w:color w:val="auto"/>
                      <w:sz w:val="21"/>
                      <w:szCs w:val="21"/>
                      <w:u w:val="single"/>
                      <w:lang w:val="en-US" w:eastAsia="zh-CN"/>
                    </w:rPr>
                    <w:t>XNT3000；1套；</w:t>
                  </w:r>
                  <w:r>
                    <w:rPr>
                      <w:rFonts w:hint="eastAsia" w:ascii="Times New Roman" w:eastAsia="宋体" w:cs="Times New Roman"/>
                      <w:b w:val="0"/>
                      <w:bCs w:val="0"/>
                      <w:color w:val="auto"/>
                      <w:sz w:val="21"/>
                      <w:szCs w:val="21"/>
                      <w:u w:val="single"/>
                      <w:vertAlign w:val="baseline"/>
                      <w:lang w:val="en-US" w:eastAsia="zh-CN"/>
                    </w:rPr>
                    <w:t>功率0.55kW</w:t>
                  </w:r>
                </w:p>
              </w:tc>
              <w:tc>
                <w:tcPr>
                  <w:tcW w:w="2364" w:type="dxa"/>
                  <w:tcBorders>
                    <w:tl2br w:val="nil"/>
                    <w:tr2bl w:val="nil"/>
                  </w:tcBorders>
                  <w:noWrap w:val="0"/>
                  <w:vAlign w:val="center"/>
                </w:tcPr>
                <w:p w14:paraId="62BE8460">
                  <w:pPr>
                    <w:jc w:val="center"/>
                    <w:rPr>
                      <w:rFonts w:hint="default"/>
                      <w:color w:val="auto"/>
                      <w:sz w:val="21"/>
                      <w:szCs w:val="21"/>
                      <w:u w:val="single"/>
                      <w:lang w:val="en-US" w:eastAsia="zh-CN"/>
                    </w:rPr>
                  </w:pPr>
                  <w:r>
                    <w:rPr>
                      <w:rFonts w:hint="eastAsia"/>
                      <w:color w:val="auto"/>
                      <w:sz w:val="21"/>
                      <w:szCs w:val="21"/>
                      <w:u w:val="single"/>
                      <w:lang w:val="en-US" w:eastAsia="zh-CN"/>
                    </w:rPr>
                    <w:t>XNT3000；1套；</w:t>
                  </w:r>
                  <w:r>
                    <w:rPr>
                      <w:rFonts w:hint="eastAsia" w:ascii="Times New Roman" w:eastAsia="宋体" w:cs="Times New Roman"/>
                      <w:b w:val="0"/>
                      <w:bCs w:val="0"/>
                      <w:color w:val="auto"/>
                      <w:sz w:val="21"/>
                      <w:szCs w:val="21"/>
                      <w:u w:val="single"/>
                      <w:vertAlign w:val="baseline"/>
                      <w:lang w:val="en-US" w:eastAsia="zh-CN"/>
                    </w:rPr>
                    <w:t>功率0.55kW</w:t>
                  </w:r>
                </w:p>
              </w:tc>
              <w:tc>
                <w:tcPr>
                  <w:tcW w:w="1622" w:type="dxa"/>
                  <w:tcBorders>
                    <w:tl2br w:val="nil"/>
                    <w:tr2bl w:val="nil"/>
                  </w:tcBorders>
                  <w:noWrap w:val="0"/>
                  <w:vAlign w:val="center"/>
                </w:tcPr>
                <w:p w14:paraId="5C8A1D09">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57945C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02" w:hRule="atLeast"/>
              </w:trPr>
              <w:tc>
                <w:tcPr>
                  <w:tcW w:w="880" w:type="dxa"/>
                  <w:vMerge w:val="continue"/>
                  <w:tcBorders>
                    <w:tl2br w:val="nil"/>
                    <w:tr2bl w:val="nil"/>
                  </w:tcBorders>
                  <w:noWrap w:val="0"/>
                  <w:vAlign w:val="center"/>
                </w:tcPr>
                <w:p w14:paraId="374D4EE7">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6F52B888">
                  <w:pPr>
                    <w:jc w:val="center"/>
                    <w:rPr>
                      <w:rFonts w:hint="eastAsia"/>
                      <w:color w:val="auto"/>
                      <w:sz w:val="21"/>
                      <w:szCs w:val="21"/>
                      <w:u w:val="single"/>
                      <w:lang w:val="en-US" w:eastAsia="zh-CN"/>
                    </w:rPr>
                  </w:pPr>
                  <w:r>
                    <w:rPr>
                      <w:rFonts w:hint="eastAsia"/>
                      <w:color w:val="auto"/>
                      <w:sz w:val="21"/>
                      <w:szCs w:val="21"/>
                      <w:u w:val="single"/>
                      <w:lang w:val="en-US" w:eastAsia="zh-CN"/>
                    </w:rPr>
                    <w:t>电磁流量计</w:t>
                  </w:r>
                </w:p>
              </w:tc>
              <w:tc>
                <w:tcPr>
                  <w:tcW w:w="2097" w:type="dxa"/>
                  <w:tcBorders>
                    <w:tl2br w:val="nil"/>
                    <w:tr2bl w:val="nil"/>
                  </w:tcBorders>
                  <w:noWrap w:val="0"/>
                  <w:vAlign w:val="center"/>
                </w:tcPr>
                <w:p w14:paraId="20D87012">
                  <w:pPr>
                    <w:jc w:val="center"/>
                    <w:rPr>
                      <w:rFonts w:hint="eastAsia"/>
                      <w:color w:val="auto"/>
                      <w:sz w:val="21"/>
                      <w:szCs w:val="21"/>
                      <w:u w:val="single"/>
                      <w:lang w:val="en-US" w:eastAsia="zh-CN"/>
                    </w:rPr>
                  </w:pPr>
                  <w:r>
                    <w:rPr>
                      <w:rFonts w:hint="eastAsia"/>
                      <w:color w:val="auto"/>
                      <w:sz w:val="21"/>
                      <w:szCs w:val="21"/>
                      <w:u w:val="single"/>
                      <w:lang w:val="en-US" w:eastAsia="zh-CN"/>
                    </w:rPr>
                    <w:t>WW-150FZBP3ACifPUNE-TUC；1台；</w:t>
                  </w:r>
                  <w:r>
                    <w:rPr>
                      <w:rFonts w:hint="eastAsia" w:ascii="Times New Roman" w:hAnsi="Times New Roman" w:eastAsia="宋体" w:cs="Times New Roman"/>
                      <w:b w:val="0"/>
                      <w:bCs w:val="0"/>
                      <w:color w:val="auto"/>
                      <w:sz w:val="21"/>
                      <w:szCs w:val="21"/>
                      <w:u w:val="single"/>
                      <w:vertAlign w:val="baseline"/>
                      <w:lang w:val="en-US" w:eastAsia="zh-CN"/>
                    </w:rPr>
                    <w:t>流量为0～5m</w:t>
                  </w:r>
                  <w:r>
                    <w:rPr>
                      <w:rFonts w:hint="eastAsia" w:ascii="Times New Roman" w:hAnsi="Times New Roman" w:eastAsia="宋体" w:cs="Times New Roman"/>
                      <w:b w:val="0"/>
                      <w:bCs w:val="0"/>
                      <w:color w:val="auto"/>
                      <w:sz w:val="21"/>
                      <w:szCs w:val="21"/>
                      <w:u w:val="single"/>
                      <w:vertAlign w:val="superscript"/>
                      <w:lang w:val="en-US" w:eastAsia="zh-CN"/>
                    </w:rPr>
                    <w:t>3</w:t>
                  </w:r>
                  <w:r>
                    <w:rPr>
                      <w:rFonts w:hint="eastAsia" w:ascii="Times New Roman" w:hAnsi="Times New Roman" w:eastAsia="宋体" w:cs="Times New Roman"/>
                      <w:b w:val="0"/>
                      <w:bCs w:val="0"/>
                      <w:color w:val="auto"/>
                      <w:sz w:val="21"/>
                      <w:szCs w:val="21"/>
                      <w:u w:val="single"/>
                      <w:vertAlign w:val="baseline"/>
                      <w:lang w:val="en-US" w:eastAsia="zh-CN"/>
                    </w:rPr>
                    <w:t>/h可调，扬程H=30m</w:t>
                  </w:r>
                </w:p>
              </w:tc>
              <w:tc>
                <w:tcPr>
                  <w:tcW w:w="2364" w:type="dxa"/>
                  <w:tcBorders>
                    <w:tl2br w:val="nil"/>
                    <w:tr2bl w:val="nil"/>
                  </w:tcBorders>
                  <w:noWrap w:val="0"/>
                  <w:vAlign w:val="center"/>
                </w:tcPr>
                <w:p w14:paraId="1E37EFBE">
                  <w:pPr>
                    <w:jc w:val="center"/>
                    <w:rPr>
                      <w:rFonts w:hint="eastAsia"/>
                      <w:color w:val="auto"/>
                      <w:sz w:val="21"/>
                      <w:szCs w:val="21"/>
                      <w:u w:val="single"/>
                      <w:lang w:val="en-US" w:eastAsia="zh-CN"/>
                    </w:rPr>
                  </w:pPr>
                  <w:r>
                    <w:rPr>
                      <w:rFonts w:hint="eastAsia"/>
                      <w:color w:val="auto"/>
                      <w:sz w:val="21"/>
                      <w:szCs w:val="21"/>
                      <w:u w:val="single"/>
                      <w:lang w:val="en-US" w:eastAsia="zh-CN"/>
                    </w:rPr>
                    <w:t>WW-150FZBP3ACifPUNE-TUC；1台；</w:t>
                  </w:r>
                  <w:r>
                    <w:rPr>
                      <w:rFonts w:hint="eastAsia" w:ascii="Times New Roman" w:hAnsi="Times New Roman" w:eastAsia="宋体" w:cs="Times New Roman"/>
                      <w:b w:val="0"/>
                      <w:bCs w:val="0"/>
                      <w:color w:val="auto"/>
                      <w:sz w:val="21"/>
                      <w:szCs w:val="21"/>
                      <w:u w:val="single"/>
                      <w:vertAlign w:val="baseline"/>
                      <w:lang w:val="en-US" w:eastAsia="zh-CN"/>
                    </w:rPr>
                    <w:t>流量为0～5m</w:t>
                  </w:r>
                  <w:r>
                    <w:rPr>
                      <w:rFonts w:hint="eastAsia" w:ascii="Times New Roman" w:hAnsi="Times New Roman" w:eastAsia="宋体" w:cs="Times New Roman"/>
                      <w:b w:val="0"/>
                      <w:bCs w:val="0"/>
                      <w:color w:val="auto"/>
                      <w:sz w:val="21"/>
                      <w:szCs w:val="21"/>
                      <w:u w:val="single"/>
                      <w:vertAlign w:val="superscript"/>
                      <w:lang w:val="en-US" w:eastAsia="zh-CN"/>
                    </w:rPr>
                    <w:t>3</w:t>
                  </w:r>
                  <w:r>
                    <w:rPr>
                      <w:rFonts w:hint="eastAsia" w:ascii="Times New Roman" w:hAnsi="Times New Roman" w:eastAsia="宋体" w:cs="Times New Roman"/>
                      <w:b w:val="0"/>
                      <w:bCs w:val="0"/>
                      <w:color w:val="auto"/>
                      <w:sz w:val="21"/>
                      <w:szCs w:val="21"/>
                      <w:u w:val="single"/>
                      <w:vertAlign w:val="baseline"/>
                      <w:lang w:val="en-US" w:eastAsia="zh-CN"/>
                    </w:rPr>
                    <w:t>/h可调，扬程H=30m</w:t>
                  </w:r>
                </w:p>
              </w:tc>
              <w:tc>
                <w:tcPr>
                  <w:tcW w:w="1622" w:type="dxa"/>
                  <w:tcBorders>
                    <w:tl2br w:val="nil"/>
                    <w:tr2bl w:val="nil"/>
                  </w:tcBorders>
                  <w:noWrap w:val="0"/>
                  <w:vAlign w:val="center"/>
                </w:tcPr>
                <w:p w14:paraId="0889B16A">
                  <w:pPr>
                    <w:jc w:val="center"/>
                    <w:rPr>
                      <w:rFonts w:hint="eastAsia"/>
                      <w:color w:val="auto"/>
                      <w:sz w:val="21"/>
                      <w:szCs w:val="21"/>
                      <w:u w:val="single"/>
                      <w:lang w:val="en-US" w:eastAsia="zh-CN"/>
                    </w:rPr>
                  </w:pPr>
                  <w:r>
                    <w:rPr>
                      <w:rFonts w:hint="eastAsia"/>
                      <w:color w:val="auto"/>
                      <w:sz w:val="21"/>
                      <w:szCs w:val="21"/>
                      <w:u w:val="single"/>
                      <w:lang w:val="en-US" w:eastAsia="zh-CN"/>
                    </w:rPr>
                    <w:t>无</w:t>
                  </w:r>
                </w:p>
              </w:tc>
            </w:tr>
            <w:tr w14:paraId="5C626F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880" w:type="dxa"/>
                  <w:vMerge w:val="continue"/>
                  <w:tcBorders>
                    <w:tl2br w:val="nil"/>
                    <w:tr2bl w:val="nil"/>
                  </w:tcBorders>
                  <w:noWrap w:val="0"/>
                  <w:vAlign w:val="center"/>
                </w:tcPr>
                <w:p w14:paraId="7A1E9B71">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6D3A960D">
                  <w:pPr>
                    <w:jc w:val="center"/>
                    <w:rPr>
                      <w:rFonts w:hint="eastAsia"/>
                      <w:color w:val="auto"/>
                      <w:sz w:val="21"/>
                      <w:szCs w:val="21"/>
                      <w:u w:val="single"/>
                      <w:lang w:val="en-US" w:eastAsia="zh-CN"/>
                    </w:rPr>
                  </w:pPr>
                  <w:r>
                    <w:rPr>
                      <w:rFonts w:hint="eastAsia"/>
                      <w:color w:val="auto"/>
                      <w:sz w:val="21"/>
                      <w:szCs w:val="21"/>
                      <w:u w:val="single"/>
                      <w:lang w:val="en-US" w:eastAsia="zh-CN"/>
                    </w:rPr>
                    <w:t>放砂组件</w:t>
                  </w:r>
                </w:p>
              </w:tc>
              <w:tc>
                <w:tcPr>
                  <w:tcW w:w="2097" w:type="dxa"/>
                  <w:tcBorders>
                    <w:tl2br w:val="nil"/>
                    <w:tr2bl w:val="nil"/>
                  </w:tcBorders>
                  <w:noWrap w:val="0"/>
                  <w:vAlign w:val="center"/>
                </w:tcPr>
                <w:p w14:paraId="6CD3D91A">
                  <w:pPr>
                    <w:jc w:val="center"/>
                    <w:rPr>
                      <w:rFonts w:hint="default"/>
                      <w:color w:val="auto"/>
                      <w:sz w:val="21"/>
                      <w:szCs w:val="21"/>
                      <w:u w:val="single"/>
                      <w:lang w:val="en-US" w:eastAsia="zh-CN"/>
                    </w:rPr>
                  </w:pPr>
                  <w:r>
                    <w:rPr>
                      <w:rFonts w:hint="eastAsia"/>
                      <w:color w:val="auto"/>
                      <w:sz w:val="21"/>
                      <w:szCs w:val="21"/>
                      <w:u w:val="single"/>
                      <w:lang w:val="en-US" w:eastAsia="zh-CN"/>
                    </w:rPr>
                    <w:t>DN125，16Mn耐磨管，含阀门等；1套</w:t>
                  </w:r>
                </w:p>
              </w:tc>
              <w:tc>
                <w:tcPr>
                  <w:tcW w:w="2364" w:type="dxa"/>
                  <w:tcBorders>
                    <w:tl2br w:val="nil"/>
                    <w:tr2bl w:val="nil"/>
                  </w:tcBorders>
                  <w:noWrap w:val="0"/>
                  <w:vAlign w:val="center"/>
                </w:tcPr>
                <w:p w14:paraId="788055E3">
                  <w:pPr>
                    <w:jc w:val="center"/>
                    <w:rPr>
                      <w:rFonts w:hint="default"/>
                      <w:color w:val="auto"/>
                      <w:sz w:val="21"/>
                      <w:szCs w:val="21"/>
                      <w:u w:val="single"/>
                      <w:lang w:val="en-US" w:eastAsia="zh-CN"/>
                    </w:rPr>
                  </w:pPr>
                  <w:r>
                    <w:rPr>
                      <w:rFonts w:hint="eastAsia"/>
                      <w:color w:val="auto"/>
                      <w:sz w:val="21"/>
                      <w:szCs w:val="21"/>
                      <w:u w:val="single"/>
                      <w:lang w:val="en-US" w:eastAsia="zh-CN"/>
                    </w:rPr>
                    <w:t>N125，16Mn耐磨管，含阀门等；1套</w:t>
                  </w:r>
                </w:p>
              </w:tc>
              <w:tc>
                <w:tcPr>
                  <w:tcW w:w="1622" w:type="dxa"/>
                  <w:tcBorders>
                    <w:tl2br w:val="nil"/>
                    <w:tr2bl w:val="nil"/>
                  </w:tcBorders>
                  <w:noWrap w:val="0"/>
                  <w:vAlign w:val="center"/>
                </w:tcPr>
                <w:p w14:paraId="1FC498B9">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428ADD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880" w:type="dxa"/>
                  <w:vMerge w:val="restart"/>
                  <w:tcBorders>
                    <w:tl2br w:val="nil"/>
                    <w:tr2bl w:val="nil"/>
                  </w:tcBorders>
                  <w:noWrap w:val="0"/>
                  <w:vAlign w:val="center"/>
                </w:tcPr>
                <w:p w14:paraId="777D0CF1">
                  <w:pPr>
                    <w:jc w:val="center"/>
                    <w:rPr>
                      <w:rFonts w:hint="eastAsia"/>
                      <w:color w:val="auto"/>
                      <w:sz w:val="21"/>
                      <w:szCs w:val="21"/>
                      <w:u w:val="single"/>
                      <w:lang w:val="en-US" w:eastAsia="zh-CN"/>
                    </w:rPr>
                  </w:pPr>
                </w:p>
                <w:p w14:paraId="5BD7DBFE">
                  <w:pPr>
                    <w:jc w:val="center"/>
                    <w:rPr>
                      <w:rFonts w:hint="eastAsia"/>
                      <w:color w:val="auto"/>
                      <w:sz w:val="21"/>
                      <w:szCs w:val="21"/>
                      <w:u w:val="single"/>
                      <w:lang w:val="en-US" w:eastAsia="zh-CN"/>
                    </w:rPr>
                  </w:pPr>
                </w:p>
                <w:p w14:paraId="05BB19EA">
                  <w:pPr>
                    <w:jc w:val="center"/>
                    <w:rPr>
                      <w:rFonts w:hint="eastAsia"/>
                      <w:color w:val="auto"/>
                      <w:sz w:val="21"/>
                      <w:szCs w:val="21"/>
                      <w:u w:val="single"/>
                      <w:lang w:val="en-US" w:eastAsia="zh-CN"/>
                    </w:rPr>
                  </w:pPr>
                  <w:r>
                    <w:rPr>
                      <w:rFonts w:hint="eastAsia"/>
                      <w:color w:val="auto"/>
                      <w:sz w:val="21"/>
                      <w:szCs w:val="21"/>
                      <w:u w:val="single"/>
                      <w:lang w:val="en-US" w:eastAsia="zh-CN"/>
                    </w:rPr>
                    <w:t>水供给</w:t>
                  </w:r>
                </w:p>
                <w:p w14:paraId="03CA7546">
                  <w:pPr>
                    <w:jc w:val="center"/>
                    <w:rPr>
                      <w:rFonts w:hint="default"/>
                      <w:color w:val="auto"/>
                      <w:sz w:val="21"/>
                      <w:szCs w:val="21"/>
                      <w:u w:val="single"/>
                      <w:lang w:val="en-US" w:eastAsia="zh-CN"/>
                    </w:rPr>
                  </w:pPr>
                  <w:r>
                    <w:rPr>
                      <w:rFonts w:hint="eastAsia"/>
                      <w:color w:val="auto"/>
                      <w:sz w:val="21"/>
                      <w:szCs w:val="21"/>
                      <w:u w:val="single"/>
                      <w:lang w:val="en-US" w:eastAsia="zh-CN"/>
                    </w:rPr>
                    <w:t>系统</w:t>
                  </w:r>
                </w:p>
                <w:p w14:paraId="00CAB51B">
                  <w:pPr>
                    <w:jc w:val="center"/>
                    <w:rPr>
                      <w:rFonts w:hint="eastAsia"/>
                      <w:color w:val="auto"/>
                      <w:sz w:val="21"/>
                      <w:szCs w:val="21"/>
                      <w:u w:val="single"/>
                      <w:lang w:val="en-US" w:eastAsia="zh-CN"/>
                    </w:rPr>
                  </w:pPr>
                </w:p>
                <w:p w14:paraId="30E39148">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7F8E4F0C">
                  <w:pPr>
                    <w:jc w:val="center"/>
                    <w:rPr>
                      <w:rFonts w:hint="eastAsia"/>
                      <w:color w:val="auto"/>
                      <w:sz w:val="21"/>
                      <w:szCs w:val="21"/>
                      <w:u w:val="single"/>
                      <w:lang w:val="en-US" w:eastAsia="zh-CN"/>
                    </w:rPr>
                  </w:pPr>
                  <w:r>
                    <w:rPr>
                      <w:rFonts w:hint="eastAsia"/>
                      <w:color w:val="auto"/>
                      <w:sz w:val="21"/>
                      <w:szCs w:val="21"/>
                      <w:u w:val="single"/>
                      <w:lang w:val="en-US" w:eastAsia="zh-CN"/>
                    </w:rPr>
                    <w:t>卧式离心泵</w:t>
                  </w:r>
                </w:p>
              </w:tc>
              <w:tc>
                <w:tcPr>
                  <w:tcW w:w="2097" w:type="dxa"/>
                  <w:tcBorders>
                    <w:tl2br w:val="nil"/>
                    <w:tr2bl w:val="nil"/>
                  </w:tcBorders>
                  <w:noWrap w:val="0"/>
                  <w:vAlign w:val="center"/>
                </w:tcPr>
                <w:p w14:paraId="41AA2F4E">
                  <w:pPr>
                    <w:jc w:val="center"/>
                    <w:rPr>
                      <w:rFonts w:hint="eastAsia"/>
                      <w:color w:val="auto"/>
                      <w:sz w:val="21"/>
                      <w:szCs w:val="21"/>
                      <w:u w:val="single"/>
                      <w:lang w:val="en-US" w:eastAsia="zh-CN"/>
                    </w:rPr>
                  </w:pPr>
                  <w:r>
                    <w:rPr>
                      <w:rFonts w:hint="eastAsia"/>
                      <w:color w:val="auto"/>
                      <w:sz w:val="21"/>
                      <w:szCs w:val="21"/>
                      <w:u w:val="single"/>
                      <w:lang w:val="en-US" w:eastAsia="zh-CN"/>
                    </w:rPr>
                    <w:t>ISW80-250；1台；流量Q=50m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/h，扬程H=80m，功率22kW，变频调节</w:t>
                  </w:r>
                </w:p>
              </w:tc>
              <w:tc>
                <w:tcPr>
                  <w:tcW w:w="2364" w:type="dxa"/>
                  <w:tcBorders>
                    <w:tl2br w:val="nil"/>
                    <w:tr2bl w:val="nil"/>
                  </w:tcBorders>
                  <w:noWrap w:val="0"/>
                  <w:vAlign w:val="center"/>
                </w:tcPr>
                <w:p w14:paraId="58DDDB96">
                  <w:pPr>
                    <w:jc w:val="center"/>
                    <w:rPr>
                      <w:rFonts w:hint="eastAsia"/>
                      <w:color w:val="auto"/>
                      <w:sz w:val="21"/>
                      <w:szCs w:val="21"/>
                      <w:u w:val="single"/>
                      <w:lang w:val="en-US" w:eastAsia="zh-CN"/>
                    </w:rPr>
                  </w:pPr>
                  <w:r>
                    <w:rPr>
                      <w:rFonts w:hint="eastAsia"/>
                      <w:color w:val="auto"/>
                      <w:sz w:val="21"/>
                      <w:szCs w:val="21"/>
                      <w:u w:val="single"/>
                      <w:lang w:val="en-US" w:eastAsia="zh-CN"/>
                    </w:rPr>
                    <w:t>ISW125-315C；流量134m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/h、扬程88m、功率55KW、变频控制</w:t>
                  </w:r>
                </w:p>
              </w:tc>
              <w:tc>
                <w:tcPr>
                  <w:tcW w:w="1622" w:type="dxa"/>
                  <w:tcBorders>
                    <w:tl2br w:val="nil"/>
                    <w:tr2bl w:val="nil"/>
                  </w:tcBorders>
                  <w:noWrap w:val="0"/>
                  <w:vAlign w:val="center"/>
                </w:tcPr>
                <w:p w14:paraId="0BEAE420">
                  <w:pPr>
                    <w:jc w:val="center"/>
                    <w:rPr>
                      <w:rFonts w:hint="default"/>
                      <w:color w:val="auto"/>
                      <w:sz w:val="21"/>
                      <w:szCs w:val="21"/>
                      <w:u w:val="single"/>
                      <w:lang w:val="en-US" w:eastAsia="zh-CN"/>
                    </w:rPr>
                  </w:pPr>
                  <w:r>
                    <w:rPr>
                      <w:rFonts w:hint="eastAsia"/>
                      <w:color w:val="auto"/>
                      <w:sz w:val="21"/>
                      <w:szCs w:val="21"/>
                      <w:u w:val="single"/>
                      <w:lang w:val="en-US" w:eastAsia="zh-CN"/>
                    </w:rPr>
                    <w:t>泵流量变大</w:t>
                  </w:r>
                </w:p>
              </w:tc>
            </w:tr>
            <w:tr w14:paraId="6FE262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80" w:type="dxa"/>
                  <w:vMerge w:val="continue"/>
                  <w:tcBorders>
                    <w:tl2br w:val="nil"/>
                    <w:tr2bl w:val="nil"/>
                  </w:tcBorders>
                  <w:noWrap w:val="0"/>
                  <w:vAlign w:val="center"/>
                </w:tcPr>
                <w:p w14:paraId="63835A46">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0DF076C3">
                  <w:pPr>
                    <w:jc w:val="center"/>
                    <w:rPr>
                      <w:rFonts w:hint="eastAsia"/>
                      <w:color w:val="auto"/>
                      <w:sz w:val="21"/>
                      <w:szCs w:val="21"/>
                      <w:u w:val="single"/>
                      <w:lang w:val="en-US" w:eastAsia="zh-CN"/>
                    </w:rPr>
                  </w:pPr>
                  <w:r>
                    <w:rPr>
                      <w:rFonts w:hint="eastAsia"/>
                      <w:color w:val="auto"/>
                      <w:sz w:val="21"/>
                      <w:szCs w:val="21"/>
                      <w:u w:val="single"/>
                      <w:lang w:val="en-US" w:eastAsia="zh-CN"/>
                    </w:rPr>
                    <w:t>卧式离心泵</w:t>
                  </w:r>
                </w:p>
              </w:tc>
              <w:tc>
                <w:tcPr>
                  <w:tcW w:w="2097" w:type="dxa"/>
                  <w:tcBorders>
                    <w:tl2br w:val="nil"/>
                    <w:tr2bl w:val="nil"/>
                  </w:tcBorders>
                  <w:noWrap w:val="0"/>
                  <w:vAlign w:val="center"/>
                </w:tcPr>
                <w:p w14:paraId="11407197">
                  <w:pPr>
                    <w:jc w:val="center"/>
                    <w:rPr>
                      <w:rFonts w:hint="default"/>
                      <w:color w:val="auto"/>
                      <w:sz w:val="21"/>
                      <w:szCs w:val="21"/>
                      <w:u w:val="single"/>
                      <w:lang w:val="en-US" w:eastAsia="zh-CN"/>
                    </w:rPr>
                  </w:pPr>
                  <w:r>
                    <w:rPr>
                      <w:rFonts w:hint="eastAsia"/>
                      <w:color w:val="auto"/>
                      <w:sz w:val="21"/>
                      <w:szCs w:val="21"/>
                      <w:u w:val="single"/>
                      <w:lang w:val="en-US" w:eastAsia="zh-CN"/>
                    </w:rPr>
                    <w:t>ISW40-125；3台；流量5.6m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/h、扬程16m、功率0.75KW、变频控制</w:t>
                  </w:r>
                </w:p>
              </w:tc>
              <w:tc>
                <w:tcPr>
                  <w:tcW w:w="2364" w:type="dxa"/>
                  <w:tcBorders>
                    <w:tl2br w:val="nil"/>
                    <w:tr2bl w:val="nil"/>
                  </w:tcBorders>
                  <w:noWrap w:val="0"/>
                  <w:vAlign w:val="center"/>
                </w:tcPr>
                <w:p w14:paraId="4E7E5BB3">
                  <w:pPr>
                    <w:jc w:val="center"/>
                    <w:rPr>
                      <w:rFonts w:hint="eastAsia"/>
                      <w:color w:val="auto"/>
                      <w:sz w:val="21"/>
                      <w:szCs w:val="21"/>
                      <w:u w:val="single"/>
                      <w:lang w:val="en-US" w:eastAsia="zh-CN"/>
                    </w:rPr>
                  </w:pPr>
                  <w:r>
                    <w:rPr>
                      <w:rFonts w:hint="eastAsia"/>
                      <w:color w:val="auto"/>
                      <w:sz w:val="21"/>
                      <w:szCs w:val="21"/>
                      <w:u w:val="single"/>
                      <w:lang w:val="en-US" w:eastAsia="zh-CN"/>
                    </w:rPr>
                    <w:t>ISW40-125；3台；流量5.6m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/h、扬程16m、功率0.75KW、变频控制</w:t>
                  </w:r>
                </w:p>
                <w:p w14:paraId="30AFD04C">
                  <w:pPr>
                    <w:jc w:val="both"/>
                    <w:rPr>
                      <w:rFonts w:hint="eastAsia"/>
                      <w:color w:val="auto"/>
                      <w:sz w:val="21"/>
                      <w:szCs w:val="21"/>
                      <w:u w:val="single"/>
                      <w:lang w:val="en-US" w:eastAsia="zh-CN"/>
                    </w:rPr>
                  </w:pPr>
                </w:p>
              </w:tc>
              <w:tc>
                <w:tcPr>
                  <w:tcW w:w="1622" w:type="dxa"/>
                  <w:tcBorders>
                    <w:tl2br w:val="nil"/>
                    <w:tr2bl w:val="nil"/>
                  </w:tcBorders>
                  <w:noWrap w:val="0"/>
                  <w:vAlign w:val="center"/>
                </w:tcPr>
                <w:p w14:paraId="49ECED70">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245EFA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880" w:type="dxa"/>
                  <w:vMerge w:val="continue"/>
                  <w:tcBorders>
                    <w:tl2br w:val="nil"/>
                    <w:tr2bl w:val="nil"/>
                  </w:tcBorders>
                  <w:noWrap w:val="0"/>
                  <w:vAlign w:val="center"/>
                </w:tcPr>
                <w:p w14:paraId="44F351EA">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61BEC430">
                  <w:pPr>
                    <w:jc w:val="center"/>
                    <w:rPr>
                      <w:rFonts w:hint="eastAsia"/>
                      <w:color w:val="auto"/>
                      <w:sz w:val="21"/>
                      <w:szCs w:val="21"/>
                      <w:u w:val="single"/>
                      <w:lang w:val="en-US" w:eastAsia="zh-CN"/>
                    </w:rPr>
                  </w:pPr>
                  <w:r>
                    <w:rPr>
                      <w:rFonts w:hint="eastAsia"/>
                      <w:color w:val="auto"/>
                      <w:sz w:val="21"/>
                      <w:szCs w:val="21"/>
                      <w:u w:val="single"/>
                      <w:lang w:val="en-US" w:eastAsia="zh-CN"/>
                    </w:rPr>
                    <w:t>电动球阀</w:t>
                  </w:r>
                </w:p>
              </w:tc>
              <w:tc>
                <w:tcPr>
                  <w:tcW w:w="2097" w:type="dxa"/>
                  <w:tcBorders>
                    <w:tl2br w:val="nil"/>
                    <w:tr2bl w:val="nil"/>
                  </w:tcBorders>
                  <w:noWrap w:val="0"/>
                  <w:vAlign w:val="center"/>
                </w:tcPr>
                <w:p w14:paraId="58063B96">
                  <w:pPr>
                    <w:jc w:val="center"/>
                    <w:rPr>
                      <w:rFonts w:hint="default"/>
                      <w:color w:val="auto"/>
                      <w:sz w:val="21"/>
                      <w:szCs w:val="21"/>
                      <w:u w:val="single"/>
                      <w:lang w:val="en-US" w:eastAsia="zh-CN"/>
                    </w:rPr>
                  </w:pPr>
                  <w:r>
                    <w:rPr>
                      <w:rFonts w:hint="eastAsia"/>
                      <w:color w:val="auto"/>
                      <w:sz w:val="21"/>
                      <w:szCs w:val="21"/>
                      <w:u w:val="single"/>
                      <w:lang w:val="en-US" w:eastAsia="zh-CN"/>
                    </w:rPr>
                    <w:t>Q941F-16P；3台；PN1.6MPa</w:t>
                  </w:r>
                </w:p>
              </w:tc>
              <w:tc>
                <w:tcPr>
                  <w:tcW w:w="2364" w:type="dxa"/>
                  <w:tcBorders>
                    <w:tl2br w:val="nil"/>
                    <w:tr2bl w:val="nil"/>
                  </w:tcBorders>
                  <w:noWrap w:val="0"/>
                  <w:vAlign w:val="center"/>
                </w:tcPr>
                <w:p w14:paraId="489AB3B7">
                  <w:pPr>
                    <w:jc w:val="center"/>
                    <w:rPr>
                      <w:rFonts w:hint="eastAsia"/>
                      <w:color w:val="auto"/>
                      <w:sz w:val="21"/>
                      <w:szCs w:val="21"/>
                      <w:u w:val="single"/>
                      <w:lang w:val="en-US" w:eastAsia="zh-CN"/>
                    </w:rPr>
                  </w:pPr>
                  <w:r>
                    <w:rPr>
                      <w:rFonts w:hint="eastAsia"/>
                      <w:color w:val="auto"/>
                      <w:sz w:val="21"/>
                      <w:szCs w:val="21"/>
                      <w:u w:val="single"/>
                      <w:lang w:val="en-US" w:eastAsia="zh-CN"/>
                    </w:rPr>
                    <w:t>Q941F-16P；3台；PN1.6MPa</w:t>
                  </w:r>
                </w:p>
              </w:tc>
              <w:tc>
                <w:tcPr>
                  <w:tcW w:w="1622" w:type="dxa"/>
                  <w:tcBorders>
                    <w:tl2br w:val="nil"/>
                    <w:tr2bl w:val="nil"/>
                  </w:tcBorders>
                  <w:noWrap w:val="0"/>
                  <w:vAlign w:val="center"/>
                </w:tcPr>
                <w:p w14:paraId="55FE05BD">
                  <w:pPr>
                    <w:jc w:val="center"/>
                    <w:rPr>
                      <w:rFonts w:hint="eastAsia"/>
                      <w:color w:val="auto"/>
                      <w:sz w:val="21"/>
                      <w:szCs w:val="21"/>
                      <w:u w:val="single"/>
                      <w:lang w:val="en-US" w:eastAsia="zh-CN"/>
                    </w:rPr>
                  </w:pPr>
                  <w:r>
                    <w:rPr>
                      <w:rFonts w:hint="eastAsia"/>
                      <w:color w:val="auto"/>
                      <w:sz w:val="21"/>
                      <w:szCs w:val="21"/>
                      <w:u w:val="single"/>
                      <w:lang w:val="en-US" w:eastAsia="zh-CN"/>
                    </w:rPr>
                    <w:t>无</w:t>
                  </w:r>
                </w:p>
              </w:tc>
            </w:tr>
            <w:tr w14:paraId="095DBF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880" w:type="dxa"/>
                  <w:vMerge w:val="continue"/>
                  <w:tcBorders>
                    <w:tl2br w:val="nil"/>
                    <w:tr2bl w:val="nil"/>
                  </w:tcBorders>
                  <w:noWrap w:val="0"/>
                  <w:vAlign w:val="center"/>
                </w:tcPr>
                <w:p w14:paraId="4F90A139">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5F19AFA6">
                  <w:pPr>
                    <w:jc w:val="center"/>
                    <w:rPr>
                      <w:rFonts w:hint="eastAsia"/>
                      <w:color w:val="auto"/>
                      <w:sz w:val="21"/>
                      <w:szCs w:val="21"/>
                      <w:u w:val="single"/>
                      <w:lang w:val="en-US" w:eastAsia="zh-CN"/>
                    </w:rPr>
                  </w:pPr>
                  <w:r>
                    <w:rPr>
                      <w:rFonts w:hint="eastAsia"/>
                      <w:color w:val="auto"/>
                      <w:sz w:val="21"/>
                      <w:szCs w:val="21"/>
                      <w:u w:val="single"/>
                      <w:lang w:val="en-US" w:eastAsia="zh-CN"/>
                    </w:rPr>
                    <w:t>电动调节球阀</w:t>
                  </w:r>
                </w:p>
              </w:tc>
              <w:tc>
                <w:tcPr>
                  <w:tcW w:w="2097" w:type="dxa"/>
                  <w:tcBorders>
                    <w:tl2br w:val="nil"/>
                    <w:tr2bl w:val="nil"/>
                  </w:tcBorders>
                  <w:noWrap w:val="0"/>
                  <w:vAlign w:val="center"/>
                </w:tcPr>
                <w:p w14:paraId="2D09C18E">
                  <w:pPr>
                    <w:jc w:val="center"/>
                    <w:rPr>
                      <w:rFonts w:hint="eastAsia"/>
                      <w:color w:val="auto"/>
                      <w:sz w:val="21"/>
                      <w:szCs w:val="21"/>
                      <w:u w:val="single"/>
                      <w:lang w:val="en-US" w:eastAsia="zh-CN"/>
                    </w:rPr>
                  </w:pPr>
                  <w:r>
                    <w:rPr>
                      <w:rFonts w:hint="eastAsia"/>
                      <w:color w:val="auto"/>
                      <w:sz w:val="21"/>
                      <w:szCs w:val="21"/>
                      <w:u w:val="single"/>
                      <w:lang w:val="en-US" w:eastAsia="zh-CN"/>
                    </w:rPr>
                    <w:t>Q941F-16P；2台；PN1.6MPa</w:t>
                  </w:r>
                </w:p>
              </w:tc>
              <w:tc>
                <w:tcPr>
                  <w:tcW w:w="2364" w:type="dxa"/>
                  <w:tcBorders>
                    <w:tl2br w:val="nil"/>
                    <w:tr2bl w:val="nil"/>
                  </w:tcBorders>
                  <w:noWrap w:val="0"/>
                  <w:vAlign w:val="center"/>
                </w:tcPr>
                <w:p w14:paraId="0A2E9813">
                  <w:pPr>
                    <w:jc w:val="center"/>
                    <w:rPr>
                      <w:rFonts w:hint="eastAsia"/>
                      <w:color w:val="auto"/>
                      <w:sz w:val="21"/>
                      <w:szCs w:val="21"/>
                      <w:u w:val="single"/>
                      <w:lang w:val="en-US" w:eastAsia="zh-CN"/>
                    </w:rPr>
                  </w:pPr>
                  <w:r>
                    <w:rPr>
                      <w:rFonts w:hint="eastAsia"/>
                      <w:color w:val="auto"/>
                      <w:sz w:val="21"/>
                      <w:szCs w:val="21"/>
                      <w:u w:val="single"/>
                      <w:lang w:val="en-US" w:eastAsia="zh-CN"/>
                    </w:rPr>
                    <w:t>Q941F-16P；2台；PN1.6MPa</w:t>
                  </w:r>
                </w:p>
              </w:tc>
              <w:tc>
                <w:tcPr>
                  <w:tcW w:w="1622" w:type="dxa"/>
                  <w:tcBorders>
                    <w:tl2br w:val="nil"/>
                    <w:tr2bl w:val="nil"/>
                  </w:tcBorders>
                  <w:noWrap w:val="0"/>
                  <w:vAlign w:val="center"/>
                </w:tcPr>
                <w:p w14:paraId="0D4E58A0">
                  <w:pPr>
                    <w:jc w:val="center"/>
                    <w:rPr>
                      <w:rFonts w:hint="eastAsia"/>
                      <w:color w:val="auto"/>
                      <w:sz w:val="21"/>
                      <w:szCs w:val="21"/>
                      <w:u w:val="single"/>
                      <w:lang w:val="en-US" w:eastAsia="zh-CN"/>
                    </w:rPr>
                  </w:pPr>
                  <w:r>
                    <w:rPr>
                      <w:rFonts w:hint="eastAsia"/>
                      <w:color w:val="auto"/>
                      <w:sz w:val="21"/>
                      <w:szCs w:val="21"/>
                      <w:u w:val="single"/>
                      <w:lang w:val="en-US" w:eastAsia="zh-CN"/>
                    </w:rPr>
                    <w:t>无</w:t>
                  </w:r>
                </w:p>
              </w:tc>
            </w:tr>
            <w:tr w14:paraId="030A52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02" w:hRule="atLeast"/>
              </w:trPr>
              <w:tc>
                <w:tcPr>
                  <w:tcW w:w="880" w:type="dxa"/>
                  <w:vMerge w:val="continue"/>
                  <w:tcBorders>
                    <w:tl2br w:val="nil"/>
                    <w:tr2bl w:val="nil"/>
                  </w:tcBorders>
                  <w:noWrap w:val="0"/>
                  <w:vAlign w:val="center"/>
                </w:tcPr>
                <w:p w14:paraId="22A38AB8">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0B6DFDF5">
                  <w:pPr>
                    <w:jc w:val="center"/>
                    <w:rPr>
                      <w:rFonts w:hint="eastAsia"/>
                      <w:color w:val="auto"/>
                      <w:sz w:val="21"/>
                      <w:szCs w:val="21"/>
                      <w:u w:val="single"/>
                      <w:lang w:val="en-US" w:eastAsia="zh-CN"/>
                    </w:rPr>
                  </w:pPr>
                  <w:r>
                    <w:rPr>
                      <w:rFonts w:hint="eastAsia"/>
                      <w:color w:val="auto"/>
                      <w:sz w:val="21"/>
                      <w:szCs w:val="21"/>
                      <w:u w:val="single"/>
                      <w:lang w:val="en-US" w:eastAsia="zh-CN"/>
                    </w:rPr>
                    <w:t>电磁流量计</w:t>
                  </w:r>
                </w:p>
              </w:tc>
              <w:tc>
                <w:tcPr>
                  <w:tcW w:w="2097" w:type="dxa"/>
                  <w:tcBorders>
                    <w:tl2br w:val="nil"/>
                    <w:tr2bl w:val="nil"/>
                  </w:tcBorders>
                  <w:noWrap w:val="0"/>
                  <w:vAlign w:val="center"/>
                </w:tcPr>
                <w:p w14:paraId="0626D3C3">
                  <w:pPr>
                    <w:jc w:val="center"/>
                    <w:rPr>
                      <w:rFonts w:hint="default"/>
                      <w:color w:val="auto"/>
                      <w:sz w:val="21"/>
                      <w:szCs w:val="21"/>
                      <w:u w:val="single"/>
                      <w:lang w:val="en-US" w:eastAsia="zh-CN"/>
                    </w:rPr>
                  </w:pPr>
                  <w:r>
                    <w:rPr>
                      <w:rFonts w:hint="eastAsia"/>
                      <w:color w:val="auto"/>
                      <w:sz w:val="21"/>
                      <w:szCs w:val="21"/>
                      <w:u w:val="single"/>
                      <w:lang w:val="en-US" w:eastAsia="zh-CN"/>
                    </w:rPr>
                    <w:t>WW-50FZBP3ACifPUNE-TUC；1台；</w:t>
                  </w:r>
                  <w:r>
                    <w:rPr>
                      <w:rFonts w:hint="eastAsia" w:ascii="Times New Roman" w:cs="Times New Roman"/>
                      <w:b w:val="0"/>
                      <w:bCs w:val="0"/>
                      <w:color w:val="auto"/>
                      <w:sz w:val="21"/>
                      <w:szCs w:val="21"/>
                      <w:u w:val="single"/>
                      <w:vertAlign w:val="baseline"/>
                      <w:lang w:val="en-US" w:eastAsia="zh-CN"/>
                    </w:rPr>
                    <w:t>DN150，4-20mA，220AC</w:t>
                  </w:r>
                </w:p>
              </w:tc>
              <w:tc>
                <w:tcPr>
                  <w:tcW w:w="2364" w:type="dxa"/>
                  <w:tcBorders>
                    <w:tl2br w:val="nil"/>
                    <w:tr2bl w:val="nil"/>
                  </w:tcBorders>
                  <w:noWrap w:val="0"/>
                  <w:vAlign w:val="center"/>
                </w:tcPr>
                <w:p w14:paraId="6134B12F">
                  <w:pPr>
                    <w:jc w:val="center"/>
                    <w:rPr>
                      <w:rFonts w:hint="eastAsia"/>
                      <w:color w:val="auto"/>
                      <w:sz w:val="21"/>
                      <w:szCs w:val="21"/>
                      <w:u w:val="single"/>
                      <w:lang w:val="en-US" w:eastAsia="zh-CN"/>
                    </w:rPr>
                  </w:pPr>
                  <w:r>
                    <w:rPr>
                      <w:rFonts w:hint="eastAsia"/>
                      <w:color w:val="auto"/>
                      <w:sz w:val="21"/>
                      <w:szCs w:val="21"/>
                      <w:u w:val="single"/>
                      <w:lang w:val="en-US" w:eastAsia="zh-CN"/>
                    </w:rPr>
                    <w:t>WW-50FZBP3ACifPUNE-TUC；1台；</w:t>
                  </w:r>
                  <w:r>
                    <w:rPr>
                      <w:rFonts w:hint="eastAsia" w:ascii="Times New Roman" w:cs="Times New Roman"/>
                      <w:b w:val="0"/>
                      <w:bCs w:val="0"/>
                      <w:color w:val="auto"/>
                      <w:sz w:val="21"/>
                      <w:szCs w:val="21"/>
                      <w:u w:val="single"/>
                      <w:vertAlign w:val="baseline"/>
                      <w:lang w:val="en-US" w:eastAsia="zh-CN"/>
                    </w:rPr>
                    <w:t>DN150，4-20mA，220AC</w:t>
                  </w:r>
                </w:p>
              </w:tc>
              <w:tc>
                <w:tcPr>
                  <w:tcW w:w="1622" w:type="dxa"/>
                  <w:tcBorders>
                    <w:tl2br w:val="nil"/>
                    <w:tr2bl w:val="nil"/>
                  </w:tcBorders>
                  <w:noWrap w:val="0"/>
                  <w:vAlign w:val="center"/>
                </w:tcPr>
                <w:p w14:paraId="7F77DC83">
                  <w:pPr>
                    <w:jc w:val="center"/>
                    <w:rPr>
                      <w:rFonts w:hint="eastAsia"/>
                      <w:color w:val="auto"/>
                      <w:sz w:val="21"/>
                      <w:szCs w:val="21"/>
                      <w:u w:val="single"/>
                      <w:lang w:val="en-US" w:eastAsia="zh-CN"/>
                    </w:rPr>
                  </w:pPr>
                  <w:r>
                    <w:rPr>
                      <w:rFonts w:hint="eastAsia"/>
                      <w:color w:val="auto"/>
                      <w:sz w:val="21"/>
                      <w:szCs w:val="21"/>
                      <w:u w:val="single"/>
                      <w:lang w:val="en-US" w:eastAsia="zh-CN"/>
                    </w:rPr>
                    <w:t>无</w:t>
                  </w:r>
                </w:p>
              </w:tc>
            </w:tr>
            <w:tr w14:paraId="326D02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880" w:type="dxa"/>
                  <w:vMerge w:val="continue"/>
                  <w:tcBorders>
                    <w:tl2br w:val="nil"/>
                    <w:tr2bl w:val="nil"/>
                  </w:tcBorders>
                  <w:noWrap w:val="0"/>
                  <w:vAlign w:val="center"/>
                </w:tcPr>
                <w:p w14:paraId="094DEC50">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212ED113">
                  <w:pPr>
                    <w:jc w:val="center"/>
                    <w:rPr>
                      <w:rFonts w:hint="eastAsia"/>
                      <w:color w:val="auto"/>
                      <w:sz w:val="21"/>
                      <w:szCs w:val="21"/>
                      <w:u w:val="single"/>
                      <w:lang w:val="en-US" w:eastAsia="zh-CN"/>
                    </w:rPr>
                  </w:pPr>
                  <w:r>
                    <w:rPr>
                      <w:rFonts w:hint="eastAsia"/>
                      <w:color w:val="auto"/>
                      <w:sz w:val="21"/>
                      <w:szCs w:val="21"/>
                      <w:u w:val="single"/>
                      <w:lang w:val="en-US" w:eastAsia="zh-CN"/>
                    </w:rPr>
                    <w:t>站内生产供水管路</w:t>
                  </w:r>
                </w:p>
              </w:tc>
              <w:tc>
                <w:tcPr>
                  <w:tcW w:w="2097" w:type="dxa"/>
                  <w:tcBorders>
                    <w:tl2br w:val="nil"/>
                    <w:tr2bl w:val="nil"/>
                  </w:tcBorders>
                  <w:noWrap w:val="0"/>
                  <w:vAlign w:val="center"/>
                </w:tcPr>
                <w:p w14:paraId="432C9512">
                  <w:pPr>
                    <w:jc w:val="center"/>
                    <w:rPr>
                      <w:rFonts w:hint="eastAsia"/>
                      <w:color w:val="auto"/>
                      <w:sz w:val="21"/>
                      <w:szCs w:val="21"/>
                      <w:u w:val="single"/>
                      <w:lang w:val="en-US" w:eastAsia="zh-CN"/>
                    </w:rPr>
                  </w:pPr>
                  <w:r>
                    <w:rPr>
                      <w:rFonts w:hint="eastAsia"/>
                      <w:color w:val="auto"/>
                      <w:sz w:val="21"/>
                      <w:szCs w:val="21"/>
                      <w:u w:val="single"/>
                      <w:lang w:val="en-US" w:eastAsia="zh-CN"/>
                    </w:rPr>
                    <w:t>DN80、DN50、DN125；</w:t>
                  </w:r>
                </w:p>
                <w:p w14:paraId="541316EF">
                  <w:pPr>
                    <w:jc w:val="center"/>
                    <w:rPr>
                      <w:rFonts w:hint="default"/>
                      <w:color w:val="auto"/>
                      <w:sz w:val="21"/>
                      <w:szCs w:val="21"/>
                      <w:u w:val="single"/>
                      <w:lang w:val="en-US" w:eastAsia="zh-CN"/>
                    </w:rPr>
                  </w:pPr>
                  <w:r>
                    <w:rPr>
                      <w:rFonts w:hint="eastAsia"/>
                      <w:color w:val="auto"/>
                      <w:sz w:val="21"/>
                      <w:szCs w:val="21"/>
                      <w:u w:val="single"/>
                      <w:lang w:val="en-US" w:eastAsia="zh-CN"/>
                    </w:rPr>
                    <w:t>200m</w:t>
                  </w:r>
                </w:p>
              </w:tc>
              <w:tc>
                <w:tcPr>
                  <w:tcW w:w="2364" w:type="dxa"/>
                  <w:tcBorders>
                    <w:tl2br w:val="nil"/>
                    <w:tr2bl w:val="nil"/>
                  </w:tcBorders>
                  <w:noWrap w:val="0"/>
                  <w:vAlign w:val="center"/>
                </w:tcPr>
                <w:p w14:paraId="57DDE634">
                  <w:pPr>
                    <w:jc w:val="center"/>
                    <w:rPr>
                      <w:rFonts w:hint="eastAsia"/>
                      <w:color w:val="auto"/>
                      <w:sz w:val="21"/>
                      <w:szCs w:val="21"/>
                      <w:u w:val="single"/>
                      <w:lang w:val="en-US" w:eastAsia="zh-CN"/>
                    </w:rPr>
                  </w:pPr>
                  <w:r>
                    <w:rPr>
                      <w:rFonts w:hint="eastAsia"/>
                      <w:color w:val="auto"/>
                      <w:sz w:val="21"/>
                      <w:szCs w:val="21"/>
                      <w:u w:val="single"/>
                      <w:lang w:val="en-US" w:eastAsia="zh-CN"/>
                    </w:rPr>
                    <w:t>DN80、DN50、DN125；</w:t>
                  </w:r>
                </w:p>
                <w:p w14:paraId="4FA120C0">
                  <w:pPr>
                    <w:jc w:val="center"/>
                    <w:rPr>
                      <w:rFonts w:hint="default"/>
                      <w:color w:val="auto"/>
                      <w:sz w:val="21"/>
                      <w:szCs w:val="21"/>
                      <w:u w:val="single"/>
                      <w:lang w:val="en-US" w:eastAsia="zh-CN"/>
                    </w:rPr>
                  </w:pPr>
                  <w:r>
                    <w:rPr>
                      <w:rFonts w:hint="eastAsia"/>
                      <w:color w:val="auto"/>
                      <w:sz w:val="21"/>
                      <w:szCs w:val="21"/>
                      <w:u w:val="single"/>
                      <w:lang w:val="en-US" w:eastAsia="zh-CN"/>
                    </w:rPr>
                    <w:t>200m</w:t>
                  </w:r>
                </w:p>
              </w:tc>
              <w:tc>
                <w:tcPr>
                  <w:tcW w:w="1622" w:type="dxa"/>
                  <w:tcBorders>
                    <w:tl2br w:val="nil"/>
                    <w:tr2bl w:val="nil"/>
                  </w:tcBorders>
                  <w:noWrap w:val="0"/>
                  <w:vAlign w:val="center"/>
                </w:tcPr>
                <w:p w14:paraId="4D86E676">
                  <w:pPr>
                    <w:jc w:val="center"/>
                    <w:rPr>
                      <w:rFonts w:hint="eastAsia"/>
                      <w:color w:val="auto"/>
                      <w:sz w:val="21"/>
                      <w:szCs w:val="21"/>
                      <w:u w:val="single"/>
                      <w:lang w:val="en-US" w:eastAsia="zh-CN"/>
                    </w:rPr>
                  </w:pPr>
                  <w:r>
                    <w:rPr>
                      <w:rFonts w:hint="eastAsia"/>
                      <w:color w:val="auto"/>
                      <w:sz w:val="21"/>
                      <w:szCs w:val="21"/>
                      <w:u w:val="single"/>
                      <w:lang w:val="en-US" w:eastAsia="zh-CN"/>
                    </w:rPr>
                    <w:t>无</w:t>
                  </w:r>
                </w:p>
              </w:tc>
            </w:tr>
            <w:tr w14:paraId="3F239D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880" w:type="dxa"/>
                  <w:vMerge w:val="restart"/>
                  <w:tcBorders>
                    <w:tl2br w:val="nil"/>
                    <w:tr2bl w:val="nil"/>
                  </w:tcBorders>
                  <w:noWrap w:val="0"/>
                  <w:vAlign w:val="center"/>
                </w:tcPr>
                <w:p w14:paraId="22C6FE68">
                  <w:pPr>
                    <w:jc w:val="center"/>
                    <w:rPr>
                      <w:rFonts w:hint="default"/>
                      <w:color w:val="auto"/>
                      <w:sz w:val="21"/>
                      <w:szCs w:val="21"/>
                      <w:u w:val="single"/>
                      <w:lang w:val="en-US" w:eastAsia="zh-CN"/>
                    </w:rPr>
                  </w:pPr>
                  <w:r>
                    <w:rPr>
                      <w:rFonts w:hint="eastAsia"/>
                      <w:color w:val="auto"/>
                      <w:sz w:val="21"/>
                      <w:szCs w:val="21"/>
                      <w:u w:val="single"/>
                      <w:lang w:val="en-US" w:eastAsia="zh-CN"/>
                    </w:rPr>
                    <w:t>胶凝材料存储与输送系统</w:t>
                  </w:r>
                </w:p>
              </w:tc>
              <w:tc>
                <w:tcPr>
                  <w:tcW w:w="1383" w:type="dxa"/>
                  <w:tcBorders>
                    <w:tl2br w:val="nil"/>
                    <w:tr2bl w:val="nil"/>
                  </w:tcBorders>
                  <w:noWrap w:val="0"/>
                  <w:vAlign w:val="center"/>
                </w:tcPr>
                <w:p w14:paraId="7495FB14">
                  <w:pPr>
                    <w:jc w:val="center"/>
                    <w:rPr>
                      <w:rFonts w:hint="eastAsia"/>
                      <w:color w:val="auto"/>
                      <w:sz w:val="21"/>
                      <w:szCs w:val="21"/>
                      <w:u w:val="single"/>
                      <w:lang w:val="en-US" w:eastAsia="zh-CN"/>
                    </w:rPr>
                  </w:pPr>
                  <w:r>
                    <w:rPr>
                      <w:rFonts w:hint="eastAsia"/>
                      <w:color w:val="auto"/>
                      <w:sz w:val="21"/>
                      <w:szCs w:val="21"/>
                      <w:u w:val="single"/>
                      <w:lang w:val="en-US" w:eastAsia="zh-CN"/>
                    </w:rPr>
                    <w:t>集成胶结剂仓</w:t>
                  </w:r>
                </w:p>
              </w:tc>
              <w:tc>
                <w:tcPr>
                  <w:tcW w:w="2097" w:type="dxa"/>
                  <w:tcBorders>
                    <w:tl2br w:val="nil"/>
                    <w:tr2bl w:val="nil"/>
                  </w:tcBorders>
                  <w:noWrap w:val="0"/>
                  <w:vAlign w:val="center"/>
                </w:tcPr>
                <w:p w14:paraId="7E490528">
                  <w:pPr>
                    <w:jc w:val="center"/>
                    <w:rPr>
                      <w:rFonts w:hint="default"/>
                      <w:color w:val="auto"/>
                      <w:sz w:val="21"/>
                      <w:szCs w:val="21"/>
                      <w:u w:val="single"/>
                      <w:lang w:val="en-US" w:eastAsia="zh-CN"/>
                    </w:rPr>
                  </w:pPr>
                  <w:r>
                    <w:rPr>
                      <w:rFonts w:hint="eastAsia"/>
                      <w:color w:val="auto"/>
                      <w:sz w:val="21"/>
                      <w:szCs w:val="21"/>
                      <w:u w:val="single"/>
                      <w:lang w:val="en-US" w:eastAsia="zh-CN"/>
                    </w:rPr>
                    <w:t>JCC5-500；1套；</w:t>
                  </w:r>
                  <w:r>
                    <w:rPr>
                      <w:rFonts w:hint="eastAsia" w:ascii="Times New Roman" w:cs="Times New Roman"/>
                      <w:b w:val="0"/>
                      <w:bCs w:val="0"/>
                      <w:color w:val="auto"/>
                      <w:sz w:val="21"/>
                      <w:szCs w:val="21"/>
                      <w:u w:val="single"/>
                      <w:vertAlign w:val="baseline"/>
                      <w:lang w:val="en-US" w:eastAsia="zh-CN"/>
                    </w:rPr>
                    <w:t>处理能力</w:t>
                  </w:r>
                  <w:r>
                    <w:rPr>
                      <w:rFonts w:hint="eastAsia" w:ascii="Times New Roman" w:cs="Times New Roman"/>
                      <w:bCs/>
                      <w:color w:val="auto"/>
                      <w:kern w:val="2"/>
                      <w:sz w:val="21"/>
                      <w:szCs w:val="21"/>
                      <w:u w:val="single"/>
                      <w:vertAlign w:val="baseline"/>
                      <w:lang w:val="en-US" w:eastAsia="zh-CN" w:bidi="ar-SA"/>
                    </w:rPr>
                    <w:t>30</w:t>
                  </w:r>
                  <w:r>
                    <w:rPr>
                      <w:rFonts w:hint="eastAsia" w:ascii="Times New Roman" w:hAnsi="Times New Roman" w:eastAsia="宋体" w:cs="Times New Roman"/>
                      <w:bCs/>
                      <w:color w:val="auto"/>
                      <w:kern w:val="2"/>
                      <w:sz w:val="21"/>
                      <w:szCs w:val="21"/>
                      <w:u w:val="single"/>
                      <w:vertAlign w:val="baseline"/>
                      <w:lang w:val="en-US" w:eastAsia="zh-CN" w:bidi="ar-SA"/>
                    </w:rPr>
                    <w:t>t/h-</w:t>
                  </w:r>
                  <w:r>
                    <w:rPr>
                      <w:rFonts w:hint="eastAsia" w:ascii="Times New Roman" w:cs="Times New Roman"/>
                      <w:bCs/>
                      <w:color w:val="auto"/>
                      <w:kern w:val="2"/>
                      <w:sz w:val="21"/>
                      <w:szCs w:val="21"/>
                      <w:u w:val="single"/>
                      <w:vertAlign w:val="baseline"/>
                      <w:lang w:val="en-US" w:eastAsia="zh-CN" w:bidi="ar-SA"/>
                    </w:rPr>
                    <w:t>5</w:t>
                  </w:r>
                  <w:r>
                    <w:rPr>
                      <w:rFonts w:hint="eastAsia" w:ascii="Times New Roman" w:hAnsi="Times New Roman" w:eastAsia="宋体" w:cs="Times New Roman"/>
                      <w:bCs/>
                      <w:color w:val="auto"/>
                      <w:kern w:val="2"/>
                      <w:sz w:val="21"/>
                      <w:szCs w:val="21"/>
                      <w:u w:val="single"/>
                      <w:vertAlign w:val="baseline"/>
                      <w:lang w:val="en-US" w:eastAsia="zh-CN" w:bidi="ar-SA"/>
                    </w:rPr>
                    <w:t>0t/h</w:t>
                  </w:r>
                </w:p>
              </w:tc>
              <w:tc>
                <w:tcPr>
                  <w:tcW w:w="2364" w:type="dxa"/>
                  <w:tcBorders>
                    <w:tl2br w:val="nil"/>
                    <w:tr2bl w:val="nil"/>
                  </w:tcBorders>
                  <w:noWrap w:val="0"/>
                  <w:vAlign w:val="center"/>
                </w:tcPr>
                <w:p w14:paraId="588C93C3">
                  <w:pPr>
                    <w:jc w:val="center"/>
                    <w:rPr>
                      <w:rFonts w:hint="default"/>
                      <w:color w:val="auto"/>
                      <w:sz w:val="21"/>
                      <w:szCs w:val="21"/>
                      <w:u w:val="single"/>
                      <w:lang w:val="en-US" w:eastAsia="zh-CN"/>
                    </w:rPr>
                  </w:pPr>
                  <w:r>
                    <w:rPr>
                      <w:rFonts w:hint="eastAsia"/>
                      <w:color w:val="auto"/>
                      <w:sz w:val="21"/>
                      <w:szCs w:val="21"/>
                      <w:u w:val="single"/>
                      <w:lang w:val="en-US" w:eastAsia="zh-CN"/>
                    </w:rPr>
                    <w:t>JCC5-500；1套；</w:t>
                  </w:r>
                  <w:r>
                    <w:rPr>
                      <w:rFonts w:hint="eastAsia" w:ascii="Times New Roman" w:cs="Times New Roman"/>
                      <w:b w:val="0"/>
                      <w:bCs w:val="0"/>
                      <w:color w:val="auto"/>
                      <w:sz w:val="21"/>
                      <w:szCs w:val="21"/>
                      <w:u w:val="single"/>
                      <w:vertAlign w:val="baseline"/>
                      <w:lang w:val="en-US" w:eastAsia="zh-CN"/>
                    </w:rPr>
                    <w:t>处理能力</w:t>
                  </w:r>
                  <w:r>
                    <w:rPr>
                      <w:rFonts w:hint="eastAsia" w:ascii="Times New Roman" w:cs="Times New Roman"/>
                      <w:bCs/>
                      <w:color w:val="auto"/>
                      <w:kern w:val="2"/>
                      <w:sz w:val="21"/>
                      <w:szCs w:val="21"/>
                      <w:u w:val="single"/>
                      <w:vertAlign w:val="baseline"/>
                      <w:lang w:val="en-US" w:eastAsia="zh-CN" w:bidi="ar-SA"/>
                    </w:rPr>
                    <w:t>30</w:t>
                  </w:r>
                  <w:r>
                    <w:rPr>
                      <w:rFonts w:hint="eastAsia" w:ascii="Times New Roman" w:hAnsi="Times New Roman" w:eastAsia="宋体" w:cs="Times New Roman"/>
                      <w:bCs/>
                      <w:color w:val="auto"/>
                      <w:kern w:val="2"/>
                      <w:sz w:val="21"/>
                      <w:szCs w:val="21"/>
                      <w:u w:val="single"/>
                      <w:vertAlign w:val="baseline"/>
                      <w:lang w:val="en-US" w:eastAsia="zh-CN" w:bidi="ar-SA"/>
                    </w:rPr>
                    <w:t>t/h-</w:t>
                  </w:r>
                  <w:r>
                    <w:rPr>
                      <w:rFonts w:hint="eastAsia" w:ascii="Times New Roman" w:cs="Times New Roman"/>
                      <w:bCs/>
                      <w:color w:val="auto"/>
                      <w:kern w:val="2"/>
                      <w:sz w:val="21"/>
                      <w:szCs w:val="21"/>
                      <w:u w:val="single"/>
                      <w:vertAlign w:val="baseline"/>
                      <w:lang w:val="en-US" w:eastAsia="zh-CN" w:bidi="ar-SA"/>
                    </w:rPr>
                    <w:t>5</w:t>
                  </w:r>
                  <w:r>
                    <w:rPr>
                      <w:rFonts w:hint="eastAsia" w:ascii="Times New Roman" w:hAnsi="Times New Roman" w:eastAsia="宋体" w:cs="Times New Roman"/>
                      <w:bCs/>
                      <w:color w:val="auto"/>
                      <w:kern w:val="2"/>
                      <w:sz w:val="21"/>
                      <w:szCs w:val="21"/>
                      <w:u w:val="single"/>
                      <w:vertAlign w:val="baseline"/>
                      <w:lang w:val="en-US" w:eastAsia="zh-CN" w:bidi="ar-SA"/>
                    </w:rPr>
                    <w:t>0t/h</w:t>
                  </w:r>
                </w:p>
              </w:tc>
              <w:tc>
                <w:tcPr>
                  <w:tcW w:w="1622" w:type="dxa"/>
                  <w:tcBorders>
                    <w:tl2br w:val="nil"/>
                    <w:tr2bl w:val="nil"/>
                  </w:tcBorders>
                  <w:noWrap w:val="0"/>
                  <w:vAlign w:val="center"/>
                </w:tcPr>
                <w:p w14:paraId="4DBE7F4A">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295816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880" w:type="dxa"/>
                  <w:vMerge w:val="continue"/>
                  <w:tcBorders>
                    <w:tl2br w:val="nil"/>
                    <w:tr2bl w:val="nil"/>
                  </w:tcBorders>
                  <w:noWrap w:val="0"/>
                  <w:vAlign w:val="center"/>
                </w:tcPr>
                <w:p w14:paraId="08ABBBF4">
                  <w:pPr>
                    <w:jc w:val="center"/>
                    <w:rPr>
                      <w:color w:val="auto"/>
                      <w:sz w:val="21"/>
                      <w:szCs w:val="21"/>
                      <w:u w:val="single"/>
                    </w:rPr>
                  </w:pPr>
                </w:p>
              </w:tc>
              <w:tc>
                <w:tcPr>
                  <w:tcW w:w="1383" w:type="dxa"/>
                  <w:tcBorders>
                    <w:tl2br w:val="nil"/>
                    <w:tr2bl w:val="nil"/>
                  </w:tcBorders>
                  <w:noWrap w:val="0"/>
                  <w:vAlign w:val="center"/>
                </w:tcPr>
                <w:p w14:paraId="0D73AC73">
                  <w:pPr>
                    <w:jc w:val="center"/>
                    <w:rPr>
                      <w:rFonts w:hint="eastAsia"/>
                      <w:color w:val="auto"/>
                      <w:sz w:val="21"/>
                      <w:szCs w:val="21"/>
                      <w:u w:val="single"/>
                      <w:lang w:val="en-US" w:eastAsia="zh-CN"/>
                    </w:rPr>
                  </w:pPr>
                  <w:r>
                    <w:rPr>
                      <w:rFonts w:hint="eastAsia"/>
                      <w:color w:val="auto"/>
                      <w:sz w:val="21"/>
                      <w:szCs w:val="21"/>
                      <w:u w:val="single"/>
                      <w:lang w:val="en-US" w:eastAsia="zh-CN"/>
                    </w:rPr>
                    <w:t>双螺旋给料机</w:t>
                  </w:r>
                </w:p>
              </w:tc>
              <w:tc>
                <w:tcPr>
                  <w:tcW w:w="2097" w:type="dxa"/>
                  <w:tcBorders>
                    <w:tl2br w:val="nil"/>
                    <w:tr2bl w:val="nil"/>
                  </w:tcBorders>
                  <w:noWrap w:val="0"/>
                  <w:vAlign w:val="center"/>
                </w:tcPr>
                <w:p w14:paraId="3C7FF088">
                  <w:pPr>
                    <w:jc w:val="center"/>
                    <w:rPr>
                      <w:rFonts w:hint="default"/>
                      <w:color w:val="auto"/>
                      <w:sz w:val="21"/>
                      <w:szCs w:val="21"/>
                      <w:u w:val="single"/>
                      <w:lang w:val="en-US" w:eastAsia="zh-CN"/>
                    </w:rPr>
                  </w:pPr>
                  <w:r>
                    <w:rPr>
                      <w:rFonts w:hint="eastAsia"/>
                      <w:color w:val="auto"/>
                      <w:sz w:val="21"/>
                      <w:szCs w:val="21"/>
                      <w:u w:val="single"/>
                      <w:lang w:val="en-US" w:eastAsia="zh-CN"/>
                    </w:rPr>
                    <w:t>LXG 2x250-3000；1台</w:t>
                  </w:r>
                  <w:r>
                    <w:rPr>
                      <w:rFonts w:hint="eastAsia" w:cs="Times New Roman"/>
                      <w:bCs/>
                      <w:color w:val="auto"/>
                      <w:sz w:val="21"/>
                      <w:szCs w:val="21"/>
                      <w:u w:val="single"/>
                      <w:vertAlign w:val="baseline"/>
                      <w:lang w:val="en-US" w:eastAsia="zh-CN"/>
                    </w:rPr>
                    <w:t>进料口800x800，功率11KW</w:t>
                  </w:r>
                  <w:r>
                    <w:rPr>
                      <w:rFonts w:hint="eastAsia"/>
                      <w:color w:val="auto"/>
                      <w:sz w:val="21"/>
                      <w:szCs w:val="21"/>
                      <w:u w:val="single"/>
                      <w:lang w:val="en-US" w:eastAsia="zh-CN"/>
                    </w:rPr>
                    <w:t>；</w:t>
                  </w:r>
                </w:p>
              </w:tc>
              <w:tc>
                <w:tcPr>
                  <w:tcW w:w="2364" w:type="dxa"/>
                  <w:tcBorders>
                    <w:tl2br w:val="nil"/>
                    <w:tr2bl w:val="nil"/>
                  </w:tcBorders>
                  <w:noWrap w:val="0"/>
                  <w:vAlign w:val="center"/>
                </w:tcPr>
                <w:p w14:paraId="3B0651F2">
                  <w:pPr>
                    <w:jc w:val="center"/>
                    <w:rPr>
                      <w:rFonts w:hint="eastAsia"/>
                      <w:color w:val="auto"/>
                      <w:sz w:val="21"/>
                      <w:szCs w:val="21"/>
                      <w:u w:val="single"/>
                      <w:lang w:val="en-US" w:eastAsia="zh-CN"/>
                    </w:rPr>
                  </w:pPr>
                  <w:r>
                    <w:rPr>
                      <w:rFonts w:hint="eastAsia"/>
                      <w:color w:val="auto"/>
                      <w:sz w:val="21"/>
                      <w:szCs w:val="21"/>
                      <w:u w:val="single"/>
                      <w:lang w:val="en-US" w:eastAsia="zh-CN"/>
                    </w:rPr>
                    <w:t>LXG 2x250-3000；1台</w:t>
                  </w:r>
                  <w:r>
                    <w:rPr>
                      <w:rFonts w:hint="eastAsia" w:cs="Times New Roman"/>
                      <w:bCs/>
                      <w:color w:val="auto"/>
                      <w:sz w:val="21"/>
                      <w:szCs w:val="21"/>
                      <w:u w:val="single"/>
                      <w:vertAlign w:val="baseline"/>
                      <w:lang w:val="en-US" w:eastAsia="zh-CN"/>
                    </w:rPr>
                    <w:t>进料口800x800，功率11KW</w:t>
                  </w:r>
                  <w:r>
                    <w:rPr>
                      <w:rFonts w:hint="eastAsia"/>
                      <w:color w:val="auto"/>
                      <w:sz w:val="21"/>
                      <w:szCs w:val="21"/>
                      <w:u w:val="single"/>
                      <w:lang w:val="en-US" w:eastAsia="zh-CN"/>
                    </w:rPr>
                    <w:t>；</w:t>
                  </w:r>
                </w:p>
              </w:tc>
              <w:tc>
                <w:tcPr>
                  <w:tcW w:w="1622" w:type="dxa"/>
                  <w:tcBorders>
                    <w:tl2br w:val="nil"/>
                    <w:tr2bl w:val="nil"/>
                  </w:tcBorders>
                  <w:noWrap w:val="0"/>
                  <w:vAlign w:val="center"/>
                </w:tcPr>
                <w:p w14:paraId="08E41D4F">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4B6622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80" w:type="dxa"/>
                  <w:vMerge w:val="continue"/>
                  <w:tcBorders>
                    <w:tl2br w:val="nil"/>
                    <w:tr2bl w:val="nil"/>
                  </w:tcBorders>
                  <w:noWrap w:val="0"/>
                  <w:vAlign w:val="center"/>
                </w:tcPr>
                <w:p w14:paraId="5D460F30">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5BB3EB7A">
                  <w:pPr>
                    <w:jc w:val="center"/>
                    <w:rPr>
                      <w:rFonts w:hint="eastAsia"/>
                      <w:color w:val="auto"/>
                      <w:sz w:val="21"/>
                      <w:szCs w:val="21"/>
                      <w:u w:val="single"/>
                      <w:lang w:val="en-US" w:eastAsia="zh-CN"/>
                    </w:rPr>
                  </w:pPr>
                  <w:r>
                    <w:rPr>
                      <w:rFonts w:hint="eastAsia"/>
                      <w:color w:val="auto"/>
                      <w:sz w:val="21"/>
                      <w:szCs w:val="21"/>
                      <w:u w:val="single"/>
                      <w:lang w:val="en-US" w:eastAsia="zh-CN"/>
                    </w:rPr>
                    <w:t>仓顶除尘器</w:t>
                  </w:r>
                </w:p>
              </w:tc>
              <w:tc>
                <w:tcPr>
                  <w:tcW w:w="2097" w:type="dxa"/>
                  <w:tcBorders>
                    <w:tl2br w:val="nil"/>
                    <w:tr2bl w:val="nil"/>
                  </w:tcBorders>
                  <w:noWrap w:val="0"/>
                  <w:vAlign w:val="center"/>
                </w:tcPr>
                <w:p w14:paraId="32376F6E">
                  <w:pPr>
                    <w:jc w:val="center"/>
                    <w:rPr>
                      <w:rFonts w:hint="default"/>
                      <w:color w:val="auto"/>
                      <w:sz w:val="21"/>
                      <w:szCs w:val="21"/>
                      <w:u w:val="single"/>
                      <w:lang w:val="en-US" w:eastAsia="zh-CN"/>
                    </w:rPr>
                  </w:pPr>
                  <w:r>
                    <w:rPr>
                      <w:rFonts w:hint="eastAsia"/>
                      <w:color w:val="auto"/>
                      <w:sz w:val="21"/>
                      <w:szCs w:val="21"/>
                      <w:u w:val="single"/>
                      <w:lang w:val="en-US" w:eastAsia="zh-CN"/>
                    </w:rPr>
                    <w:t>HW-24/14；1台</w:t>
                  </w:r>
                </w:p>
              </w:tc>
              <w:tc>
                <w:tcPr>
                  <w:tcW w:w="2364" w:type="dxa"/>
                  <w:tcBorders>
                    <w:tl2br w:val="nil"/>
                    <w:tr2bl w:val="nil"/>
                  </w:tcBorders>
                  <w:noWrap w:val="0"/>
                  <w:vAlign w:val="center"/>
                </w:tcPr>
                <w:p w14:paraId="0CE86AD4">
                  <w:pPr>
                    <w:jc w:val="center"/>
                    <w:rPr>
                      <w:rFonts w:hint="eastAsia"/>
                      <w:color w:val="auto"/>
                      <w:sz w:val="21"/>
                      <w:szCs w:val="21"/>
                      <w:u w:val="single"/>
                      <w:lang w:val="en-US" w:eastAsia="zh-CN"/>
                    </w:rPr>
                  </w:pPr>
                  <w:r>
                    <w:rPr>
                      <w:rFonts w:hint="eastAsia"/>
                      <w:color w:val="auto"/>
                      <w:sz w:val="21"/>
                      <w:szCs w:val="21"/>
                      <w:u w:val="single"/>
                      <w:lang w:val="en-US" w:eastAsia="zh-CN"/>
                    </w:rPr>
                    <w:t>HW-24/14；1台</w:t>
                  </w:r>
                </w:p>
              </w:tc>
              <w:tc>
                <w:tcPr>
                  <w:tcW w:w="1622" w:type="dxa"/>
                  <w:tcBorders>
                    <w:tl2br w:val="nil"/>
                    <w:tr2bl w:val="nil"/>
                  </w:tcBorders>
                  <w:noWrap w:val="0"/>
                  <w:vAlign w:val="center"/>
                </w:tcPr>
                <w:p w14:paraId="46C84634">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3360FB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880" w:type="dxa"/>
                  <w:vMerge w:val="restart"/>
                  <w:tcBorders>
                    <w:tl2br w:val="nil"/>
                    <w:tr2bl w:val="nil"/>
                  </w:tcBorders>
                  <w:noWrap w:val="0"/>
                  <w:vAlign w:val="center"/>
                </w:tcPr>
                <w:p w14:paraId="1E39CB83">
                  <w:pPr>
                    <w:jc w:val="center"/>
                    <w:rPr>
                      <w:rFonts w:hint="eastAsia"/>
                      <w:color w:val="auto"/>
                      <w:sz w:val="21"/>
                      <w:szCs w:val="21"/>
                      <w:u w:val="single"/>
                      <w:lang w:val="en-US" w:eastAsia="zh-CN"/>
                    </w:rPr>
                  </w:pPr>
                </w:p>
                <w:p w14:paraId="364B5543">
                  <w:pPr>
                    <w:jc w:val="center"/>
                    <w:rPr>
                      <w:rFonts w:hint="eastAsia"/>
                      <w:color w:val="auto"/>
                      <w:sz w:val="21"/>
                      <w:szCs w:val="21"/>
                      <w:u w:val="single"/>
                      <w:lang w:val="en-US" w:eastAsia="zh-CN"/>
                    </w:rPr>
                  </w:pPr>
                </w:p>
                <w:p w14:paraId="1B5EE273">
                  <w:pPr>
                    <w:jc w:val="center"/>
                    <w:rPr>
                      <w:rFonts w:hint="default"/>
                      <w:color w:val="auto"/>
                      <w:sz w:val="21"/>
                      <w:szCs w:val="21"/>
                      <w:u w:val="single"/>
                      <w:lang w:val="en-US" w:eastAsia="zh-CN"/>
                    </w:rPr>
                  </w:pPr>
                  <w:r>
                    <w:rPr>
                      <w:rFonts w:hint="eastAsia"/>
                      <w:color w:val="auto"/>
                      <w:sz w:val="21"/>
                      <w:szCs w:val="21"/>
                      <w:u w:val="single"/>
                      <w:lang w:val="en-US" w:eastAsia="zh-CN"/>
                    </w:rPr>
                    <w:t>搅拌系统</w:t>
                  </w:r>
                </w:p>
              </w:tc>
              <w:tc>
                <w:tcPr>
                  <w:tcW w:w="1383" w:type="dxa"/>
                  <w:tcBorders>
                    <w:tl2br w:val="nil"/>
                    <w:tr2bl w:val="nil"/>
                  </w:tcBorders>
                  <w:noWrap w:val="0"/>
                  <w:vAlign w:val="center"/>
                </w:tcPr>
                <w:p w14:paraId="55D8DA5E">
                  <w:pPr>
                    <w:jc w:val="center"/>
                    <w:rPr>
                      <w:rFonts w:hint="eastAsia"/>
                      <w:color w:val="auto"/>
                      <w:sz w:val="21"/>
                      <w:szCs w:val="21"/>
                      <w:u w:val="single"/>
                      <w:lang w:val="en-US" w:eastAsia="zh-CN"/>
                    </w:rPr>
                  </w:pPr>
                  <w:r>
                    <w:rPr>
                      <w:rFonts w:hint="eastAsia"/>
                      <w:color w:val="auto"/>
                      <w:sz w:val="21"/>
                      <w:szCs w:val="21"/>
                      <w:u w:val="single"/>
                      <w:lang w:val="en-US" w:eastAsia="zh-CN"/>
                    </w:rPr>
                    <w:t>高速柔性搅</w:t>
                  </w:r>
                </w:p>
                <w:p w14:paraId="695A1AF3">
                  <w:pPr>
                    <w:jc w:val="center"/>
                    <w:rPr>
                      <w:rFonts w:hint="eastAsia"/>
                      <w:color w:val="auto"/>
                      <w:sz w:val="21"/>
                      <w:szCs w:val="21"/>
                      <w:u w:val="single"/>
                      <w:lang w:val="en-US" w:eastAsia="zh-CN"/>
                    </w:rPr>
                  </w:pPr>
                  <w:r>
                    <w:rPr>
                      <w:rFonts w:hint="eastAsia"/>
                      <w:color w:val="auto"/>
                      <w:sz w:val="21"/>
                      <w:szCs w:val="21"/>
                      <w:u w:val="single"/>
                      <w:lang w:val="en-US" w:eastAsia="zh-CN"/>
                    </w:rPr>
                    <w:t>拌机</w:t>
                  </w:r>
                </w:p>
              </w:tc>
              <w:tc>
                <w:tcPr>
                  <w:tcW w:w="2097" w:type="dxa"/>
                  <w:tcBorders>
                    <w:tl2br w:val="nil"/>
                    <w:tr2bl w:val="nil"/>
                  </w:tcBorders>
                  <w:noWrap w:val="0"/>
                  <w:vAlign w:val="center"/>
                </w:tcPr>
                <w:p w14:paraId="38080317">
                  <w:pPr>
                    <w:jc w:val="center"/>
                    <w:rPr>
                      <w:rFonts w:hint="default"/>
                      <w:color w:val="auto"/>
                      <w:sz w:val="21"/>
                      <w:szCs w:val="21"/>
                      <w:u w:val="single"/>
                      <w:lang w:val="en-US" w:eastAsia="zh-CN"/>
                    </w:rPr>
                  </w:pPr>
                  <w:r>
                    <w:rPr>
                      <w:rFonts w:hint="eastAsia"/>
                      <w:color w:val="auto"/>
                      <w:sz w:val="21"/>
                      <w:szCs w:val="21"/>
                      <w:u w:val="single"/>
                      <w:lang w:val="en-US" w:eastAsia="zh-CN"/>
                    </w:rPr>
                    <w:t>RGJ-3.5L；1台；功率90KW，变频调节</w:t>
                  </w:r>
                </w:p>
              </w:tc>
              <w:tc>
                <w:tcPr>
                  <w:tcW w:w="2364" w:type="dxa"/>
                  <w:tcBorders>
                    <w:tl2br w:val="nil"/>
                    <w:tr2bl w:val="nil"/>
                  </w:tcBorders>
                  <w:noWrap w:val="0"/>
                  <w:vAlign w:val="center"/>
                </w:tcPr>
                <w:p w14:paraId="11BDC7BD">
                  <w:pPr>
                    <w:jc w:val="center"/>
                    <w:rPr>
                      <w:rFonts w:hint="eastAsia"/>
                      <w:color w:val="auto"/>
                      <w:sz w:val="21"/>
                      <w:szCs w:val="21"/>
                      <w:u w:val="single"/>
                      <w:lang w:val="en-US" w:eastAsia="zh-CN"/>
                    </w:rPr>
                  </w:pPr>
                  <w:r>
                    <w:rPr>
                      <w:rFonts w:hint="eastAsia"/>
                      <w:color w:val="auto"/>
                      <w:sz w:val="21"/>
                      <w:szCs w:val="21"/>
                      <w:u w:val="single"/>
                      <w:lang w:val="en-US" w:eastAsia="zh-CN"/>
                    </w:rPr>
                    <w:t>RGJφ2x2.5，容积7.85立方，1台；处理能力</w:t>
                  </w:r>
                  <w:r>
                    <w:rPr>
                      <w:rFonts w:hint="default"/>
                      <w:color w:val="auto"/>
                      <w:sz w:val="21"/>
                      <w:szCs w:val="21"/>
                      <w:u w:val="single"/>
                      <w:lang w:val="en-US" w:eastAsia="zh-CN"/>
                    </w:rPr>
                    <w:t>﹥100m³/h</w:t>
                  </w:r>
                  <w:r>
                    <w:rPr>
                      <w:rFonts w:hint="eastAsia"/>
                      <w:color w:val="auto"/>
                      <w:sz w:val="21"/>
                      <w:szCs w:val="21"/>
                      <w:u w:val="single"/>
                      <w:lang w:val="en-US" w:eastAsia="zh-CN"/>
                    </w:rPr>
                    <w:t>、功率90KW，变频调节</w:t>
                  </w:r>
                </w:p>
              </w:tc>
              <w:tc>
                <w:tcPr>
                  <w:tcW w:w="1622" w:type="dxa"/>
                  <w:tcBorders>
                    <w:tl2br w:val="nil"/>
                    <w:tr2bl w:val="nil"/>
                  </w:tcBorders>
                  <w:noWrap w:val="0"/>
                  <w:vAlign w:val="center"/>
                </w:tcPr>
                <w:p w14:paraId="28448F83">
                  <w:pPr>
                    <w:jc w:val="center"/>
                    <w:rPr>
                      <w:rFonts w:hint="default"/>
                      <w:color w:val="auto"/>
                      <w:sz w:val="21"/>
                      <w:szCs w:val="21"/>
                      <w:u w:val="single"/>
                      <w:lang w:val="en-US" w:eastAsia="zh-CN"/>
                    </w:rPr>
                  </w:pPr>
                  <w:r>
                    <w:rPr>
                      <w:rFonts w:hint="eastAsia"/>
                      <w:color w:val="auto"/>
                      <w:sz w:val="21"/>
                      <w:szCs w:val="21"/>
                      <w:u w:val="single"/>
                      <w:lang w:val="en-US" w:eastAsia="zh-CN"/>
                    </w:rPr>
                    <w:t>重新报批后处理量为97.5</w:t>
                  </w:r>
                  <w:r>
                    <w:rPr>
                      <w:rFonts w:hint="default"/>
                      <w:color w:val="auto"/>
                      <w:sz w:val="21"/>
                      <w:szCs w:val="21"/>
                      <w:u w:val="single"/>
                      <w:lang w:val="en-US" w:eastAsia="zh-CN"/>
                    </w:rPr>
                    <w:t>m³/h</w:t>
                  </w:r>
                  <w:r>
                    <w:rPr>
                      <w:rFonts w:hint="eastAsia"/>
                      <w:color w:val="auto"/>
                      <w:sz w:val="21"/>
                      <w:szCs w:val="21"/>
                      <w:u w:val="single"/>
                      <w:lang w:val="en-US" w:eastAsia="zh-CN"/>
                    </w:rPr>
                    <w:t>，较原来处理能力50</w:t>
                  </w:r>
                  <w:r>
                    <w:rPr>
                      <w:rFonts w:hint="default"/>
                      <w:color w:val="auto"/>
                      <w:sz w:val="21"/>
                      <w:szCs w:val="21"/>
                      <w:u w:val="single"/>
                      <w:lang w:val="en-US" w:eastAsia="zh-CN"/>
                    </w:rPr>
                    <w:t>m³/h</w:t>
                  </w:r>
                  <w:r>
                    <w:rPr>
                      <w:rFonts w:hint="eastAsia"/>
                      <w:color w:val="auto"/>
                      <w:sz w:val="21"/>
                      <w:szCs w:val="21"/>
                      <w:u w:val="single"/>
                      <w:lang w:val="en-US" w:eastAsia="zh-CN"/>
                    </w:rPr>
                    <w:t>变大</w:t>
                  </w:r>
                </w:p>
              </w:tc>
            </w:tr>
            <w:tr w14:paraId="324637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80" w:type="dxa"/>
                  <w:vMerge w:val="continue"/>
                  <w:tcBorders>
                    <w:tl2br w:val="nil"/>
                    <w:tr2bl w:val="nil"/>
                  </w:tcBorders>
                  <w:noWrap w:val="0"/>
                  <w:vAlign w:val="center"/>
                </w:tcPr>
                <w:p w14:paraId="3E225828">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778F9C55">
                  <w:pPr>
                    <w:jc w:val="center"/>
                    <w:rPr>
                      <w:rFonts w:hint="eastAsia"/>
                      <w:color w:val="auto"/>
                      <w:sz w:val="21"/>
                      <w:szCs w:val="21"/>
                      <w:u w:val="single"/>
                      <w:lang w:val="en-US" w:eastAsia="zh-CN"/>
                    </w:rPr>
                  </w:pPr>
                  <w:r>
                    <w:rPr>
                      <w:rFonts w:hint="eastAsia"/>
                      <w:color w:val="auto"/>
                      <w:sz w:val="21"/>
                      <w:szCs w:val="21"/>
                      <w:u w:val="single"/>
                      <w:lang w:val="en-US" w:eastAsia="zh-CN"/>
                    </w:rPr>
                    <w:t>气动耐磨刀</w:t>
                  </w:r>
                </w:p>
                <w:p w14:paraId="67C02903">
                  <w:pPr>
                    <w:jc w:val="center"/>
                    <w:rPr>
                      <w:rFonts w:hint="eastAsia"/>
                      <w:color w:val="auto"/>
                      <w:sz w:val="21"/>
                      <w:szCs w:val="21"/>
                      <w:u w:val="single"/>
                      <w:lang w:val="en-US" w:eastAsia="zh-CN"/>
                    </w:rPr>
                  </w:pPr>
                  <w:r>
                    <w:rPr>
                      <w:rFonts w:hint="eastAsia"/>
                      <w:color w:val="auto"/>
                      <w:sz w:val="21"/>
                      <w:szCs w:val="21"/>
                      <w:u w:val="single"/>
                      <w:lang w:val="en-US" w:eastAsia="zh-CN"/>
                    </w:rPr>
                    <w:t>闸阀</w:t>
                  </w:r>
                </w:p>
              </w:tc>
              <w:tc>
                <w:tcPr>
                  <w:tcW w:w="2097" w:type="dxa"/>
                  <w:tcBorders>
                    <w:tl2br w:val="nil"/>
                    <w:tr2bl w:val="nil"/>
                  </w:tcBorders>
                  <w:noWrap w:val="0"/>
                  <w:vAlign w:val="center"/>
                </w:tcPr>
                <w:p w14:paraId="79E64481">
                  <w:pPr>
                    <w:jc w:val="center"/>
                    <w:rPr>
                      <w:rFonts w:hint="eastAsia"/>
                      <w:color w:val="auto"/>
                      <w:sz w:val="21"/>
                      <w:szCs w:val="21"/>
                      <w:u w:val="single"/>
                      <w:lang w:val="en-US" w:eastAsia="zh-CN"/>
                    </w:rPr>
                  </w:pPr>
                  <w:r>
                    <w:rPr>
                      <w:rFonts w:hint="eastAsia"/>
                      <w:color w:val="auto"/>
                      <w:sz w:val="21"/>
                      <w:szCs w:val="21"/>
                      <w:u w:val="single"/>
                      <w:lang w:val="en-US" w:eastAsia="zh-CN"/>
                    </w:rPr>
                    <w:t>PZ673H-16P DN80；</w:t>
                  </w:r>
                </w:p>
                <w:p w14:paraId="1D50F05F">
                  <w:pPr>
                    <w:jc w:val="center"/>
                    <w:rPr>
                      <w:rFonts w:hint="default"/>
                      <w:color w:val="auto"/>
                      <w:sz w:val="21"/>
                      <w:szCs w:val="21"/>
                      <w:u w:val="single"/>
                      <w:lang w:val="en-US" w:eastAsia="zh-CN"/>
                    </w:rPr>
                  </w:pPr>
                  <w:r>
                    <w:rPr>
                      <w:rFonts w:hint="eastAsia"/>
                      <w:color w:val="auto"/>
                      <w:sz w:val="21"/>
                      <w:szCs w:val="21"/>
                      <w:u w:val="single"/>
                      <w:lang w:val="en-US" w:eastAsia="zh-CN"/>
                    </w:rPr>
                    <w:t>2台；PN1.6MPa</w:t>
                  </w:r>
                </w:p>
              </w:tc>
              <w:tc>
                <w:tcPr>
                  <w:tcW w:w="2364" w:type="dxa"/>
                  <w:tcBorders>
                    <w:tl2br w:val="nil"/>
                    <w:tr2bl w:val="nil"/>
                  </w:tcBorders>
                  <w:noWrap w:val="0"/>
                  <w:vAlign w:val="center"/>
                </w:tcPr>
                <w:p w14:paraId="31255FD9">
                  <w:pPr>
                    <w:jc w:val="center"/>
                    <w:rPr>
                      <w:rFonts w:hint="eastAsia"/>
                      <w:color w:val="auto"/>
                      <w:sz w:val="21"/>
                      <w:szCs w:val="21"/>
                      <w:u w:val="single"/>
                      <w:lang w:val="en-US" w:eastAsia="zh-CN"/>
                    </w:rPr>
                  </w:pPr>
                  <w:r>
                    <w:rPr>
                      <w:rFonts w:hint="eastAsia"/>
                      <w:color w:val="auto"/>
                      <w:sz w:val="21"/>
                      <w:szCs w:val="21"/>
                      <w:u w:val="single"/>
                      <w:lang w:val="en-US" w:eastAsia="zh-CN"/>
                    </w:rPr>
                    <w:t>PZ673H-16P DN80；</w:t>
                  </w:r>
                </w:p>
                <w:p w14:paraId="68B8A9D7">
                  <w:pPr>
                    <w:jc w:val="center"/>
                    <w:rPr>
                      <w:rFonts w:hint="eastAsia"/>
                      <w:color w:val="auto"/>
                      <w:sz w:val="21"/>
                      <w:szCs w:val="21"/>
                      <w:u w:val="single"/>
                      <w:lang w:val="en-US" w:eastAsia="zh-CN"/>
                    </w:rPr>
                  </w:pPr>
                  <w:r>
                    <w:rPr>
                      <w:rFonts w:hint="eastAsia"/>
                      <w:color w:val="auto"/>
                      <w:sz w:val="21"/>
                      <w:szCs w:val="21"/>
                      <w:u w:val="single"/>
                      <w:lang w:val="en-US" w:eastAsia="zh-CN"/>
                    </w:rPr>
                    <w:t>2台；PN1.6MPa</w:t>
                  </w:r>
                </w:p>
              </w:tc>
              <w:tc>
                <w:tcPr>
                  <w:tcW w:w="1622" w:type="dxa"/>
                  <w:tcBorders>
                    <w:tl2br w:val="nil"/>
                    <w:tr2bl w:val="nil"/>
                  </w:tcBorders>
                  <w:noWrap w:val="0"/>
                  <w:vAlign w:val="center"/>
                </w:tcPr>
                <w:p w14:paraId="0616C5E4">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669D2B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80" w:type="dxa"/>
                  <w:vMerge w:val="continue"/>
                  <w:tcBorders>
                    <w:tl2br w:val="nil"/>
                    <w:tr2bl w:val="nil"/>
                  </w:tcBorders>
                  <w:noWrap w:val="0"/>
                  <w:vAlign w:val="center"/>
                </w:tcPr>
                <w:p w14:paraId="6833BAEE">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32EE4FA2">
                  <w:pPr>
                    <w:jc w:val="center"/>
                    <w:rPr>
                      <w:rFonts w:hint="eastAsia"/>
                      <w:color w:val="auto"/>
                      <w:sz w:val="21"/>
                      <w:szCs w:val="21"/>
                      <w:u w:val="single"/>
                      <w:lang w:val="en-US" w:eastAsia="zh-CN"/>
                    </w:rPr>
                  </w:pPr>
                  <w:r>
                    <w:rPr>
                      <w:rFonts w:hint="eastAsia"/>
                      <w:color w:val="auto"/>
                      <w:sz w:val="21"/>
                      <w:szCs w:val="21"/>
                      <w:u w:val="single"/>
                      <w:lang w:val="en-US" w:eastAsia="zh-CN"/>
                    </w:rPr>
                    <w:t>气动耐磨刀</w:t>
                  </w:r>
                </w:p>
                <w:p w14:paraId="5546BAE8">
                  <w:pPr>
                    <w:jc w:val="center"/>
                    <w:rPr>
                      <w:rFonts w:hint="eastAsia"/>
                      <w:color w:val="auto"/>
                      <w:sz w:val="21"/>
                      <w:szCs w:val="21"/>
                      <w:u w:val="single"/>
                      <w:lang w:val="en-US" w:eastAsia="zh-CN"/>
                    </w:rPr>
                  </w:pPr>
                  <w:r>
                    <w:rPr>
                      <w:rFonts w:hint="eastAsia"/>
                      <w:color w:val="auto"/>
                      <w:sz w:val="21"/>
                      <w:szCs w:val="21"/>
                      <w:u w:val="single"/>
                      <w:lang w:val="en-US" w:eastAsia="zh-CN"/>
                    </w:rPr>
                    <w:t>闸阀</w:t>
                  </w:r>
                </w:p>
              </w:tc>
              <w:tc>
                <w:tcPr>
                  <w:tcW w:w="2097" w:type="dxa"/>
                  <w:tcBorders>
                    <w:tl2br w:val="nil"/>
                    <w:tr2bl w:val="nil"/>
                  </w:tcBorders>
                  <w:noWrap w:val="0"/>
                  <w:vAlign w:val="center"/>
                </w:tcPr>
                <w:p w14:paraId="451914C7">
                  <w:pPr>
                    <w:jc w:val="center"/>
                    <w:rPr>
                      <w:rFonts w:hint="eastAsia"/>
                      <w:color w:val="auto"/>
                      <w:sz w:val="21"/>
                      <w:szCs w:val="21"/>
                      <w:u w:val="single"/>
                      <w:lang w:val="en-US" w:eastAsia="zh-CN"/>
                    </w:rPr>
                  </w:pPr>
                  <w:r>
                    <w:rPr>
                      <w:rFonts w:hint="eastAsia"/>
                      <w:color w:val="auto"/>
                      <w:sz w:val="21"/>
                      <w:szCs w:val="21"/>
                      <w:u w:val="single"/>
                      <w:lang w:val="en-US" w:eastAsia="zh-CN"/>
                    </w:rPr>
                    <w:t>PZ673H-16P DN150；</w:t>
                  </w:r>
                </w:p>
                <w:p w14:paraId="47406DB6">
                  <w:pPr>
                    <w:jc w:val="center"/>
                    <w:rPr>
                      <w:rFonts w:hint="default"/>
                      <w:color w:val="auto"/>
                      <w:sz w:val="21"/>
                      <w:szCs w:val="21"/>
                      <w:u w:val="single"/>
                      <w:lang w:val="en-US" w:eastAsia="zh-CN"/>
                    </w:rPr>
                  </w:pPr>
                  <w:r>
                    <w:rPr>
                      <w:rFonts w:hint="eastAsia"/>
                      <w:color w:val="auto"/>
                      <w:sz w:val="21"/>
                      <w:szCs w:val="21"/>
                      <w:u w:val="single"/>
                      <w:lang w:val="en-US" w:eastAsia="zh-CN"/>
                    </w:rPr>
                    <w:t>2台；PN1.6MPa</w:t>
                  </w:r>
                </w:p>
              </w:tc>
              <w:tc>
                <w:tcPr>
                  <w:tcW w:w="2364" w:type="dxa"/>
                  <w:tcBorders>
                    <w:tl2br w:val="nil"/>
                    <w:tr2bl w:val="nil"/>
                  </w:tcBorders>
                  <w:noWrap w:val="0"/>
                  <w:vAlign w:val="center"/>
                </w:tcPr>
                <w:p w14:paraId="77E2ADF1">
                  <w:pPr>
                    <w:jc w:val="center"/>
                    <w:rPr>
                      <w:rFonts w:hint="eastAsia"/>
                      <w:color w:val="auto"/>
                      <w:sz w:val="21"/>
                      <w:szCs w:val="21"/>
                      <w:u w:val="single"/>
                      <w:lang w:val="en-US" w:eastAsia="zh-CN"/>
                    </w:rPr>
                  </w:pPr>
                  <w:r>
                    <w:rPr>
                      <w:rFonts w:hint="eastAsia"/>
                      <w:color w:val="auto"/>
                      <w:sz w:val="21"/>
                      <w:szCs w:val="21"/>
                      <w:u w:val="single"/>
                      <w:lang w:val="en-US" w:eastAsia="zh-CN"/>
                    </w:rPr>
                    <w:t>PZ673H-16P DN150；</w:t>
                  </w:r>
                </w:p>
                <w:p w14:paraId="75C70CBE">
                  <w:pPr>
                    <w:jc w:val="center"/>
                    <w:rPr>
                      <w:rFonts w:hint="eastAsia"/>
                      <w:color w:val="auto"/>
                      <w:sz w:val="21"/>
                      <w:szCs w:val="21"/>
                      <w:u w:val="single"/>
                      <w:lang w:val="en-US" w:eastAsia="zh-CN"/>
                    </w:rPr>
                  </w:pPr>
                  <w:r>
                    <w:rPr>
                      <w:rFonts w:hint="eastAsia"/>
                      <w:color w:val="auto"/>
                      <w:sz w:val="21"/>
                      <w:szCs w:val="21"/>
                      <w:u w:val="single"/>
                      <w:lang w:val="en-US" w:eastAsia="zh-CN"/>
                    </w:rPr>
                    <w:t>2台；PN1.6MPa</w:t>
                  </w:r>
                </w:p>
              </w:tc>
              <w:tc>
                <w:tcPr>
                  <w:tcW w:w="1622" w:type="dxa"/>
                  <w:tcBorders>
                    <w:tl2br w:val="nil"/>
                    <w:tr2bl w:val="nil"/>
                  </w:tcBorders>
                  <w:noWrap w:val="0"/>
                  <w:vAlign w:val="center"/>
                </w:tcPr>
                <w:p w14:paraId="229AC6C2">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09665F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880" w:type="dxa"/>
                  <w:vMerge w:val="continue"/>
                  <w:tcBorders>
                    <w:tl2br w:val="nil"/>
                    <w:tr2bl w:val="nil"/>
                  </w:tcBorders>
                  <w:noWrap w:val="0"/>
                  <w:vAlign w:val="center"/>
                </w:tcPr>
                <w:p w14:paraId="434F7AF5">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21F48E41">
                  <w:pPr>
                    <w:jc w:val="center"/>
                    <w:rPr>
                      <w:rFonts w:hint="eastAsia"/>
                      <w:color w:val="auto"/>
                      <w:sz w:val="21"/>
                      <w:szCs w:val="21"/>
                      <w:u w:val="single"/>
                      <w:lang w:val="en-US" w:eastAsia="zh-CN"/>
                    </w:rPr>
                  </w:pPr>
                  <w:r>
                    <w:rPr>
                      <w:rFonts w:hint="eastAsia"/>
                      <w:color w:val="auto"/>
                      <w:sz w:val="21"/>
                      <w:szCs w:val="21"/>
                      <w:u w:val="single"/>
                      <w:lang w:val="en-US" w:eastAsia="zh-CN"/>
                    </w:rPr>
                    <w:t>液下渣浆泵</w:t>
                  </w:r>
                </w:p>
              </w:tc>
              <w:tc>
                <w:tcPr>
                  <w:tcW w:w="2097" w:type="dxa"/>
                  <w:tcBorders>
                    <w:tl2br w:val="nil"/>
                    <w:tr2bl w:val="nil"/>
                  </w:tcBorders>
                  <w:noWrap w:val="0"/>
                  <w:vAlign w:val="center"/>
                </w:tcPr>
                <w:p w14:paraId="16265772">
                  <w:pPr>
                    <w:jc w:val="center"/>
                    <w:rPr>
                      <w:rFonts w:hint="eastAsia"/>
                      <w:color w:val="auto"/>
                      <w:sz w:val="21"/>
                      <w:szCs w:val="21"/>
                      <w:u w:val="single"/>
                      <w:lang w:val="en-US" w:eastAsia="zh-CN"/>
                    </w:rPr>
                  </w:pPr>
                  <w:r>
                    <w:rPr>
                      <w:rFonts w:hint="eastAsia"/>
                      <w:color w:val="auto"/>
                      <w:sz w:val="21"/>
                      <w:szCs w:val="21"/>
                      <w:u w:val="single"/>
                      <w:lang w:val="en-US" w:eastAsia="zh-CN"/>
                    </w:rPr>
                    <w:t>100YZ100-12-7.5；1台；流量100m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/h，变频</w:t>
                  </w:r>
                </w:p>
                <w:p w14:paraId="3863823C">
                  <w:pPr>
                    <w:jc w:val="center"/>
                    <w:rPr>
                      <w:rFonts w:hint="default"/>
                      <w:color w:val="auto"/>
                      <w:sz w:val="21"/>
                      <w:szCs w:val="21"/>
                      <w:u w:val="single"/>
                      <w:lang w:val="en-US" w:eastAsia="zh-CN"/>
                    </w:rPr>
                  </w:pPr>
                  <w:r>
                    <w:rPr>
                      <w:rFonts w:hint="eastAsia"/>
                      <w:color w:val="auto"/>
                      <w:sz w:val="21"/>
                      <w:szCs w:val="21"/>
                      <w:u w:val="single"/>
                      <w:lang w:val="en-US" w:eastAsia="zh-CN"/>
                    </w:rPr>
                    <w:t>控制</w:t>
                  </w:r>
                </w:p>
              </w:tc>
              <w:tc>
                <w:tcPr>
                  <w:tcW w:w="2364" w:type="dxa"/>
                  <w:tcBorders>
                    <w:tl2br w:val="nil"/>
                    <w:tr2bl w:val="nil"/>
                  </w:tcBorders>
                  <w:noWrap w:val="0"/>
                  <w:vAlign w:val="center"/>
                </w:tcPr>
                <w:p w14:paraId="3DE6DA1C">
                  <w:pPr>
                    <w:jc w:val="center"/>
                    <w:rPr>
                      <w:rFonts w:hint="default"/>
                      <w:color w:val="auto"/>
                      <w:sz w:val="21"/>
                      <w:szCs w:val="21"/>
                      <w:u w:val="single"/>
                      <w:lang w:val="en-US" w:eastAsia="zh-CN"/>
                    </w:rPr>
                  </w:pPr>
                  <w:r>
                    <w:rPr>
                      <w:rFonts w:hint="eastAsia"/>
                      <w:color w:val="auto"/>
                      <w:sz w:val="21"/>
                      <w:szCs w:val="21"/>
                      <w:u w:val="single"/>
                      <w:lang w:val="en-US" w:eastAsia="zh-CN"/>
                    </w:rPr>
                    <w:t>00YZ100-12-7.5；1台；流量100m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/h，变频控制</w:t>
                  </w:r>
                </w:p>
                <w:p w14:paraId="78AF8867">
                  <w:pPr>
                    <w:jc w:val="center"/>
                    <w:rPr>
                      <w:rFonts w:hint="default"/>
                      <w:color w:val="auto"/>
                      <w:sz w:val="21"/>
                      <w:szCs w:val="21"/>
                      <w:u w:val="single"/>
                      <w:lang w:val="en-US" w:eastAsia="zh-CN"/>
                    </w:rPr>
                  </w:pPr>
                </w:p>
              </w:tc>
              <w:tc>
                <w:tcPr>
                  <w:tcW w:w="1622" w:type="dxa"/>
                  <w:tcBorders>
                    <w:tl2br w:val="nil"/>
                    <w:tr2bl w:val="nil"/>
                  </w:tcBorders>
                  <w:noWrap w:val="0"/>
                  <w:vAlign w:val="center"/>
                </w:tcPr>
                <w:p w14:paraId="6164B654">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r w14:paraId="10F41A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880" w:type="dxa"/>
                  <w:vMerge w:val="restart"/>
                  <w:tcBorders>
                    <w:tl2br w:val="nil"/>
                    <w:tr2bl w:val="nil"/>
                  </w:tcBorders>
                  <w:noWrap w:val="0"/>
                  <w:vAlign w:val="center"/>
                </w:tcPr>
                <w:p w14:paraId="3E5FDB7D">
                  <w:pPr>
                    <w:jc w:val="center"/>
                    <w:rPr>
                      <w:rFonts w:hint="default"/>
                      <w:color w:val="auto"/>
                      <w:sz w:val="21"/>
                      <w:szCs w:val="21"/>
                      <w:u w:val="single"/>
                      <w:lang w:val="en-US" w:eastAsia="zh-CN"/>
                    </w:rPr>
                  </w:pPr>
                  <w:r>
                    <w:rPr>
                      <w:rFonts w:hint="eastAsia"/>
                      <w:color w:val="auto"/>
                      <w:sz w:val="21"/>
                      <w:szCs w:val="21"/>
                      <w:u w:val="single"/>
                      <w:lang w:val="en-US" w:eastAsia="zh-CN"/>
                    </w:rPr>
                    <w:t>填充料浆输送系统</w:t>
                  </w:r>
                </w:p>
              </w:tc>
              <w:tc>
                <w:tcPr>
                  <w:tcW w:w="1383" w:type="dxa"/>
                  <w:tcBorders>
                    <w:tl2br w:val="nil"/>
                    <w:tr2bl w:val="nil"/>
                  </w:tcBorders>
                  <w:noWrap w:val="0"/>
                  <w:vAlign w:val="center"/>
                </w:tcPr>
                <w:p w14:paraId="3098D5CC">
                  <w:pPr>
                    <w:jc w:val="center"/>
                    <w:rPr>
                      <w:rFonts w:hint="eastAsia"/>
                      <w:color w:val="auto"/>
                      <w:sz w:val="21"/>
                      <w:szCs w:val="21"/>
                      <w:u w:val="single"/>
                      <w:lang w:val="en-US" w:eastAsia="zh-CN"/>
                    </w:rPr>
                  </w:pPr>
                  <w:r>
                    <w:rPr>
                      <w:rFonts w:hint="eastAsia"/>
                      <w:color w:val="auto"/>
                      <w:sz w:val="21"/>
                      <w:szCs w:val="21"/>
                      <w:u w:val="single"/>
                      <w:lang w:val="en-US" w:eastAsia="zh-CN"/>
                    </w:rPr>
                    <w:t>充填工业泵</w:t>
                  </w:r>
                </w:p>
              </w:tc>
              <w:tc>
                <w:tcPr>
                  <w:tcW w:w="2097" w:type="dxa"/>
                  <w:tcBorders>
                    <w:tl2br w:val="nil"/>
                    <w:tr2bl w:val="nil"/>
                  </w:tcBorders>
                  <w:noWrap w:val="0"/>
                  <w:vAlign w:val="center"/>
                </w:tcPr>
                <w:p w14:paraId="04CBC351">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u w:val="single"/>
                      <w:lang w:val="en-US" w:eastAsia="zh-CN"/>
                    </w:rPr>
                  </w:pPr>
                  <w:r>
                    <w:rPr>
                      <w:rFonts w:hint="eastAsia" w:ascii="Times New Roman" w:cs="Times New Roman"/>
                      <w:b w:val="0"/>
                      <w:bCs w:val="0"/>
                      <w:color w:val="auto"/>
                      <w:sz w:val="21"/>
                      <w:szCs w:val="21"/>
                      <w:u w:val="single"/>
                      <w:vertAlign w:val="baseline"/>
                      <w:lang w:val="en-US" w:eastAsia="zh-CN"/>
                    </w:rPr>
                    <w:t>1台；流量80m³/h</w:t>
                  </w:r>
                </w:p>
              </w:tc>
              <w:tc>
                <w:tcPr>
                  <w:tcW w:w="2364" w:type="dxa"/>
                  <w:tcBorders>
                    <w:tl2br w:val="nil"/>
                    <w:tr2bl w:val="nil"/>
                  </w:tcBorders>
                  <w:noWrap w:val="0"/>
                  <w:vAlign w:val="center"/>
                </w:tcPr>
                <w:p w14:paraId="63ED88E9">
                  <w:pPr>
                    <w:pStyle w:val="7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olor w:val="auto"/>
                      <w:sz w:val="21"/>
                      <w:szCs w:val="21"/>
                      <w:u w:val="single"/>
                      <w:lang w:val="en-US" w:eastAsia="zh-CN"/>
                    </w:rPr>
                  </w:pPr>
                  <w:r>
                    <w:rPr>
                      <w:rFonts w:hint="eastAsia" w:ascii="Times New Roman" w:cs="Times New Roman"/>
                      <w:b w:val="0"/>
                      <w:bCs w:val="0"/>
                      <w:color w:val="auto"/>
                      <w:sz w:val="21"/>
                      <w:szCs w:val="21"/>
                      <w:u w:val="single"/>
                      <w:vertAlign w:val="baseline"/>
                      <w:lang w:val="en-US" w:eastAsia="zh-CN"/>
                    </w:rPr>
                    <w:t>CTB 10-80V，1台；流量100m</w:t>
                  </w:r>
                  <w:r>
                    <w:rPr>
                      <w:rFonts w:hint="eastAsia" w:ascii="Times New Roman" w:cs="Times New Roman"/>
                      <w:b w:val="0"/>
                      <w:bCs w:val="0"/>
                      <w:color w:val="auto"/>
                      <w:sz w:val="21"/>
                      <w:szCs w:val="21"/>
                      <w:u w:val="single"/>
                      <w:vertAlign w:val="superscript"/>
                      <w:lang w:val="en-US" w:eastAsia="zh-CN"/>
                    </w:rPr>
                    <w:t>3</w:t>
                  </w:r>
                  <w:r>
                    <w:rPr>
                      <w:rFonts w:hint="eastAsia" w:ascii="Times New Roman" w:cs="Times New Roman"/>
                      <w:b w:val="0"/>
                      <w:bCs w:val="0"/>
                      <w:color w:val="auto"/>
                      <w:sz w:val="21"/>
                      <w:szCs w:val="21"/>
                      <w:u w:val="single"/>
                      <w:vertAlign w:val="baseline"/>
                      <w:lang w:val="en-US" w:eastAsia="zh-CN"/>
                    </w:rPr>
                    <w:t>/h</w:t>
                  </w:r>
                </w:p>
              </w:tc>
              <w:tc>
                <w:tcPr>
                  <w:tcW w:w="1622" w:type="dxa"/>
                  <w:tcBorders>
                    <w:tl2br w:val="nil"/>
                    <w:tr2bl w:val="nil"/>
                  </w:tcBorders>
                  <w:noWrap w:val="0"/>
                  <w:vAlign w:val="center"/>
                </w:tcPr>
                <w:p w14:paraId="7CD94D5B">
                  <w:pPr>
                    <w:jc w:val="center"/>
                    <w:rPr>
                      <w:rFonts w:hint="default"/>
                      <w:color w:val="auto"/>
                      <w:sz w:val="21"/>
                      <w:szCs w:val="21"/>
                      <w:u w:val="single"/>
                      <w:lang w:val="en-US" w:eastAsia="zh-CN"/>
                    </w:rPr>
                  </w:pPr>
                  <w:r>
                    <w:rPr>
                      <w:rFonts w:hint="eastAsia"/>
                      <w:color w:val="auto"/>
                      <w:sz w:val="21"/>
                      <w:szCs w:val="21"/>
                      <w:u w:val="single"/>
                      <w:lang w:val="en-US" w:eastAsia="zh-CN"/>
                    </w:rPr>
                    <w:t>充填泵流量变大</w:t>
                  </w:r>
                </w:p>
              </w:tc>
            </w:tr>
            <w:tr w14:paraId="575FCA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880" w:type="dxa"/>
                  <w:vMerge w:val="continue"/>
                  <w:tcBorders>
                    <w:tl2br w:val="nil"/>
                    <w:tr2bl w:val="nil"/>
                  </w:tcBorders>
                  <w:noWrap w:val="0"/>
                  <w:vAlign w:val="center"/>
                </w:tcPr>
                <w:p w14:paraId="24211CA7">
                  <w:pPr>
                    <w:jc w:val="center"/>
                    <w:rPr>
                      <w:rFonts w:hint="eastAsia"/>
                      <w:color w:val="auto"/>
                      <w:sz w:val="21"/>
                      <w:szCs w:val="21"/>
                      <w:u w:val="single"/>
                      <w:lang w:val="en-US" w:eastAsia="zh-CN"/>
                    </w:rPr>
                  </w:pPr>
                </w:p>
              </w:tc>
              <w:tc>
                <w:tcPr>
                  <w:tcW w:w="1383" w:type="dxa"/>
                  <w:tcBorders>
                    <w:tl2br w:val="nil"/>
                    <w:tr2bl w:val="nil"/>
                  </w:tcBorders>
                  <w:noWrap w:val="0"/>
                  <w:vAlign w:val="center"/>
                </w:tcPr>
                <w:p w14:paraId="678C7883">
                  <w:pPr>
                    <w:jc w:val="center"/>
                    <w:rPr>
                      <w:rFonts w:hint="eastAsia"/>
                      <w:color w:val="auto"/>
                      <w:sz w:val="21"/>
                      <w:szCs w:val="21"/>
                      <w:u w:val="single"/>
                      <w:lang w:val="en-US" w:eastAsia="zh-CN"/>
                    </w:rPr>
                  </w:pPr>
                  <w:r>
                    <w:rPr>
                      <w:rFonts w:hint="eastAsia"/>
                      <w:color w:val="auto"/>
                      <w:sz w:val="21"/>
                      <w:szCs w:val="21"/>
                      <w:u w:val="single"/>
                      <w:lang w:val="en-US" w:eastAsia="zh-CN"/>
                    </w:rPr>
                    <w:t>缓存泵斗</w:t>
                  </w:r>
                </w:p>
              </w:tc>
              <w:tc>
                <w:tcPr>
                  <w:tcW w:w="2097" w:type="dxa"/>
                  <w:tcBorders>
                    <w:tl2br w:val="nil"/>
                    <w:tr2bl w:val="nil"/>
                  </w:tcBorders>
                  <w:noWrap w:val="0"/>
                  <w:vAlign w:val="center"/>
                </w:tcPr>
                <w:p w14:paraId="7473655C">
                  <w:pPr>
                    <w:jc w:val="center"/>
                    <w:rPr>
                      <w:rFonts w:hint="default"/>
                      <w:color w:val="auto"/>
                      <w:sz w:val="21"/>
                      <w:szCs w:val="21"/>
                      <w:u w:val="single"/>
                      <w:lang w:val="en-US" w:eastAsia="zh-CN"/>
                    </w:rPr>
                  </w:pPr>
                  <w:r>
                    <w:rPr>
                      <w:rFonts w:hint="eastAsia"/>
                      <w:color w:val="auto"/>
                      <w:sz w:val="21"/>
                      <w:szCs w:val="21"/>
                      <w:u w:val="single"/>
                      <w:lang w:val="en-US" w:eastAsia="zh-CN"/>
                    </w:rPr>
                    <w:t>2台；</w:t>
                  </w:r>
                  <w:r>
                    <w:rPr>
                      <w:rFonts w:hint="default"/>
                      <w:color w:val="auto"/>
                      <w:sz w:val="21"/>
                      <w:szCs w:val="21"/>
                      <w:u w:val="single"/>
                    </w:rPr>
                    <w:t>4m³</w:t>
                  </w:r>
                </w:p>
              </w:tc>
              <w:tc>
                <w:tcPr>
                  <w:tcW w:w="2364" w:type="dxa"/>
                  <w:tcBorders>
                    <w:tl2br w:val="nil"/>
                    <w:tr2bl w:val="nil"/>
                  </w:tcBorders>
                  <w:noWrap w:val="0"/>
                  <w:vAlign w:val="center"/>
                </w:tcPr>
                <w:p w14:paraId="70AEC3FD">
                  <w:pPr>
                    <w:jc w:val="center"/>
                    <w:rPr>
                      <w:rFonts w:hint="eastAsia"/>
                      <w:color w:val="auto"/>
                      <w:sz w:val="21"/>
                      <w:szCs w:val="21"/>
                      <w:u w:val="single"/>
                      <w:lang w:val="en-US" w:eastAsia="zh-CN"/>
                    </w:rPr>
                  </w:pPr>
                  <w:r>
                    <w:rPr>
                      <w:rFonts w:hint="eastAsia"/>
                      <w:color w:val="auto"/>
                      <w:sz w:val="21"/>
                      <w:szCs w:val="21"/>
                      <w:u w:val="single"/>
                      <w:lang w:val="en-US" w:eastAsia="zh-CN"/>
                    </w:rPr>
                    <w:t>2台；</w:t>
                  </w:r>
                  <w:r>
                    <w:rPr>
                      <w:rFonts w:hint="default"/>
                      <w:color w:val="auto"/>
                      <w:sz w:val="21"/>
                      <w:szCs w:val="21"/>
                      <w:u w:val="single"/>
                    </w:rPr>
                    <w:t>4m³</w:t>
                  </w:r>
                </w:p>
              </w:tc>
              <w:tc>
                <w:tcPr>
                  <w:tcW w:w="1622" w:type="dxa"/>
                  <w:tcBorders>
                    <w:tl2br w:val="nil"/>
                    <w:tr2bl w:val="nil"/>
                  </w:tcBorders>
                  <w:noWrap w:val="0"/>
                  <w:vAlign w:val="center"/>
                </w:tcPr>
                <w:p w14:paraId="75EE07EA">
                  <w:pPr>
                    <w:jc w:val="center"/>
                    <w:rPr>
                      <w:rFonts w:hint="eastAsia" w:eastAsia="宋体"/>
                      <w:color w:val="auto"/>
                      <w:sz w:val="21"/>
                      <w:szCs w:val="21"/>
                      <w:u w:val="single"/>
                      <w:lang w:val="en-US" w:eastAsia="zh-CN"/>
                    </w:rPr>
                  </w:pPr>
                  <w:r>
                    <w:rPr>
                      <w:rFonts w:hint="eastAsia"/>
                      <w:color w:val="auto"/>
                      <w:sz w:val="21"/>
                      <w:szCs w:val="21"/>
                      <w:u w:val="single"/>
                      <w:lang w:val="en-US" w:eastAsia="zh-CN"/>
                    </w:rPr>
                    <w:t>无</w:t>
                  </w:r>
                </w:p>
              </w:tc>
            </w:tr>
            <w:tr w14:paraId="18EE05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59" w:hRule="atLeast"/>
              </w:trPr>
              <w:tc>
                <w:tcPr>
                  <w:tcW w:w="880" w:type="dxa"/>
                  <w:tcBorders>
                    <w:tl2br w:val="nil"/>
                    <w:tr2bl w:val="nil"/>
                  </w:tcBorders>
                  <w:noWrap w:val="0"/>
                  <w:vAlign w:val="center"/>
                </w:tcPr>
                <w:p w14:paraId="6750109D">
                  <w:pPr>
                    <w:jc w:val="center"/>
                    <w:rPr>
                      <w:rFonts w:hint="default"/>
                      <w:color w:val="auto"/>
                      <w:sz w:val="21"/>
                      <w:szCs w:val="21"/>
                      <w:u w:val="single"/>
                      <w:lang w:val="en-US" w:eastAsia="zh-CN"/>
                    </w:rPr>
                  </w:pPr>
                  <w:r>
                    <w:rPr>
                      <w:rFonts w:hint="eastAsia"/>
                      <w:color w:val="auto"/>
                      <w:sz w:val="21"/>
                      <w:szCs w:val="21"/>
                      <w:u w:val="single"/>
                      <w:lang w:val="en-US" w:eastAsia="zh-CN"/>
                    </w:rPr>
                    <w:t>电力及其他系统</w:t>
                  </w:r>
                </w:p>
              </w:tc>
              <w:tc>
                <w:tcPr>
                  <w:tcW w:w="1383" w:type="dxa"/>
                  <w:tcBorders>
                    <w:tl2br w:val="nil"/>
                    <w:tr2bl w:val="nil"/>
                  </w:tcBorders>
                  <w:noWrap w:val="0"/>
                  <w:vAlign w:val="center"/>
                </w:tcPr>
                <w:p w14:paraId="48105485">
                  <w:pPr>
                    <w:jc w:val="center"/>
                    <w:rPr>
                      <w:rFonts w:hint="eastAsia"/>
                      <w:color w:val="auto"/>
                      <w:sz w:val="21"/>
                      <w:szCs w:val="21"/>
                      <w:u w:val="single"/>
                      <w:lang w:val="en-US" w:eastAsia="zh-CN"/>
                    </w:rPr>
                  </w:pPr>
                  <w:r>
                    <w:rPr>
                      <w:rFonts w:hint="eastAsia"/>
                      <w:color w:val="auto"/>
                      <w:sz w:val="21"/>
                      <w:szCs w:val="21"/>
                      <w:u w:val="single"/>
                      <w:lang w:val="en-US" w:eastAsia="zh-CN"/>
                    </w:rPr>
                    <w:t>电动单梁起重机</w:t>
                  </w:r>
                </w:p>
              </w:tc>
              <w:tc>
                <w:tcPr>
                  <w:tcW w:w="2097" w:type="dxa"/>
                  <w:tcBorders>
                    <w:tl2br w:val="nil"/>
                    <w:tr2bl w:val="nil"/>
                  </w:tcBorders>
                  <w:noWrap w:val="0"/>
                  <w:vAlign w:val="center"/>
                </w:tcPr>
                <w:p w14:paraId="05B2D638">
                  <w:pPr>
                    <w:jc w:val="center"/>
                    <w:rPr>
                      <w:rFonts w:hint="default"/>
                      <w:color w:val="auto"/>
                      <w:sz w:val="21"/>
                      <w:szCs w:val="21"/>
                      <w:u w:val="single"/>
                      <w:lang w:val="en-US" w:eastAsia="zh-CN"/>
                    </w:rPr>
                  </w:pPr>
                  <w:r>
                    <w:rPr>
                      <w:rFonts w:hint="eastAsia"/>
                      <w:color w:val="auto"/>
                      <w:sz w:val="21"/>
                      <w:szCs w:val="21"/>
                      <w:u w:val="single"/>
                      <w:lang w:val="en-US" w:eastAsia="zh-CN"/>
                    </w:rPr>
                    <w:t>3台；T=3t；跨度8.5m，提升高度14m，功率3KW</w:t>
                  </w:r>
                </w:p>
              </w:tc>
              <w:tc>
                <w:tcPr>
                  <w:tcW w:w="2364" w:type="dxa"/>
                  <w:tcBorders>
                    <w:tl2br w:val="nil"/>
                    <w:tr2bl w:val="nil"/>
                  </w:tcBorders>
                  <w:noWrap w:val="0"/>
                  <w:vAlign w:val="center"/>
                </w:tcPr>
                <w:p w14:paraId="5A2F0878">
                  <w:pPr>
                    <w:jc w:val="center"/>
                    <w:rPr>
                      <w:rFonts w:hint="default"/>
                      <w:color w:val="auto"/>
                      <w:sz w:val="21"/>
                      <w:szCs w:val="21"/>
                      <w:u w:val="single"/>
                      <w:lang w:val="en-US" w:eastAsia="zh-CN"/>
                    </w:rPr>
                  </w:pPr>
                  <w:r>
                    <w:rPr>
                      <w:rFonts w:hint="eastAsia"/>
                      <w:color w:val="auto"/>
                      <w:sz w:val="21"/>
                      <w:szCs w:val="21"/>
                      <w:u w:val="single"/>
                      <w:lang w:val="en-US" w:eastAsia="zh-CN"/>
                    </w:rPr>
                    <w:t>3台；T=3t；跨度8.5m，提升高度14m，功率3KW</w:t>
                  </w:r>
                </w:p>
                <w:p w14:paraId="3834C45E">
                  <w:pPr>
                    <w:jc w:val="both"/>
                    <w:rPr>
                      <w:rFonts w:hint="eastAsia"/>
                      <w:color w:val="auto"/>
                      <w:sz w:val="21"/>
                      <w:szCs w:val="21"/>
                      <w:u w:val="single"/>
                      <w:lang w:val="en-US" w:eastAsia="zh-CN"/>
                    </w:rPr>
                  </w:pPr>
                </w:p>
              </w:tc>
              <w:tc>
                <w:tcPr>
                  <w:tcW w:w="1622" w:type="dxa"/>
                  <w:tcBorders>
                    <w:tl2br w:val="nil"/>
                    <w:tr2bl w:val="nil"/>
                  </w:tcBorders>
                  <w:noWrap w:val="0"/>
                  <w:vAlign w:val="center"/>
                </w:tcPr>
                <w:p w14:paraId="6FB55C9C">
                  <w:pPr>
                    <w:jc w:val="center"/>
                    <w:rPr>
                      <w:rFonts w:hint="default"/>
                      <w:color w:val="auto"/>
                      <w:sz w:val="21"/>
                      <w:szCs w:val="21"/>
                      <w:u w:val="single"/>
                      <w:lang w:val="en-US" w:eastAsia="zh-CN"/>
                    </w:rPr>
                  </w:pPr>
                  <w:r>
                    <w:rPr>
                      <w:rFonts w:hint="eastAsia"/>
                      <w:color w:val="auto"/>
                      <w:sz w:val="21"/>
                      <w:szCs w:val="21"/>
                      <w:u w:val="single"/>
                      <w:lang w:val="en-US" w:eastAsia="zh-CN"/>
                    </w:rPr>
                    <w:t>无</w:t>
                  </w:r>
                </w:p>
              </w:tc>
            </w:tr>
          </w:tbl>
          <w:p w14:paraId="7ABA20D8">
            <w:pPr>
              <w:spacing w:before="120" w:beforeLines="50" w:line="360" w:lineRule="auto"/>
              <w:rPr>
                <w:rFonts w:hint="eastAsia" w:eastAsia="宋体"/>
                <w:b/>
                <w:sz w:val="24"/>
                <w:lang w:eastAsia="zh-CN"/>
              </w:rPr>
            </w:pPr>
            <w:r>
              <w:rPr>
                <w:rFonts w:hint="eastAsia"/>
                <w:b/>
                <w:sz w:val="24"/>
                <w:szCs w:val="24"/>
                <w:lang w:val="en-US" w:eastAsia="zh-CN"/>
              </w:rPr>
              <w:t>2</w:t>
            </w:r>
            <w:r>
              <w:rPr>
                <w:b/>
                <w:sz w:val="24"/>
                <w:szCs w:val="24"/>
              </w:rPr>
              <w:t>.</w:t>
            </w:r>
            <w:r>
              <w:rPr>
                <w:rFonts w:hint="eastAsia"/>
                <w:b/>
                <w:sz w:val="24"/>
                <w:szCs w:val="24"/>
                <w:lang w:val="en-US" w:eastAsia="zh-CN"/>
              </w:rPr>
              <w:t>3</w:t>
            </w:r>
            <w:r>
              <w:rPr>
                <w:b/>
                <w:sz w:val="24"/>
              </w:rPr>
              <w:t>产品</w:t>
            </w:r>
            <w:r>
              <w:rPr>
                <w:rFonts w:hint="eastAsia"/>
                <w:b/>
                <w:sz w:val="24"/>
                <w:lang w:val="en-US" w:eastAsia="zh-CN"/>
              </w:rPr>
              <w:t>方案</w:t>
            </w:r>
          </w:p>
          <w:p w14:paraId="68F96668">
            <w:pPr>
              <w:spacing w:line="360" w:lineRule="auto"/>
              <w:ind w:firstLine="360" w:firstLineChars="150"/>
              <w:contextualSpacing/>
              <w:rPr>
                <w:rFonts w:hint="eastAsia"/>
                <w:kern w:val="0"/>
                <w:lang w:eastAsia="zh-CN"/>
              </w:rPr>
            </w:pPr>
            <w:r>
              <w:rPr>
                <w:rFonts w:hint="eastAsia"/>
                <w:color w:val="auto"/>
                <w:sz w:val="24"/>
              </w:rPr>
              <w:t>本项目</w:t>
            </w:r>
            <w:r>
              <w:rPr>
                <w:color w:val="auto"/>
                <w:sz w:val="24"/>
              </w:rPr>
              <w:t>产品</w:t>
            </w:r>
            <w:r>
              <w:rPr>
                <w:rFonts w:hint="eastAsia"/>
                <w:color w:val="auto"/>
                <w:sz w:val="24"/>
                <w:lang w:val="en-US" w:eastAsia="zh-CN"/>
              </w:rPr>
              <w:t>为采空区填充料浆，年生产23.4万</w:t>
            </w:r>
            <w:r>
              <w:rPr>
                <w:rFonts w:hint="eastAsia"/>
                <w:color w:val="auto"/>
                <w:sz w:val="21"/>
                <w:szCs w:val="21"/>
              </w:rPr>
              <w:t>m</w:t>
            </w:r>
            <w:r>
              <w:rPr>
                <w:rFonts w:hint="eastAsia"/>
                <w:color w:val="auto"/>
                <w:sz w:val="21"/>
                <w:szCs w:val="21"/>
                <w:vertAlign w:val="superscript"/>
                <w:lang w:val="en-US" w:eastAsia="zh-CN"/>
              </w:rPr>
              <w:t>3</w:t>
            </w:r>
            <w:r>
              <w:rPr>
                <w:rFonts w:hint="eastAsia"/>
                <w:color w:val="auto"/>
                <w:sz w:val="24"/>
                <w:lang w:eastAsia="zh-CN"/>
              </w:rPr>
              <w:t>，</w:t>
            </w:r>
            <w:r>
              <w:rPr>
                <w:rFonts w:hint="eastAsia"/>
                <w:color w:val="auto"/>
                <w:sz w:val="24"/>
                <w:lang w:val="en-US" w:eastAsia="zh-CN"/>
              </w:rPr>
              <w:t>灰砂比1：12，质量浓度约72%，根据建设项目设计单位实验测定，该规格下填充料浆容重</w:t>
            </w:r>
            <w:r>
              <w:rPr>
                <w:rFonts w:hint="eastAsia" w:ascii="Times New Roman" w:hAnsi="Times New Roman" w:eastAsia="宋体" w:cs="黑体"/>
                <w:color w:val="auto"/>
                <w:sz w:val="24"/>
              </w:rPr>
              <w:t>1.8</w:t>
            </w:r>
            <w:r>
              <w:rPr>
                <w:rFonts w:ascii="Times New Roman" w:hAnsi="Times New Roman" w:eastAsia="宋体" w:cs="黑体"/>
                <w:color w:val="auto"/>
                <w:sz w:val="24"/>
              </w:rPr>
              <w:t>8</w:t>
            </w:r>
            <w:r>
              <w:rPr>
                <w:rFonts w:hint="eastAsia" w:ascii="Times New Roman" w:hAnsi="Times New Roman" w:eastAsia="宋体" w:cs="黑体"/>
                <w:color w:val="auto"/>
                <w:sz w:val="24"/>
              </w:rPr>
              <w:t>5</w:t>
            </w:r>
            <w:r>
              <w:rPr>
                <w:rFonts w:ascii="Times New Roman" w:hAnsi="Times New Roman" w:eastAsia="宋体" w:cs="黑体"/>
                <w:color w:val="auto"/>
                <w:sz w:val="24"/>
              </w:rPr>
              <w:t>t/m</w:t>
            </w:r>
            <w:r>
              <w:rPr>
                <w:rFonts w:ascii="Times New Roman" w:hAnsi="Times New Roman" w:eastAsia="宋体" w:cs="黑体"/>
                <w:color w:val="auto"/>
                <w:sz w:val="24"/>
                <w:vertAlign w:val="superscript"/>
              </w:rPr>
              <w:t>3</w:t>
            </w:r>
            <w:r>
              <w:rPr>
                <w:rFonts w:ascii="Times New Roman" w:hAnsi="Times New Roman" w:eastAsia="宋体" w:cs="黑体"/>
                <w:color w:val="auto"/>
                <w:sz w:val="24"/>
              </w:rPr>
              <w:t>，</w:t>
            </w:r>
            <w:r>
              <w:rPr>
                <w:rFonts w:hint="eastAsia" w:ascii="Times New Roman" w:hAnsi="Times New Roman" w:eastAsia="宋体" w:cs="黑体"/>
                <w:color w:val="auto"/>
                <w:sz w:val="24"/>
                <w:lang w:val="en-US" w:eastAsia="zh-CN"/>
              </w:rPr>
              <w:t>则年生产</w:t>
            </w:r>
            <w:r>
              <w:rPr>
                <w:rFonts w:hint="eastAsia" w:cs="黑体"/>
                <w:color w:val="auto"/>
                <w:sz w:val="24"/>
                <w:lang w:val="en-US" w:eastAsia="zh-CN"/>
              </w:rPr>
              <w:t>44.109</w:t>
            </w:r>
            <w:r>
              <w:rPr>
                <w:rFonts w:hint="eastAsia" w:ascii="Times New Roman" w:hAnsi="Times New Roman" w:eastAsia="宋体" w:cs="黑体"/>
                <w:color w:val="auto"/>
                <w:sz w:val="24"/>
                <w:lang w:val="en-US" w:eastAsia="zh-CN"/>
              </w:rPr>
              <w:t>万t/a。项目年生产300天，项目填充料浆生产规模</w:t>
            </w:r>
            <w:r>
              <w:rPr>
                <w:color w:val="auto"/>
                <w:sz w:val="24"/>
              </w:rPr>
              <w:t>及</w:t>
            </w:r>
            <w:r>
              <w:rPr>
                <w:rFonts w:hint="eastAsia"/>
                <w:color w:val="auto"/>
                <w:sz w:val="24"/>
                <w:lang w:val="en-US" w:eastAsia="zh-CN"/>
              </w:rPr>
              <w:t>规格</w:t>
            </w:r>
            <w:r>
              <w:rPr>
                <w:color w:val="auto"/>
                <w:sz w:val="24"/>
              </w:rPr>
              <w:t>见下表。</w:t>
            </w:r>
          </w:p>
          <w:p w14:paraId="420FDD79">
            <w:pPr>
              <w:pStyle w:val="119"/>
              <w:numPr>
                <w:ilvl w:val="0"/>
                <w:numId w:val="0"/>
              </w:numPr>
              <w:ind w:leftChars="0"/>
              <w:jc w:val="center"/>
              <w:rPr>
                <w:rFonts w:hint="eastAsia"/>
                <w:kern w:val="0"/>
                <w:lang w:eastAsia="zh-CN"/>
              </w:rPr>
            </w:pPr>
            <w:r>
              <w:rPr>
                <w:rFonts w:hint="eastAsia"/>
                <w:kern w:val="0"/>
                <w:lang w:eastAsia="zh-CN"/>
              </w:rPr>
              <w:t>表</w:t>
            </w:r>
            <w:r>
              <w:rPr>
                <w:rFonts w:hint="eastAsia"/>
                <w:kern w:val="0"/>
                <w:lang w:val="en-US" w:eastAsia="zh-CN"/>
              </w:rPr>
              <w:t>2-5</w:t>
            </w:r>
            <w:r>
              <w:rPr>
                <w:rFonts w:hint="eastAsia"/>
                <w:kern w:val="0"/>
                <w:lang w:eastAsia="zh-CN"/>
              </w:rPr>
              <w:t xml:space="preserve"> </w:t>
            </w:r>
            <w:r>
              <w:rPr>
                <w:rFonts w:hint="eastAsia"/>
                <w:kern w:val="0"/>
                <w:lang w:val="en-US" w:eastAsia="zh-CN"/>
              </w:rPr>
              <w:t xml:space="preserve"> </w:t>
            </w:r>
            <w:r>
              <w:rPr>
                <w:rFonts w:hint="eastAsia"/>
                <w:kern w:val="0"/>
                <w:lang w:eastAsia="zh-CN"/>
              </w:rPr>
              <w:t>主要产品及产能一览表</w:t>
            </w:r>
          </w:p>
          <w:tbl>
            <w:tblPr>
              <w:tblStyle w:val="31"/>
              <w:tblW w:w="82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548"/>
              <w:gridCol w:w="1836"/>
              <w:gridCol w:w="2183"/>
              <w:gridCol w:w="2183"/>
            </w:tblGrid>
            <w:tr w14:paraId="489AD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67" w:type="dxa"/>
                  <w:tcBorders>
                    <w:tl2br w:val="nil"/>
                    <w:tr2bl w:val="nil"/>
                  </w:tcBorders>
                  <w:shd w:val="clear" w:color="auto" w:fill="auto"/>
                  <w:noWrap w:val="0"/>
                  <w:vAlign w:val="center"/>
                </w:tcPr>
                <w:p w14:paraId="38E08753">
                  <w:pPr>
                    <w:jc w:val="center"/>
                    <w:rPr>
                      <w:rFonts w:hint="eastAsia"/>
                      <w:sz w:val="21"/>
                      <w:szCs w:val="21"/>
                    </w:rPr>
                  </w:pPr>
                  <w:r>
                    <w:rPr>
                      <w:rFonts w:hint="eastAsia"/>
                      <w:sz w:val="21"/>
                      <w:szCs w:val="21"/>
                    </w:rPr>
                    <w:t>序号</w:t>
                  </w:r>
                </w:p>
              </w:tc>
              <w:tc>
                <w:tcPr>
                  <w:tcW w:w="1548" w:type="dxa"/>
                  <w:tcBorders>
                    <w:tl2br w:val="nil"/>
                    <w:tr2bl w:val="nil"/>
                  </w:tcBorders>
                  <w:shd w:val="clear" w:color="auto" w:fill="auto"/>
                  <w:noWrap w:val="0"/>
                  <w:vAlign w:val="center"/>
                </w:tcPr>
                <w:p w14:paraId="2DC970F7">
                  <w:pPr>
                    <w:jc w:val="center"/>
                    <w:rPr>
                      <w:rFonts w:hint="eastAsia"/>
                      <w:sz w:val="21"/>
                      <w:szCs w:val="21"/>
                    </w:rPr>
                  </w:pPr>
                  <w:r>
                    <w:rPr>
                      <w:rFonts w:hint="eastAsia"/>
                      <w:sz w:val="21"/>
                      <w:szCs w:val="21"/>
                    </w:rPr>
                    <w:t>产品名称</w:t>
                  </w:r>
                </w:p>
              </w:tc>
              <w:tc>
                <w:tcPr>
                  <w:tcW w:w="1836" w:type="dxa"/>
                  <w:tcBorders>
                    <w:tl2br w:val="nil"/>
                    <w:tr2bl w:val="nil"/>
                  </w:tcBorders>
                  <w:shd w:val="clear" w:color="auto" w:fill="auto"/>
                  <w:noWrap w:val="0"/>
                  <w:vAlign w:val="center"/>
                </w:tcPr>
                <w:p w14:paraId="0D9D57A4">
                  <w:pPr>
                    <w:jc w:val="center"/>
                    <w:rPr>
                      <w:rFonts w:hint="eastAsia" w:eastAsia="宋体"/>
                      <w:sz w:val="21"/>
                      <w:szCs w:val="21"/>
                      <w:lang w:eastAsia="zh-CN"/>
                    </w:rPr>
                  </w:pPr>
                  <w:r>
                    <w:rPr>
                      <w:rFonts w:hint="eastAsia"/>
                      <w:sz w:val="21"/>
                      <w:szCs w:val="21"/>
                    </w:rPr>
                    <w:t>规格</w:t>
                  </w:r>
                </w:p>
              </w:tc>
              <w:tc>
                <w:tcPr>
                  <w:tcW w:w="2183" w:type="dxa"/>
                  <w:tcBorders>
                    <w:tl2br w:val="nil"/>
                    <w:tr2bl w:val="nil"/>
                  </w:tcBorders>
                  <w:shd w:val="clear" w:color="auto" w:fill="auto"/>
                  <w:noWrap w:val="0"/>
                  <w:vAlign w:val="center"/>
                </w:tcPr>
                <w:p w14:paraId="010210A3">
                  <w:pPr>
                    <w:jc w:val="center"/>
                    <w:rPr>
                      <w:rFonts w:hint="eastAsia" w:eastAsia="宋体"/>
                      <w:sz w:val="21"/>
                      <w:szCs w:val="21"/>
                      <w:lang w:eastAsia="zh-CN"/>
                    </w:rPr>
                  </w:pPr>
                  <w:r>
                    <w:rPr>
                      <w:rFonts w:hint="eastAsia"/>
                      <w:sz w:val="21"/>
                      <w:szCs w:val="21"/>
                      <w:lang w:eastAsia="zh-CN"/>
                    </w:rPr>
                    <w:t>产量</w:t>
                  </w:r>
                </w:p>
              </w:tc>
              <w:tc>
                <w:tcPr>
                  <w:tcW w:w="2183" w:type="dxa"/>
                  <w:tcBorders>
                    <w:tl2br w:val="nil"/>
                    <w:tr2bl w:val="nil"/>
                  </w:tcBorders>
                  <w:shd w:val="clear" w:color="auto" w:fill="auto"/>
                  <w:noWrap w:val="0"/>
                  <w:vAlign w:val="center"/>
                </w:tcPr>
                <w:p w14:paraId="66D85D17">
                  <w:pPr>
                    <w:jc w:val="center"/>
                    <w:rPr>
                      <w:rFonts w:hint="default"/>
                      <w:sz w:val="21"/>
                      <w:szCs w:val="21"/>
                      <w:lang w:val="en-US" w:eastAsia="zh-CN"/>
                    </w:rPr>
                  </w:pPr>
                  <w:r>
                    <w:rPr>
                      <w:rFonts w:hint="eastAsia"/>
                      <w:sz w:val="21"/>
                      <w:szCs w:val="21"/>
                      <w:lang w:val="en-US" w:eastAsia="zh-CN"/>
                    </w:rPr>
                    <w:t>产品去向</w:t>
                  </w:r>
                </w:p>
              </w:tc>
            </w:tr>
            <w:tr w14:paraId="756D1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67" w:type="dxa"/>
                  <w:tcBorders>
                    <w:tl2br w:val="nil"/>
                    <w:tr2bl w:val="nil"/>
                  </w:tcBorders>
                  <w:shd w:val="clear" w:color="auto" w:fill="auto"/>
                  <w:noWrap w:val="0"/>
                  <w:vAlign w:val="center"/>
                </w:tcPr>
                <w:p w14:paraId="17B995BD">
                  <w:pPr>
                    <w:jc w:val="center"/>
                    <w:rPr>
                      <w:sz w:val="21"/>
                      <w:szCs w:val="21"/>
                    </w:rPr>
                  </w:pPr>
                  <w:r>
                    <w:rPr>
                      <w:rFonts w:hint="eastAsia"/>
                      <w:sz w:val="21"/>
                      <w:szCs w:val="21"/>
                    </w:rPr>
                    <w:t>1</w:t>
                  </w:r>
                </w:p>
              </w:tc>
              <w:tc>
                <w:tcPr>
                  <w:tcW w:w="1548" w:type="dxa"/>
                  <w:tcBorders>
                    <w:tl2br w:val="nil"/>
                    <w:tr2bl w:val="nil"/>
                  </w:tcBorders>
                  <w:shd w:val="clear" w:color="auto" w:fill="auto"/>
                  <w:noWrap w:val="0"/>
                  <w:vAlign w:val="center"/>
                </w:tcPr>
                <w:p w14:paraId="1948E97B">
                  <w:pPr>
                    <w:jc w:val="center"/>
                    <w:rPr>
                      <w:rFonts w:hint="default" w:eastAsia="宋体"/>
                      <w:sz w:val="21"/>
                      <w:szCs w:val="21"/>
                      <w:lang w:val="en-US" w:eastAsia="zh-CN"/>
                    </w:rPr>
                  </w:pPr>
                  <w:r>
                    <w:rPr>
                      <w:rFonts w:hint="eastAsia"/>
                      <w:sz w:val="21"/>
                      <w:szCs w:val="21"/>
                      <w:lang w:val="en-US" w:eastAsia="zh-CN"/>
                    </w:rPr>
                    <w:t>矿区填充料浆</w:t>
                  </w:r>
                </w:p>
              </w:tc>
              <w:tc>
                <w:tcPr>
                  <w:tcW w:w="1836" w:type="dxa"/>
                  <w:tcBorders>
                    <w:tl2br w:val="nil"/>
                    <w:tr2bl w:val="nil"/>
                  </w:tcBorders>
                  <w:shd w:val="clear" w:color="auto" w:fill="auto"/>
                  <w:noWrap w:val="0"/>
                  <w:vAlign w:val="center"/>
                </w:tcPr>
                <w:p w14:paraId="6C28A295">
                  <w:pPr>
                    <w:jc w:val="center"/>
                    <w:rPr>
                      <w:rFonts w:hint="eastAsia"/>
                      <w:sz w:val="21"/>
                      <w:szCs w:val="21"/>
                      <w:lang w:val="en-US" w:eastAsia="zh-CN"/>
                    </w:rPr>
                  </w:pPr>
                  <w:r>
                    <w:rPr>
                      <w:rFonts w:hint="eastAsia"/>
                      <w:sz w:val="21"/>
                      <w:szCs w:val="21"/>
                      <w:lang w:val="en-US" w:eastAsia="zh-CN"/>
                    </w:rPr>
                    <w:t>灰砂比1:12，</w:t>
                  </w:r>
                </w:p>
                <w:p w14:paraId="64E2D023">
                  <w:pPr>
                    <w:jc w:val="center"/>
                    <w:rPr>
                      <w:rFonts w:hint="default"/>
                      <w:sz w:val="21"/>
                      <w:szCs w:val="21"/>
                      <w:lang w:val="en-US" w:eastAsia="zh-CN"/>
                    </w:rPr>
                  </w:pPr>
                  <w:r>
                    <w:rPr>
                      <w:rFonts w:hint="eastAsia"/>
                      <w:sz w:val="21"/>
                      <w:szCs w:val="21"/>
                      <w:lang w:val="en-US" w:eastAsia="zh-CN"/>
                    </w:rPr>
                    <w:t>质量浓度约72%</w:t>
                  </w:r>
                </w:p>
              </w:tc>
              <w:tc>
                <w:tcPr>
                  <w:tcW w:w="2183" w:type="dxa"/>
                  <w:tcBorders>
                    <w:tl2br w:val="nil"/>
                    <w:tr2bl w:val="nil"/>
                  </w:tcBorders>
                  <w:shd w:val="clear" w:color="auto" w:fill="auto"/>
                  <w:noWrap w:val="0"/>
                  <w:vAlign w:val="center"/>
                </w:tcPr>
                <w:p w14:paraId="52A10C47">
                  <w:pPr>
                    <w:jc w:val="center"/>
                    <w:rPr>
                      <w:rFonts w:hint="default"/>
                      <w:sz w:val="21"/>
                      <w:szCs w:val="21"/>
                      <w:lang w:val="en-US" w:eastAsia="zh-CN"/>
                    </w:rPr>
                  </w:pPr>
                  <w:r>
                    <w:rPr>
                      <w:rFonts w:hint="eastAsia"/>
                      <w:color w:val="auto"/>
                      <w:sz w:val="21"/>
                      <w:szCs w:val="21"/>
                      <w:lang w:val="en-US" w:eastAsia="zh-CN"/>
                    </w:rPr>
                    <w:t>23.4万m</w:t>
                  </w:r>
                  <w:r>
                    <w:rPr>
                      <w:rFonts w:hint="eastAsia"/>
                      <w:color w:val="auto"/>
                      <w:sz w:val="21"/>
                      <w:szCs w:val="21"/>
                      <w:vertAlign w:val="superscript"/>
                      <w:lang w:val="en-US" w:eastAsia="zh-CN"/>
                    </w:rPr>
                    <w:t>3</w:t>
                  </w:r>
                  <w:r>
                    <w:rPr>
                      <w:rFonts w:hint="eastAsia"/>
                      <w:color w:val="auto"/>
                      <w:sz w:val="21"/>
                      <w:szCs w:val="21"/>
                      <w:vertAlign w:val="baseline"/>
                      <w:lang w:val="en-US" w:eastAsia="zh-CN"/>
                    </w:rPr>
                    <w:t>/a</w:t>
                  </w:r>
                  <w:r>
                    <w:rPr>
                      <w:rFonts w:hint="eastAsia"/>
                      <w:color w:val="auto"/>
                      <w:sz w:val="21"/>
                      <w:szCs w:val="21"/>
                      <w:vertAlign w:val="baseline"/>
                      <w:lang w:val="en-US" w:eastAsia="zh-CN"/>
                    </w:rPr>
                    <w:br w:type="textWrapping"/>
                  </w:r>
                  <w:r>
                    <w:rPr>
                      <w:rFonts w:hint="eastAsia"/>
                      <w:color w:val="auto"/>
                      <w:sz w:val="21"/>
                      <w:szCs w:val="21"/>
                      <w:vertAlign w:val="baseline"/>
                      <w:lang w:val="en-US" w:eastAsia="zh-CN"/>
                    </w:rPr>
                    <w:t>合44.109万</w:t>
                  </w:r>
                  <w:r>
                    <w:rPr>
                      <w:rFonts w:hint="eastAsia" w:ascii="Times New Roman" w:hAnsi="Times New Roman" w:eastAsia="宋体" w:cs="黑体"/>
                      <w:color w:val="auto"/>
                      <w:sz w:val="24"/>
                      <w:lang w:val="en-US" w:eastAsia="zh-CN"/>
                    </w:rPr>
                    <w:t>t/a</w:t>
                  </w:r>
                </w:p>
              </w:tc>
              <w:tc>
                <w:tcPr>
                  <w:tcW w:w="2183" w:type="dxa"/>
                  <w:tcBorders>
                    <w:tl2br w:val="nil"/>
                    <w:tr2bl w:val="nil"/>
                  </w:tcBorders>
                  <w:shd w:val="clear" w:color="auto" w:fill="auto"/>
                  <w:noWrap w:val="0"/>
                  <w:vAlign w:val="center"/>
                </w:tcPr>
                <w:p w14:paraId="497FD873">
                  <w:pPr>
                    <w:jc w:val="center"/>
                    <w:rPr>
                      <w:rFonts w:hint="default"/>
                      <w:sz w:val="21"/>
                      <w:szCs w:val="21"/>
                      <w:lang w:val="en-US" w:eastAsia="zh-CN"/>
                    </w:rPr>
                  </w:pPr>
                  <w:r>
                    <w:rPr>
                      <w:rFonts w:hint="eastAsia"/>
                      <w:sz w:val="21"/>
                      <w:szCs w:val="21"/>
                      <w:lang w:val="en-US" w:eastAsia="zh-CN"/>
                    </w:rPr>
                    <w:t>用于填充惠顿公司矿山井下采空区</w:t>
                  </w:r>
                </w:p>
              </w:tc>
            </w:tr>
          </w:tbl>
          <w:p w14:paraId="584A7F01">
            <w:pPr>
              <w:pStyle w:val="138"/>
              <w:keepNext/>
              <w:keepLines w:val="0"/>
              <w:pageBreakBefore w:val="0"/>
              <w:widowControl w:val="0"/>
              <w:kinsoku/>
              <w:wordWrap/>
              <w:overflowPunct/>
              <w:topLinePunct w:val="0"/>
              <w:autoSpaceDE/>
              <w:autoSpaceDN/>
              <w:bidi w:val="0"/>
              <w:adjustRightInd/>
              <w:snapToGrid/>
              <w:spacing w:before="120" w:line="400" w:lineRule="exact"/>
              <w:textAlignment w:val="auto"/>
              <w:rPr>
                <w:rFonts w:hint="eastAsia" w:ascii="Times New Roman" w:hAnsi="Times New Roman" w:eastAsia="宋体" w:cs="Times New Roman"/>
                <w:b w:val="0"/>
                <w:color w:val="auto"/>
                <w:kern w:val="2"/>
                <w:sz w:val="24"/>
                <w:szCs w:val="24"/>
                <w:lang w:val="en-US" w:eastAsia="zh-CN" w:bidi="ar-SA"/>
              </w:rPr>
            </w:pPr>
            <w:r>
              <w:rPr>
                <w:rFonts w:hint="eastAsia" w:cs="Times New Roman"/>
                <w:b w:val="0"/>
                <w:color w:val="auto"/>
                <w:kern w:val="2"/>
                <w:sz w:val="24"/>
                <w:szCs w:val="24"/>
                <w:lang w:val="en-US" w:eastAsia="zh-CN" w:bidi="ar-SA"/>
              </w:rPr>
              <w:t xml:space="preserve">   项目</w:t>
            </w:r>
            <w:r>
              <w:rPr>
                <w:rFonts w:hint="eastAsia" w:ascii="Times New Roman" w:hAnsi="Times New Roman" w:eastAsia="宋体" w:cs="Times New Roman"/>
                <w:b w:val="0"/>
                <w:color w:val="auto"/>
                <w:kern w:val="2"/>
                <w:sz w:val="24"/>
                <w:szCs w:val="24"/>
                <w:lang w:val="en-US" w:eastAsia="zh-CN" w:bidi="ar-SA"/>
              </w:rPr>
              <w:t>充填原料在</w:t>
            </w:r>
            <w:r>
              <w:rPr>
                <w:rFonts w:hint="eastAsia" w:cs="Times New Roman"/>
                <w:b w:val="0"/>
                <w:color w:val="auto"/>
                <w:kern w:val="2"/>
                <w:sz w:val="24"/>
                <w:szCs w:val="24"/>
                <w:lang w:val="en-US" w:eastAsia="zh-CN" w:bidi="ar-SA"/>
              </w:rPr>
              <w:t>自动控制</w:t>
            </w:r>
            <w:r>
              <w:rPr>
                <w:rFonts w:hint="eastAsia" w:ascii="Times New Roman" w:hAnsi="Times New Roman" w:eastAsia="宋体" w:cs="Times New Roman"/>
                <w:b w:val="0"/>
                <w:color w:val="auto"/>
                <w:kern w:val="2"/>
                <w:sz w:val="24"/>
                <w:szCs w:val="24"/>
                <w:lang w:val="en-US" w:eastAsia="zh-CN" w:bidi="ar-SA"/>
              </w:rPr>
              <w:t>系统下经</w:t>
            </w:r>
            <w:r>
              <w:rPr>
                <w:rFonts w:hint="eastAsia" w:cs="Times New Roman"/>
                <w:b w:val="0"/>
                <w:color w:val="auto"/>
                <w:kern w:val="2"/>
                <w:sz w:val="24"/>
                <w:szCs w:val="24"/>
                <w:lang w:val="en-US" w:eastAsia="zh-CN" w:bidi="ar-SA"/>
              </w:rPr>
              <w:t>高速</w:t>
            </w:r>
            <w:r>
              <w:rPr>
                <w:rFonts w:hint="eastAsia" w:ascii="Times New Roman" w:hAnsi="Times New Roman" w:eastAsia="宋体" w:cs="Times New Roman"/>
                <w:b w:val="0"/>
                <w:color w:val="auto"/>
                <w:kern w:val="2"/>
                <w:sz w:val="24"/>
                <w:szCs w:val="24"/>
                <w:lang w:val="en-US" w:eastAsia="zh-CN" w:bidi="ar-SA"/>
              </w:rPr>
              <w:t>柔性搅拌机搅拌制成充填料浆，暂存</w:t>
            </w:r>
          </w:p>
          <w:p w14:paraId="168ED957">
            <w:pPr>
              <w:pStyle w:val="138"/>
              <w:keepNext/>
              <w:keepLines w:val="0"/>
              <w:pageBreakBefore w:val="0"/>
              <w:widowControl w:val="0"/>
              <w:kinsoku/>
              <w:wordWrap/>
              <w:overflowPunct/>
              <w:topLinePunct w:val="0"/>
              <w:autoSpaceDE/>
              <w:autoSpaceDN/>
              <w:bidi w:val="0"/>
              <w:adjustRightInd/>
              <w:snapToGrid/>
              <w:spacing w:before="120" w:line="400" w:lineRule="exact"/>
              <w:jc w:val="both"/>
              <w:textAlignment w:val="auto"/>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于4m</w:t>
            </w:r>
            <w:r>
              <w:rPr>
                <w:rFonts w:hint="eastAsia" w:ascii="Times New Roman" w:hAnsi="Times New Roman" w:eastAsia="宋体" w:cs="Times New Roman"/>
                <w:b w:val="0"/>
                <w:color w:val="auto"/>
                <w:kern w:val="2"/>
                <w:sz w:val="24"/>
                <w:szCs w:val="24"/>
                <w:vertAlign w:val="superscript"/>
                <w:lang w:val="en-US" w:eastAsia="zh-CN" w:bidi="ar-SA"/>
              </w:rPr>
              <w:t>3</w:t>
            </w:r>
            <w:r>
              <w:rPr>
                <w:rFonts w:hint="eastAsia" w:ascii="Times New Roman" w:hAnsi="Times New Roman" w:eastAsia="宋体" w:cs="Times New Roman"/>
                <w:b w:val="0"/>
                <w:color w:val="auto"/>
                <w:kern w:val="2"/>
                <w:sz w:val="24"/>
                <w:szCs w:val="24"/>
                <w:lang w:val="en-US" w:eastAsia="zh-CN" w:bidi="ar-SA"/>
              </w:rPr>
              <w:t>的</w:t>
            </w:r>
            <w:r>
              <w:rPr>
                <w:rFonts w:hint="eastAsia" w:cs="Times New Roman"/>
                <w:b w:val="0"/>
                <w:color w:val="auto"/>
                <w:kern w:val="2"/>
                <w:sz w:val="24"/>
                <w:szCs w:val="24"/>
                <w:lang w:val="en-US" w:eastAsia="zh-CN" w:bidi="ar-SA"/>
              </w:rPr>
              <w:t>缓存泵</w:t>
            </w:r>
            <w:r>
              <w:rPr>
                <w:rFonts w:hint="eastAsia" w:ascii="Times New Roman" w:hAnsi="Times New Roman" w:eastAsia="宋体" w:cs="Times New Roman"/>
                <w:b w:val="0"/>
                <w:color w:val="auto"/>
                <w:kern w:val="2"/>
                <w:sz w:val="24"/>
                <w:szCs w:val="24"/>
                <w:lang w:val="en-US" w:eastAsia="zh-CN" w:bidi="ar-SA"/>
              </w:rPr>
              <w:t>斗内，利用充填工业泵和充填管网输送到采空区。</w:t>
            </w:r>
          </w:p>
          <w:p w14:paraId="12B7D487">
            <w:pPr>
              <w:pStyle w:val="138"/>
              <w:keepNext/>
              <w:keepLines w:val="0"/>
              <w:pageBreakBefore w:val="0"/>
              <w:widowControl w:val="0"/>
              <w:kinsoku/>
              <w:wordWrap/>
              <w:overflowPunct/>
              <w:topLinePunct w:val="0"/>
              <w:autoSpaceDE/>
              <w:autoSpaceDN/>
              <w:bidi w:val="0"/>
              <w:adjustRightInd/>
              <w:snapToGrid/>
              <w:spacing w:before="120" w:line="400" w:lineRule="exact"/>
              <w:ind w:firstLine="480" w:firstLineChars="200"/>
              <w:jc w:val="both"/>
              <w:textAlignment w:val="auto"/>
              <w:rPr>
                <w:rFonts w:hint="eastAsia" w:ascii="Times New Roman" w:hAnsi="Times New Roman" w:eastAsia="黑体" w:cs="Times New Roman"/>
                <w:b w:val="0"/>
                <w:kern w:val="0"/>
                <w:sz w:val="24"/>
                <w:szCs w:val="21"/>
                <w:u w:val="none"/>
                <w:lang w:val="en-US" w:eastAsia="zh-CN" w:bidi="ar-SA"/>
              </w:rPr>
            </w:pPr>
            <w:r>
              <w:rPr>
                <w:rFonts w:hint="eastAsia" w:cs="Times New Roman"/>
                <w:b w:val="0"/>
                <w:color w:val="auto"/>
                <w:kern w:val="2"/>
                <w:sz w:val="24"/>
                <w:szCs w:val="24"/>
                <w:u w:val="none"/>
                <w:lang w:val="en-US" w:eastAsia="zh-CN" w:bidi="ar-SA"/>
              </w:rPr>
              <w:t xml:space="preserve"> 产品物料组成见下表：</w:t>
            </w:r>
          </w:p>
          <w:p w14:paraId="16170812">
            <w:pPr>
              <w:pStyle w:val="138"/>
              <w:keepNext/>
              <w:keepLines w:val="0"/>
              <w:pageBreakBefore w:val="0"/>
              <w:widowControl w:val="0"/>
              <w:kinsoku/>
              <w:wordWrap/>
              <w:overflowPunct/>
              <w:topLinePunct w:val="0"/>
              <w:autoSpaceDE/>
              <w:autoSpaceDN/>
              <w:bidi w:val="0"/>
              <w:adjustRightInd/>
              <w:snapToGrid/>
              <w:spacing w:before="120" w:line="400" w:lineRule="exact"/>
              <w:ind w:firstLine="480" w:firstLineChars="200"/>
              <w:jc w:val="center"/>
              <w:textAlignment w:val="auto"/>
              <w:rPr>
                <w:rFonts w:hint="eastAsia" w:ascii="Times New Roman" w:hAnsi="Times New Roman" w:eastAsia="黑体" w:cs="Times New Roman"/>
                <w:b w:val="0"/>
                <w:kern w:val="0"/>
                <w:sz w:val="24"/>
                <w:szCs w:val="21"/>
                <w:u w:val="none"/>
                <w:lang w:val="en-US" w:eastAsia="zh-CN" w:bidi="ar-SA"/>
              </w:rPr>
            </w:pPr>
            <w:r>
              <w:rPr>
                <w:rFonts w:hint="eastAsia" w:ascii="Times New Roman" w:hAnsi="Times New Roman" w:eastAsia="黑体" w:cs="Times New Roman"/>
                <w:b w:val="0"/>
                <w:kern w:val="0"/>
                <w:sz w:val="24"/>
                <w:szCs w:val="21"/>
                <w:u w:val="none"/>
                <w:lang w:val="en-US" w:eastAsia="zh-CN" w:bidi="ar-SA"/>
              </w:rPr>
              <w:t>表2-</w:t>
            </w:r>
            <w:r>
              <w:rPr>
                <w:rFonts w:hint="eastAsia" w:eastAsia="黑体" w:cs="Times New Roman"/>
                <w:b w:val="0"/>
                <w:kern w:val="0"/>
                <w:sz w:val="24"/>
                <w:szCs w:val="21"/>
                <w:u w:val="none"/>
                <w:lang w:val="en-US" w:eastAsia="zh-CN" w:bidi="ar-SA"/>
              </w:rPr>
              <w:t>6</w:t>
            </w:r>
            <w:r>
              <w:rPr>
                <w:rFonts w:hint="eastAsia" w:ascii="Times New Roman" w:hAnsi="Times New Roman" w:eastAsia="黑体" w:cs="Times New Roman"/>
                <w:b w:val="0"/>
                <w:kern w:val="0"/>
                <w:sz w:val="24"/>
                <w:szCs w:val="21"/>
                <w:u w:val="none"/>
                <w:lang w:val="en-US" w:eastAsia="zh-CN" w:bidi="ar-SA"/>
              </w:rPr>
              <w:t xml:space="preserve">  产品物料组成一览表</w:t>
            </w:r>
          </w:p>
          <w:tbl>
            <w:tblPr>
              <w:tblStyle w:val="31"/>
              <w:tblW w:w="7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20"/>
              <w:gridCol w:w="1982"/>
              <w:gridCol w:w="1436"/>
              <w:gridCol w:w="1160"/>
              <w:gridCol w:w="1054"/>
            </w:tblGrid>
            <w:tr w14:paraId="2C55A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tcBorders>
                    <w:tl2br w:val="nil"/>
                    <w:tr2bl w:val="nil"/>
                  </w:tcBorders>
                  <w:vAlign w:val="center"/>
                </w:tcPr>
                <w:p w14:paraId="7B229EF2">
                  <w:pPr>
                    <w:jc w:val="center"/>
                    <w:rPr>
                      <w:rFonts w:hint="eastAsia"/>
                      <w:sz w:val="21"/>
                      <w:szCs w:val="21"/>
                    </w:rPr>
                  </w:pPr>
                  <w:r>
                    <w:rPr>
                      <w:rFonts w:hint="eastAsia"/>
                      <w:sz w:val="21"/>
                      <w:szCs w:val="21"/>
                    </w:rPr>
                    <w:t>序号</w:t>
                  </w:r>
                </w:p>
              </w:tc>
              <w:tc>
                <w:tcPr>
                  <w:tcW w:w="1420" w:type="dxa"/>
                  <w:tcBorders>
                    <w:tl2br w:val="nil"/>
                    <w:tr2bl w:val="nil"/>
                  </w:tcBorders>
                  <w:vAlign w:val="center"/>
                </w:tcPr>
                <w:p w14:paraId="1C3B82FC">
                  <w:pPr>
                    <w:jc w:val="center"/>
                    <w:rPr>
                      <w:rFonts w:hint="eastAsia"/>
                      <w:sz w:val="21"/>
                      <w:szCs w:val="21"/>
                    </w:rPr>
                  </w:pPr>
                  <w:r>
                    <w:rPr>
                      <w:rFonts w:hint="eastAsia"/>
                      <w:sz w:val="21"/>
                      <w:szCs w:val="21"/>
                      <w:lang w:eastAsia="zh-CN"/>
                    </w:rPr>
                    <w:t>原料</w:t>
                  </w:r>
                  <w:r>
                    <w:rPr>
                      <w:rFonts w:hint="eastAsia"/>
                      <w:sz w:val="21"/>
                      <w:szCs w:val="21"/>
                    </w:rPr>
                    <w:t>名称</w:t>
                  </w:r>
                </w:p>
              </w:tc>
              <w:tc>
                <w:tcPr>
                  <w:tcW w:w="1982" w:type="dxa"/>
                  <w:tcBorders>
                    <w:tl2br w:val="nil"/>
                    <w:tr2bl w:val="nil"/>
                  </w:tcBorders>
                  <w:vAlign w:val="center"/>
                </w:tcPr>
                <w:p w14:paraId="3321E0A0">
                  <w:pPr>
                    <w:jc w:val="center"/>
                    <w:rPr>
                      <w:rFonts w:hint="eastAsia"/>
                      <w:sz w:val="21"/>
                      <w:szCs w:val="21"/>
                      <w:lang w:eastAsia="zh-CN"/>
                    </w:rPr>
                  </w:pPr>
                  <w:r>
                    <w:rPr>
                      <w:rFonts w:hint="eastAsia"/>
                      <w:sz w:val="21"/>
                      <w:szCs w:val="21"/>
                      <w:lang w:eastAsia="zh-CN"/>
                    </w:rPr>
                    <w:t>来源</w:t>
                  </w:r>
                </w:p>
              </w:tc>
              <w:tc>
                <w:tcPr>
                  <w:tcW w:w="1436" w:type="dxa"/>
                  <w:tcBorders>
                    <w:tl2br w:val="nil"/>
                    <w:tr2bl w:val="nil"/>
                  </w:tcBorders>
                  <w:vAlign w:val="center"/>
                </w:tcPr>
                <w:p w14:paraId="616508D2">
                  <w:pPr>
                    <w:jc w:val="center"/>
                    <w:rPr>
                      <w:rFonts w:hint="eastAsia"/>
                      <w:sz w:val="21"/>
                      <w:szCs w:val="21"/>
                      <w:lang w:eastAsia="zh-CN"/>
                    </w:rPr>
                  </w:pPr>
                  <w:r>
                    <w:rPr>
                      <w:rFonts w:hint="eastAsia"/>
                      <w:sz w:val="21"/>
                      <w:szCs w:val="21"/>
                      <w:lang w:eastAsia="zh-CN"/>
                    </w:rPr>
                    <w:t>年用量</w:t>
                  </w:r>
                </w:p>
              </w:tc>
              <w:tc>
                <w:tcPr>
                  <w:tcW w:w="1160" w:type="dxa"/>
                  <w:tcBorders>
                    <w:tl2br w:val="nil"/>
                    <w:tr2bl w:val="nil"/>
                  </w:tcBorders>
                  <w:vAlign w:val="center"/>
                </w:tcPr>
                <w:p w14:paraId="6A9C2FEB">
                  <w:pPr>
                    <w:jc w:val="center"/>
                    <w:rPr>
                      <w:rFonts w:hint="eastAsia"/>
                      <w:sz w:val="21"/>
                      <w:szCs w:val="21"/>
                    </w:rPr>
                  </w:pPr>
                  <w:r>
                    <w:rPr>
                      <w:rFonts w:hint="eastAsia"/>
                      <w:sz w:val="21"/>
                      <w:szCs w:val="21"/>
                      <w:lang w:eastAsia="zh-CN"/>
                    </w:rPr>
                    <w:t>日用量</w:t>
                  </w:r>
                </w:p>
              </w:tc>
              <w:tc>
                <w:tcPr>
                  <w:tcW w:w="1054" w:type="dxa"/>
                  <w:tcBorders>
                    <w:tl2br w:val="nil"/>
                    <w:tr2bl w:val="nil"/>
                  </w:tcBorders>
                  <w:vAlign w:val="center"/>
                </w:tcPr>
                <w:p w14:paraId="42CA9D9A">
                  <w:pPr>
                    <w:jc w:val="center"/>
                    <w:rPr>
                      <w:rFonts w:hint="eastAsia"/>
                      <w:sz w:val="21"/>
                      <w:szCs w:val="21"/>
                    </w:rPr>
                  </w:pPr>
                  <w:r>
                    <w:rPr>
                      <w:rFonts w:hint="eastAsia"/>
                      <w:sz w:val="21"/>
                      <w:szCs w:val="21"/>
                    </w:rPr>
                    <w:t>备注</w:t>
                  </w:r>
                </w:p>
              </w:tc>
            </w:tr>
            <w:tr w14:paraId="149EC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tcBorders>
                    <w:tl2br w:val="nil"/>
                    <w:tr2bl w:val="nil"/>
                  </w:tcBorders>
                  <w:vAlign w:val="center"/>
                </w:tcPr>
                <w:p w14:paraId="474A724E">
                  <w:pPr>
                    <w:jc w:val="center"/>
                    <w:rPr>
                      <w:rFonts w:hint="eastAsia"/>
                      <w:sz w:val="21"/>
                      <w:szCs w:val="21"/>
                    </w:rPr>
                  </w:pPr>
                  <w:r>
                    <w:rPr>
                      <w:rFonts w:hint="eastAsia"/>
                      <w:sz w:val="21"/>
                      <w:szCs w:val="21"/>
                    </w:rPr>
                    <w:t>1</w:t>
                  </w:r>
                </w:p>
              </w:tc>
              <w:tc>
                <w:tcPr>
                  <w:tcW w:w="1420" w:type="dxa"/>
                  <w:tcBorders>
                    <w:tl2br w:val="nil"/>
                    <w:tr2bl w:val="nil"/>
                  </w:tcBorders>
                  <w:vAlign w:val="center"/>
                </w:tcPr>
                <w:p w14:paraId="7CA5CEA4">
                  <w:pPr>
                    <w:jc w:val="center"/>
                    <w:rPr>
                      <w:rFonts w:hint="eastAsia"/>
                      <w:sz w:val="21"/>
                      <w:szCs w:val="21"/>
                      <w:lang w:eastAsia="zh-CN"/>
                    </w:rPr>
                  </w:pPr>
                  <w:r>
                    <w:rPr>
                      <w:rFonts w:hint="eastAsia"/>
                      <w:sz w:val="21"/>
                      <w:szCs w:val="21"/>
                      <w:lang w:eastAsia="zh-CN"/>
                    </w:rPr>
                    <w:t>干砂</w:t>
                  </w:r>
                </w:p>
              </w:tc>
              <w:tc>
                <w:tcPr>
                  <w:tcW w:w="1982" w:type="dxa"/>
                  <w:tcBorders>
                    <w:tl2br w:val="nil"/>
                    <w:tr2bl w:val="nil"/>
                  </w:tcBorders>
                  <w:vAlign w:val="center"/>
                </w:tcPr>
                <w:p w14:paraId="73CA74B1">
                  <w:pPr>
                    <w:jc w:val="center"/>
                    <w:rPr>
                      <w:rFonts w:hint="eastAsia"/>
                      <w:sz w:val="21"/>
                      <w:szCs w:val="21"/>
                      <w:lang w:eastAsia="zh-CN"/>
                    </w:rPr>
                  </w:pPr>
                  <w:r>
                    <w:rPr>
                      <w:rFonts w:hint="eastAsia"/>
                      <w:sz w:val="21"/>
                      <w:szCs w:val="21"/>
                      <w:lang w:eastAsia="zh-CN"/>
                    </w:rPr>
                    <w:t>尾矿砂中的干成分</w:t>
                  </w:r>
                </w:p>
              </w:tc>
              <w:tc>
                <w:tcPr>
                  <w:tcW w:w="1436" w:type="dxa"/>
                  <w:tcBorders>
                    <w:tl2br w:val="nil"/>
                    <w:tr2bl w:val="nil"/>
                  </w:tcBorders>
                  <w:vAlign w:val="center"/>
                </w:tcPr>
                <w:p w14:paraId="5D49A264">
                  <w:pPr>
                    <w:jc w:val="center"/>
                    <w:rPr>
                      <w:rFonts w:hint="default"/>
                      <w:sz w:val="21"/>
                      <w:szCs w:val="21"/>
                      <w:lang w:val="en-US" w:eastAsia="zh-CN"/>
                    </w:rPr>
                  </w:pPr>
                  <w:r>
                    <w:rPr>
                      <w:rFonts w:hint="eastAsia"/>
                      <w:sz w:val="21"/>
                      <w:szCs w:val="21"/>
                      <w:lang w:val="en-US" w:eastAsia="zh-CN"/>
                    </w:rPr>
                    <w:t>29.3354万t</w:t>
                  </w:r>
                </w:p>
              </w:tc>
              <w:tc>
                <w:tcPr>
                  <w:tcW w:w="1160" w:type="dxa"/>
                  <w:tcBorders>
                    <w:tl2br w:val="nil"/>
                    <w:tr2bl w:val="nil"/>
                  </w:tcBorders>
                  <w:vAlign w:val="center"/>
                </w:tcPr>
                <w:p w14:paraId="1E2C22BE">
                  <w:pPr>
                    <w:jc w:val="center"/>
                    <w:rPr>
                      <w:rFonts w:hint="default"/>
                      <w:sz w:val="21"/>
                      <w:szCs w:val="21"/>
                      <w:lang w:val="en-US" w:eastAsia="zh-CN"/>
                    </w:rPr>
                  </w:pPr>
                  <w:r>
                    <w:rPr>
                      <w:rFonts w:hint="eastAsia"/>
                      <w:sz w:val="21"/>
                      <w:szCs w:val="21"/>
                      <w:lang w:val="en-US" w:eastAsia="zh-CN"/>
                    </w:rPr>
                    <w:t>977.85t</w:t>
                  </w:r>
                </w:p>
              </w:tc>
              <w:tc>
                <w:tcPr>
                  <w:tcW w:w="1054" w:type="dxa"/>
                  <w:tcBorders>
                    <w:tl2br w:val="nil"/>
                    <w:tr2bl w:val="nil"/>
                  </w:tcBorders>
                  <w:vAlign w:val="center"/>
                </w:tcPr>
                <w:p w14:paraId="07D88909">
                  <w:pPr>
                    <w:jc w:val="center"/>
                    <w:rPr>
                      <w:rFonts w:hint="eastAsia"/>
                      <w:sz w:val="21"/>
                      <w:szCs w:val="21"/>
                      <w:lang w:val="en-US" w:eastAsia="zh-CN"/>
                    </w:rPr>
                  </w:pPr>
                  <w:r>
                    <w:rPr>
                      <w:rFonts w:hint="eastAsia"/>
                      <w:sz w:val="21"/>
                      <w:szCs w:val="21"/>
                      <w:lang w:val="en-US" w:eastAsia="zh-CN"/>
                    </w:rPr>
                    <w:t>/</w:t>
                  </w:r>
                </w:p>
              </w:tc>
            </w:tr>
            <w:tr w14:paraId="3AEFD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tcBorders>
                    <w:tl2br w:val="nil"/>
                    <w:tr2bl w:val="nil"/>
                  </w:tcBorders>
                  <w:vAlign w:val="center"/>
                </w:tcPr>
                <w:p w14:paraId="36360037">
                  <w:pPr>
                    <w:jc w:val="center"/>
                    <w:rPr>
                      <w:rFonts w:hint="eastAsia"/>
                      <w:sz w:val="21"/>
                      <w:szCs w:val="21"/>
                      <w:lang w:val="en-US" w:eastAsia="zh-CN"/>
                    </w:rPr>
                  </w:pPr>
                  <w:r>
                    <w:rPr>
                      <w:rFonts w:hint="eastAsia"/>
                      <w:sz w:val="21"/>
                      <w:szCs w:val="21"/>
                      <w:lang w:val="en-US" w:eastAsia="zh-CN"/>
                    </w:rPr>
                    <w:t>2</w:t>
                  </w:r>
                </w:p>
              </w:tc>
              <w:tc>
                <w:tcPr>
                  <w:tcW w:w="1420" w:type="dxa"/>
                  <w:tcBorders>
                    <w:tl2br w:val="nil"/>
                    <w:tr2bl w:val="nil"/>
                  </w:tcBorders>
                  <w:vAlign w:val="center"/>
                </w:tcPr>
                <w:p w14:paraId="286EDD25">
                  <w:pPr>
                    <w:jc w:val="center"/>
                    <w:rPr>
                      <w:rFonts w:hint="eastAsia"/>
                      <w:sz w:val="21"/>
                      <w:szCs w:val="21"/>
                      <w:lang w:eastAsia="zh-CN"/>
                    </w:rPr>
                  </w:pPr>
                  <w:r>
                    <w:rPr>
                      <w:rFonts w:hint="eastAsia"/>
                      <w:sz w:val="21"/>
                      <w:szCs w:val="21"/>
                      <w:lang w:eastAsia="zh-CN"/>
                    </w:rPr>
                    <w:t>尾矿砂含水</w:t>
                  </w:r>
                </w:p>
              </w:tc>
              <w:tc>
                <w:tcPr>
                  <w:tcW w:w="1982" w:type="dxa"/>
                  <w:tcBorders>
                    <w:tl2br w:val="nil"/>
                    <w:tr2bl w:val="nil"/>
                  </w:tcBorders>
                  <w:vAlign w:val="center"/>
                </w:tcPr>
                <w:p w14:paraId="3AF03C5F">
                  <w:pPr>
                    <w:jc w:val="center"/>
                    <w:rPr>
                      <w:rFonts w:hint="eastAsia"/>
                      <w:sz w:val="21"/>
                      <w:szCs w:val="21"/>
                      <w:lang w:eastAsia="zh-CN"/>
                    </w:rPr>
                  </w:pPr>
                  <w:r>
                    <w:rPr>
                      <w:rFonts w:hint="eastAsia"/>
                      <w:sz w:val="21"/>
                      <w:szCs w:val="21"/>
                      <w:lang w:eastAsia="zh-CN"/>
                    </w:rPr>
                    <w:t>尾砂经浓密机浓缩后含水量</w:t>
                  </w:r>
                </w:p>
              </w:tc>
              <w:tc>
                <w:tcPr>
                  <w:tcW w:w="1436" w:type="dxa"/>
                  <w:tcBorders>
                    <w:tl2br w:val="nil"/>
                    <w:tr2bl w:val="nil"/>
                  </w:tcBorders>
                  <w:vAlign w:val="center"/>
                </w:tcPr>
                <w:p w14:paraId="71024B9A">
                  <w:pPr>
                    <w:jc w:val="center"/>
                    <w:rPr>
                      <w:rFonts w:hint="default"/>
                      <w:sz w:val="21"/>
                      <w:szCs w:val="21"/>
                      <w:lang w:val="en-US" w:eastAsia="zh-CN"/>
                    </w:rPr>
                  </w:pPr>
                  <w:r>
                    <w:rPr>
                      <w:rFonts w:hint="eastAsia"/>
                      <w:sz w:val="21"/>
                      <w:szCs w:val="21"/>
                      <w:lang w:val="en-US" w:eastAsia="zh-CN"/>
                    </w:rPr>
                    <w:t>11.4082万t</w:t>
                  </w:r>
                </w:p>
              </w:tc>
              <w:tc>
                <w:tcPr>
                  <w:tcW w:w="1160" w:type="dxa"/>
                  <w:tcBorders>
                    <w:tl2br w:val="nil"/>
                    <w:tr2bl w:val="nil"/>
                  </w:tcBorders>
                  <w:vAlign w:val="center"/>
                </w:tcPr>
                <w:p w14:paraId="78BE1F55">
                  <w:pPr>
                    <w:jc w:val="center"/>
                    <w:rPr>
                      <w:rFonts w:hint="default"/>
                      <w:sz w:val="21"/>
                      <w:szCs w:val="21"/>
                      <w:lang w:val="en-US" w:eastAsia="zh-CN"/>
                    </w:rPr>
                  </w:pPr>
                  <w:r>
                    <w:rPr>
                      <w:rFonts w:hint="eastAsia"/>
                      <w:sz w:val="21"/>
                      <w:szCs w:val="21"/>
                      <w:lang w:val="en-US" w:eastAsia="zh-CN"/>
                    </w:rPr>
                    <w:t>380.27t</w:t>
                  </w:r>
                </w:p>
              </w:tc>
              <w:tc>
                <w:tcPr>
                  <w:tcW w:w="1054" w:type="dxa"/>
                  <w:tcBorders>
                    <w:tl2br w:val="nil"/>
                    <w:tr2bl w:val="nil"/>
                  </w:tcBorders>
                  <w:vAlign w:val="center"/>
                </w:tcPr>
                <w:p w14:paraId="0EADA1C7">
                  <w:pPr>
                    <w:jc w:val="center"/>
                    <w:rPr>
                      <w:rFonts w:hint="eastAsia"/>
                      <w:sz w:val="21"/>
                      <w:szCs w:val="21"/>
                      <w:lang w:val="en-US" w:eastAsia="zh-CN"/>
                    </w:rPr>
                  </w:pPr>
                  <w:r>
                    <w:rPr>
                      <w:rFonts w:hint="eastAsia"/>
                      <w:sz w:val="21"/>
                      <w:szCs w:val="21"/>
                      <w:lang w:val="en-US" w:eastAsia="zh-CN"/>
                    </w:rPr>
                    <w:t>/</w:t>
                  </w:r>
                </w:p>
              </w:tc>
            </w:tr>
            <w:tr w14:paraId="6A1C8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tcBorders>
                    <w:tl2br w:val="nil"/>
                    <w:tr2bl w:val="nil"/>
                  </w:tcBorders>
                  <w:vAlign w:val="center"/>
                </w:tcPr>
                <w:p w14:paraId="2A7E1F7E">
                  <w:pPr>
                    <w:jc w:val="center"/>
                    <w:rPr>
                      <w:rFonts w:hint="default"/>
                      <w:sz w:val="21"/>
                      <w:szCs w:val="21"/>
                      <w:lang w:val="en-US" w:eastAsia="zh-CN"/>
                    </w:rPr>
                  </w:pPr>
                  <w:r>
                    <w:rPr>
                      <w:rFonts w:hint="eastAsia"/>
                      <w:sz w:val="21"/>
                      <w:szCs w:val="21"/>
                      <w:lang w:val="en-US" w:eastAsia="zh-CN"/>
                    </w:rPr>
                    <w:t>3</w:t>
                  </w:r>
                </w:p>
              </w:tc>
              <w:tc>
                <w:tcPr>
                  <w:tcW w:w="1420" w:type="dxa"/>
                  <w:tcBorders>
                    <w:tl2br w:val="nil"/>
                    <w:tr2bl w:val="nil"/>
                  </w:tcBorders>
                  <w:vAlign w:val="center"/>
                </w:tcPr>
                <w:p w14:paraId="709950CF">
                  <w:pPr>
                    <w:jc w:val="center"/>
                    <w:rPr>
                      <w:rFonts w:hint="eastAsia"/>
                      <w:sz w:val="21"/>
                      <w:szCs w:val="21"/>
                      <w:lang w:eastAsia="zh-CN"/>
                    </w:rPr>
                  </w:pPr>
                  <w:r>
                    <w:rPr>
                      <w:rFonts w:hint="eastAsia"/>
                      <w:sz w:val="21"/>
                      <w:szCs w:val="21"/>
                      <w:lang w:eastAsia="zh-CN"/>
                    </w:rPr>
                    <w:t>水泥</w:t>
                  </w:r>
                </w:p>
              </w:tc>
              <w:tc>
                <w:tcPr>
                  <w:tcW w:w="1982" w:type="dxa"/>
                  <w:tcBorders>
                    <w:tl2br w:val="nil"/>
                    <w:tr2bl w:val="nil"/>
                  </w:tcBorders>
                  <w:vAlign w:val="center"/>
                </w:tcPr>
                <w:p w14:paraId="73D33F56">
                  <w:pPr>
                    <w:jc w:val="center"/>
                    <w:rPr>
                      <w:rFonts w:hint="eastAsia"/>
                      <w:sz w:val="21"/>
                      <w:szCs w:val="21"/>
                      <w:lang w:eastAsia="zh-CN"/>
                    </w:rPr>
                  </w:pPr>
                  <w:r>
                    <w:rPr>
                      <w:rFonts w:hint="eastAsia"/>
                      <w:sz w:val="21"/>
                      <w:szCs w:val="21"/>
                      <w:lang w:eastAsia="zh-CN"/>
                    </w:rPr>
                    <w:t>外购水泥</w:t>
                  </w:r>
                </w:p>
              </w:tc>
              <w:tc>
                <w:tcPr>
                  <w:tcW w:w="1436" w:type="dxa"/>
                  <w:tcBorders>
                    <w:tl2br w:val="nil"/>
                    <w:tr2bl w:val="nil"/>
                  </w:tcBorders>
                  <w:vAlign w:val="center"/>
                </w:tcPr>
                <w:p w14:paraId="1F6C129C">
                  <w:pPr>
                    <w:jc w:val="center"/>
                    <w:rPr>
                      <w:rFonts w:hint="default"/>
                      <w:sz w:val="21"/>
                      <w:szCs w:val="21"/>
                      <w:lang w:val="en-US" w:eastAsia="zh-CN"/>
                    </w:rPr>
                  </w:pPr>
                  <w:r>
                    <w:rPr>
                      <w:rFonts w:hint="eastAsia"/>
                      <w:sz w:val="21"/>
                      <w:szCs w:val="21"/>
                      <w:lang w:val="en-US" w:eastAsia="zh-CN"/>
                    </w:rPr>
                    <w:t>2.4446万t</w:t>
                  </w:r>
                </w:p>
              </w:tc>
              <w:tc>
                <w:tcPr>
                  <w:tcW w:w="1160" w:type="dxa"/>
                  <w:tcBorders>
                    <w:tl2br w:val="nil"/>
                    <w:tr2bl w:val="nil"/>
                  </w:tcBorders>
                  <w:vAlign w:val="center"/>
                </w:tcPr>
                <w:p w14:paraId="0CA17E5C">
                  <w:pPr>
                    <w:jc w:val="center"/>
                    <w:rPr>
                      <w:rFonts w:hint="default"/>
                      <w:sz w:val="21"/>
                      <w:szCs w:val="21"/>
                      <w:lang w:val="en-US" w:eastAsia="zh-CN"/>
                    </w:rPr>
                  </w:pPr>
                  <w:r>
                    <w:rPr>
                      <w:rFonts w:hint="eastAsia"/>
                      <w:sz w:val="21"/>
                      <w:szCs w:val="21"/>
                      <w:lang w:val="en-US" w:eastAsia="zh-CN"/>
                    </w:rPr>
                    <w:t>81.49t</w:t>
                  </w:r>
                </w:p>
              </w:tc>
              <w:tc>
                <w:tcPr>
                  <w:tcW w:w="1054" w:type="dxa"/>
                  <w:tcBorders>
                    <w:tl2br w:val="nil"/>
                    <w:tr2bl w:val="nil"/>
                  </w:tcBorders>
                  <w:vAlign w:val="center"/>
                </w:tcPr>
                <w:p w14:paraId="6310FC93">
                  <w:pPr>
                    <w:jc w:val="center"/>
                    <w:rPr>
                      <w:rFonts w:hint="eastAsia"/>
                      <w:sz w:val="21"/>
                      <w:szCs w:val="21"/>
                      <w:lang w:val="en-US" w:eastAsia="zh-CN"/>
                    </w:rPr>
                  </w:pPr>
                  <w:r>
                    <w:rPr>
                      <w:rFonts w:hint="eastAsia"/>
                      <w:sz w:val="21"/>
                      <w:szCs w:val="21"/>
                      <w:lang w:val="en-US" w:eastAsia="zh-CN"/>
                    </w:rPr>
                    <w:t>/</w:t>
                  </w:r>
                </w:p>
              </w:tc>
            </w:tr>
            <w:tr w14:paraId="7BE4A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tcBorders>
                    <w:tl2br w:val="nil"/>
                    <w:tr2bl w:val="nil"/>
                  </w:tcBorders>
                  <w:vAlign w:val="center"/>
                </w:tcPr>
                <w:p w14:paraId="67309D99">
                  <w:pPr>
                    <w:jc w:val="center"/>
                    <w:rPr>
                      <w:rFonts w:hint="default"/>
                      <w:sz w:val="21"/>
                      <w:szCs w:val="21"/>
                      <w:lang w:val="en-US" w:eastAsia="zh-CN"/>
                    </w:rPr>
                  </w:pPr>
                  <w:r>
                    <w:rPr>
                      <w:rFonts w:hint="eastAsia"/>
                      <w:sz w:val="21"/>
                      <w:szCs w:val="21"/>
                      <w:lang w:val="en-US" w:eastAsia="zh-CN"/>
                    </w:rPr>
                    <w:t>4</w:t>
                  </w:r>
                </w:p>
              </w:tc>
              <w:tc>
                <w:tcPr>
                  <w:tcW w:w="1420" w:type="dxa"/>
                  <w:tcBorders>
                    <w:tl2br w:val="nil"/>
                    <w:tr2bl w:val="nil"/>
                  </w:tcBorders>
                  <w:vAlign w:val="center"/>
                </w:tcPr>
                <w:p w14:paraId="4A8B3CAF">
                  <w:pPr>
                    <w:jc w:val="center"/>
                    <w:rPr>
                      <w:rFonts w:hint="eastAsia"/>
                      <w:sz w:val="21"/>
                      <w:szCs w:val="21"/>
                      <w:lang w:eastAsia="zh-CN"/>
                    </w:rPr>
                  </w:pPr>
                  <w:r>
                    <w:rPr>
                      <w:rFonts w:hint="eastAsia"/>
                      <w:sz w:val="21"/>
                      <w:szCs w:val="21"/>
                      <w:lang w:eastAsia="zh-CN"/>
                    </w:rPr>
                    <w:t>调浓水</w:t>
                  </w:r>
                </w:p>
              </w:tc>
              <w:tc>
                <w:tcPr>
                  <w:tcW w:w="1982" w:type="dxa"/>
                  <w:tcBorders>
                    <w:tl2br w:val="nil"/>
                    <w:tr2bl w:val="nil"/>
                  </w:tcBorders>
                  <w:vAlign w:val="center"/>
                </w:tcPr>
                <w:p w14:paraId="2A9EA9C3">
                  <w:pPr>
                    <w:jc w:val="center"/>
                    <w:rPr>
                      <w:rFonts w:hint="eastAsia"/>
                      <w:sz w:val="21"/>
                      <w:szCs w:val="21"/>
                      <w:lang w:eastAsia="zh-CN"/>
                    </w:rPr>
                  </w:pPr>
                  <w:r>
                    <w:rPr>
                      <w:rFonts w:hint="eastAsia"/>
                      <w:sz w:val="21"/>
                      <w:szCs w:val="21"/>
                      <w:lang w:eastAsia="zh-CN"/>
                    </w:rPr>
                    <w:t>浓密机溢流水</w:t>
                  </w:r>
                </w:p>
              </w:tc>
              <w:tc>
                <w:tcPr>
                  <w:tcW w:w="1436" w:type="dxa"/>
                  <w:tcBorders>
                    <w:tl2br w:val="nil"/>
                    <w:tr2bl w:val="nil"/>
                  </w:tcBorders>
                  <w:vAlign w:val="center"/>
                </w:tcPr>
                <w:p w14:paraId="7E901BAB">
                  <w:pPr>
                    <w:jc w:val="center"/>
                    <w:rPr>
                      <w:rFonts w:hint="default"/>
                      <w:sz w:val="21"/>
                      <w:szCs w:val="21"/>
                      <w:lang w:val="en-US" w:eastAsia="zh-CN"/>
                    </w:rPr>
                  </w:pPr>
                  <w:r>
                    <w:rPr>
                      <w:rFonts w:hint="eastAsia"/>
                      <w:sz w:val="21"/>
                      <w:szCs w:val="21"/>
                      <w:lang w:val="en-US" w:eastAsia="zh-CN"/>
                    </w:rPr>
                    <w:t>0.94万t</w:t>
                  </w:r>
                </w:p>
              </w:tc>
              <w:tc>
                <w:tcPr>
                  <w:tcW w:w="1160" w:type="dxa"/>
                  <w:tcBorders>
                    <w:tl2br w:val="nil"/>
                    <w:tr2bl w:val="nil"/>
                  </w:tcBorders>
                  <w:vAlign w:val="center"/>
                </w:tcPr>
                <w:p w14:paraId="2884B8D5">
                  <w:pPr>
                    <w:jc w:val="center"/>
                    <w:rPr>
                      <w:rFonts w:hint="default"/>
                      <w:sz w:val="21"/>
                      <w:szCs w:val="21"/>
                      <w:lang w:val="en-US" w:eastAsia="zh-CN"/>
                    </w:rPr>
                  </w:pPr>
                  <w:r>
                    <w:rPr>
                      <w:rFonts w:hint="eastAsia"/>
                      <w:sz w:val="21"/>
                      <w:szCs w:val="21"/>
                      <w:lang w:val="en-US" w:eastAsia="zh-CN"/>
                    </w:rPr>
                    <w:t>31.41t</w:t>
                  </w:r>
                </w:p>
              </w:tc>
              <w:tc>
                <w:tcPr>
                  <w:tcW w:w="1054" w:type="dxa"/>
                  <w:tcBorders>
                    <w:tl2br w:val="nil"/>
                    <w:tr2bl w:val="nil"/>
                  </w:tcBorders>
                  <w:vAlign w:val="center"/>
                </w:tcPr>
                <w:p w14:paraId="4BA0C424">
                  <w:pPr>
                    <w:jc w:val="center"/>
                    <w:rPr>
                      <w:rFonts w:hint="eastAsia"/>
                      <w:sz w:val="21"/>
                      <w:szCs w:val="21"/>
                      <w:lang w:val="en-US" w:eastAsia="zh-CN"/>
                    </w:rPr>
                  </w:pPr>
                  <w:r>
                    <w:rPr>
                      <w:rFonts w:hint="eastAsia"/>
                      <w:sz w:val="21"/>
                      <w:szCs w:val="21"/>
                      <w:lang w:val="en-US" w:eastAsia="zh-CN"/>
                    </w:rPr>
                    <w:t>/</w:t>
                  </w:r>
                </w:p>
              </w:tc>
            </w:tr>
          </w:tbl>
          <w:p w14:paraId="44EFACA1">
            <w:pPr>
              <w:spacing w:before="120" w:beforeLines="50" w:line="360" w:lineRule="auto"/>
              <w:contextualSpacing/>
              <w:rPr>
                <w:b/>
                <w:sz w:val="24"/>
              </w:rPr>
            </w:pPr>
            <w:r>
              <w:rPr>
                <w:rFonts w:hint="eastAsia"/>
                <w:b/>
                <w:sz w:val="24"/>
                <w:lang w:val="en-US" w:eastAsia="zh-CN"/>
              </w:rPr>
              <w:t>2</w:t>
            </w:r>
            <w:r>
              <w:rPr>
                <w:b/>
                <w:sz w:val="24"/>
              </w:rPr>
              <w:t>.</w:t>
            </w:r>
            <w:r>
              <w:rPr>
                <w:rFonts w:hint="eastAsia"/>
                <w:b/>
                <w:sz w:val="24"/>
                <w:lang w:val="en-US" w:eastAsia="zh-CN"/>
              </w:rPr>
              <w:t>4</w:t>
            </w:r>
            <w:r>
              <w:rPr>
                <w:b/>
                <w:sz w:val="24"/>
              </w:rPr>
              <w:t xml:space="preserve"> </w:t>
            </w:r>
            <w:r>
              <w:rPr>
                <w:rFonts w:hint="eastAsia"/>
                <w:b/>
                <w:sz w:val="24"/>
                <w:lang w:val="en-US" w:eastAsia="zh-CN"/>
              </w:rPr>
              <w:t>主要</w:t>
            </w:r>
            <w:r>
              <w:rPr>
                <w:b/>
                <w:sz w:val="24"/>
              </w:rPr>
              <w:t>原辅材料</w:t>
            </w:r>
            <w:r>
              <w:rPr>
                <w:rFonts w:hint="eastAsia"/>
                <w:b/>
                <w:sz w:val="24"/>
                <w:lang w:eastAsia="zh-CN"/>
              </w:rPr>
              <w:t>、</w:t>
            </w:r>
            <w:r>
              <w:rPr>
                <w:b/>
                <w:sz w:val="24"/>
              </w:rPr>
              <w:t>能源</w:t>
            </w:r>
          </w:p>
          <w:p w14:paraId="69B4A0F3">
            <w:pPr>
              <w:spacing w:line="360" w:lineRule="auto"/>
              <w:ind w:firstLine="480" w:firstLineChars="200"/>
              <w:contextualSpacing/>
              <w:rPr>
                <w:rFonts w:hint="eastAsia"/>
                <w:sz w:val="24"/>
                <w:lang w:val="en-US" w:eastAsia="zh-CN"/>
              </w:rPr>
            </w:pPr>
            <w:r>
              <w:rPr>
                <w:rFonts w:hint="eastAsia"/>
                <w:sz w:val="24"/>
              </w:rPr>
              <w:t>本项目</w:t>
            </w:r>
            <w:r>
              <w:rPr>
                <w:rFonts w:hint="eastAsia"/>
                <w:sz w:val="24"/>
                <w:lang w:val="en-US" w:eastAsia="zh-CN"/>
              </w:rPr>
              <w:t>填充材料主要由填充骨料（尾矿砂）、胶结剂、水等三部分组成。</w:t>
            </w:r>
          </w:p>
          <w:p w14:paraId="53C4F538">
            <w:pPr>
              <w:spacing w:line="360" w:lineRule="auto"/>
              <w:contextualSpacing/>
              <w:rPr>
                <w:sz w:val="24"/>
              </w:rPr>
            </w:pPr>
            <w:r>
              <w:rPr>
                <w:rFonts w:hint="eastAsia"/>
                <w:sz w:val="24"/>
              </w:rPr>
              <w:t>主要</w:t>
            </w:r>
            <w:r>
              <w:rPr>
                <w:sz w:val="24"/>
              </w:rPr>
              <w:t>原辅材料及能源消耗情况见下表。</w:t>
            </w:r>
          </w:p>
          <w:p w14:paraId="35AF1F09">
            <w:pPr>
              <w:pStyle w:val="119"/>
              <w:numPr>
                <w:ilvl w:val="0"/>
                <w:numId w:val="0"/>
              </w:numPr>
              <w:ind w:leftChars="0"/>
              <w:jc w:val="center"/>
              <w:rPr>
                <w:kern w:val="0"/>
              </w:rPr>
            </w:pPr>
            <w:r>
              <w:rPr>
                <w:rFonts w:hint="eastAsia"/>
                <w:kern w:val="0"/>
                <w:lang w:eastAsia="zh-CN"/>
              </w:rPr>
              <w:t>表</w:t>
            </w:r>
            <w:r>
              <w:rPr>
                <w:rFonts w:hint="eastAsia"/>
                <w:kern w:val="0"/>
                <w:lang w:val="en-US" w:eastAsia="zh-CN"/>
              </w:rPr>
              <w:t>2-7</w:t>
            </w:r>
            <w:r>
              <w:rPr>
                <w:kern w:val="0"/>
              </w:rPr>
              <w:t xml:space="preserve">  项目原辅材料消耗一览表</w:t>
            </w:r>
          </w:p>
          <w:tbl>
            <w:tblPr>
              <w:tblStyle w:val="31"/>
              <w:tblW w:w="83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992"/>
              <w:gridCol w:w="1560"/>
              <w:gridCol w:w="1452"/>
              <w:gridCol w:w="2618"/>
            </w:tblGrid>
            <w:tr w14:paraId="69F5D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14:paraId="793B9DB0">
                  <w:pPr>
                    <w:jc w:val="center"/>
                    <w:rPr>
                      <w:rFonts w:hint="eastAsia" w:eastAsia="宋体"/>
                      <w:sz w:val="21"/>
                      <w:szCs w:val="21"/>
                      <w:lang w:eastAsia="zh-CN"/>
                    </w:rPr>
                  </w:pPr>
                  <w:r>
                    <w:rPr>
                      <w:rFonts w:hint="eastAsia"/>
                      <w:sz w:val="21"/>
                      <w:szCs w:val="21"/>
                      <w:lang w:val="en-US" w:eastAsia="zh-CN"/>
                    </w:rPr>
                    <w:t>序号</w:t>
                  </w:r>
                </w:p>
              </w:tc>
              <w:tc>
                <w:tcPr>
                  <w:tcW w:w="1992" w:type="dxa"/>
                  <w:tcBorders>
                    <w:tl2br w:val="nil"/>
                    <w:tr2bl w:val="nil"/>
                  </w:tcBorders>
                  <w:noWrap w:val="0"/>
                  <w:vAlign w:val="center"/>
                </w:tcPr>
                <w:p w14:paraId="7306497F">
                  <w:pPr>
                    <w:jc w:val="center"/>
                    <w:rPr>
                      <w:sz w:val="21"/>
                      <w:szCs w:val="21"/>
                    </w:rPr>
                  </w:pPr>
                  <w:r>
                    <w:rPr>
                      <w:sz w:val="21"/>
                      <w:szCs w:val="21"/>
                    </w:rPr>
                    <w:t>名称</w:t>
                  </w:r>
                </w:p>
              </w:tc>
              <w:tc>
                <w:tcPr>
                  <w:tcW w:w="1560" w:type="dxa"/>
                  <w:tcBorders>
                    <w:tl2br w:val="nil"/>
                    <w:tr2bl w:val="nil"/>
                  </w:tcBorders>
                  <w:noWrap w:val="0"/>
                  <w:vAlign w:val="center"/>
                </w:tcPr>
                <w:p w14:paraId="551CEFAC">
                  <w:pPr>
                    <w:jc w:val="center"/>
                    <w:rPr>
                      <w:rFonts w:hint="eastAsia" w:eastAsia="宋体"/>
                      <w:sz w:val="21"/>
                      <w:szCs w:val="21"/>
                      <w:lang w:eastAsia="zh-CN"/>
                    </w:rPr>
                  </w:pPr>
                  <w:r>
                    <w:rPr>
                      <w:rFonts w:hint="eastAsia"/>
                      <w:sz w:val="21"/>
                      <w:szCs w:val="21"/>
                      <w:lang w:val="en-US" w:eastAsia="zh-CN"/>
                    </w:rPr>
                    <w:t>来源</w:t>
                  </w:r>
                </w:p>
              </w:tc>
              <w:tc>
                <w:tcPr>
                  <w:tcW w:w="1452" w:type="dxa"/>
                  <w:tcBorders>
                    <w:tl2br w:val="nil"/>
                    <w:tr2bl w:val="nil"/>
                  </w:tcBorders>
                  <w:noWrap w:val="0"/>
                  <w:vAlign w:val="center"/>
                </w:tcPr>
                <w:p w14:paraId="65293BA0">
                  <w:pPr>
                    <w:jc w:val="center"/>
                    <w:rPr>
                      <w:rFonts w:hint="default" w:eastAsia="宋体"/>
                      <w:sz w:val="21"/>
                      <w:szCs w:val="21"/>
                      <w:lang w:val="en-US" w:eastAsia="zh-CN"/>
                    </w:rPr>
                  </w:pPr>
                  <w:r>
                    <w:rPr>
                      <w:rFonts w:hint="eastAsia"/>
                      <w:sz w:val="21"/>
                      <w:szCs w:val="21"/>
                      <w:lang w:val="en-US" w:eastAsia="zh-CN"/>
                    </w:rPr>
                    <w:t>年用量（</w:t>
                  </w:r>
                  <w:r>
                    <w:rPr>
                      <w:rFonts w:hint="eastAsia" w:ascii="Times New Roman" w:hAnsi="Times New Roman" w:eastAsia="宋体" w:cs="黑体"/>
                      <w:sz w:val="24"/>
                      <w:lang w:val="en-US" w:eastAsia="zh-CN"/>
                    </w:rPr>
                    <w:t>t/a</w:t>
                  </w:r>
                  <w:r>
                    <w:rPr>
                      <w:rFonts w:hint="eastAsia"/>
                      <w:sz w:val="21"/>
                      <w:szCs w:val="21"/>
                      <w:lang w:val="en-US" w:eastAsia="zh-CN"/>
                    </w:rPr>
                    <w:t>）</w:t>
                  </w:r>
                </w:p>
              </w:tc>
              <w:tc>
                <w:tcPr>
                  <w:tcW w:w="2618" w:type="dxa"/>
                  <w:tcBorders>
                    <w:tl2br w:val="nil"/>
                    <w:tr2bl w:val="nil"/>
                  </w:tcBorders>
                  <w:noWrap w:val="0"/>
                  <w:vAlign w:val="center"/>
                </w:tcPr>
                <w:p w14:paraId="0621D832">
                  <w:pPr>
                    <w:jc w:val="center"/>
                    <w:rPr>
                      <w:sz w:val="21"/>
                      <w:szCs w:val="21"/>
                    </w:rPr>
                  </w:pPr>
                  <w:r>
                    <w:rPr>
                      <w:sz w:val="21"/>
                      <w:szCs w:val="21"/>
                    </w:rPr>
                    <w:t>备注</w:t>
                  </w:r>
                </w:p>
              </w:tc>
            </w:tr>
            <w:tr w14:paraId="6AE5D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14:paraId="409EAFBB">
                  <w:pPr>
                    <w:snapToGrid w:val="0"/>
                    <w:jc w:val="center"/>
                    <w:rPr>
                      <w:rFonts w:hint="eastAsia" w:eastAsia="宋体"/>
                      <w:sz w:val="21"/>
                      <w:szCs w:val="21"/>
                      <w:lang w:eastAsia="zh-CN"/>
                    </w:rPr>
                  </w:pPr>
                  <w:r>
                    <w:rPr>
                      <w:rFonts w:hint="eastAsia"/>
                      <w:sz w:val="21"/>
                      <w:szCs w:val="21"/>
                      <w:lang w:val="en-US" w:eastAsia="zh-CN"/>
                    </w:rPr>
                    <w:t>1</w:t>
                  </w:r>
                </w:p>
              </w:tc>
              <w:tc>
                <w:tcPr>
                  <w:tcW w:w="1992" w:type="dxa"/>
                  <w:tcBorders>
                    <w:tl2br w:val="nil"/>
                    <w:tr2bl w:val="nil"/>
                  </w:tcBorders>
                  <w:noWrap w:val="0"/>
                  <w:vAlign w:val="center"/>
                </w:tcPr>
                <w:p w14:paraId="4E302D86">
                  <w:pPr>
                    <w:jc w:val="center"/>
                    <w:rPr>
                      <w:rFonts w:hint="eastAsia"/>
                      <w:sz w:val="21"/>
                      <w:szCs w:val="21"/>
                      <w:lang w:val="en-US" w:eastAsia="zh-CN"/>
                    </w:rPr>
                  </w:pPr>
                  <w:r>
                    <w:rPr>
                      <w:rFonts w:hint="eastAsia"/>
                      <w:sz w:val="21"/>
                      <w:szCs w:val="21"/>
                      <w:lang w:val="en-US" w:eastAsia="zh-CN"/>
                    </w:rPr>
                    <w:t>选厂尾矿砂</w:t>
                  </w:r>
                </w:p>
                <w:p w14:paraId="64EC2054">
                  <w:pPr>
                    <w:jc w:val="center"/>
                    <w:rPr>
                      <w:rFonts w:hint="default" w:eastAsia="宋体"/>
                      <w:sz w:val="21"/>
                      <w:szCs w:val="21"/>
                      <w:lang w:val="en-US" w:eastAsia="zh-CN"/>
                    </w:rPr>
                  </w:pPr>
                  <w:r>
                    <w:rPr>
                      <w:rFonts w:hint="eastAsia"/>
                      <w:sz w:val="21"/>
                      <w:szCs w:val="21"/>
                      <w:lang w:val="en-US" w:eastAsia="zh-CN"/>
                    </w:rPr>
                    <w:t>（质量浓度28%）</w:t>
                  </w:r>
                </w:p>
              </w:tc>
              <w:tc>
                <w:tcPr>
                  <w:tcW w:w="1560" w:type="dxa"/>
                  <w:tcBorders>
                    <w:tl2br w:val="nil"/>
                    <w:tr2bl w:val="nil"/>
                  </w:tcBorders>
                  <w:noWrap w:val="0"/>
                  <w:vAlign w:val="center"/>
                </w:tcPr>
                <w:p w14:paraId="5807E556">
                  <w:pPr>
                    <w:jc w:val="both"/>
                    <w:rPr>
                      <w:rFonts w:hint="default" w:eastAsia="宋体"/>
                      <w:sz w:val="21"/>
                      <w:szCs w:val="21"/>
                      <w:lang w:val="en-US" w:eastAsia="zh-CN"/>
                    </w:rPr>
                  </w:pPr>
                  <w:r>
                    <w:rPr>
                      <w:rFonts w:hint="eastAsia"/>
                      <w:sz w:val="21"/>
                      <w:szCs w:val="21"/>
                      <w:lang w:val="en-US" w:eastAsia="zh-CN"/>
                    </w:rPr>
                    <w:t>栾川县惠顿公司选矿厂</w:t>
                  </w:r>
                </w:p>
              </w:tc>
              <w:tc>
                <w:tcPr>
                  <w:tcW w:w="1452" w:type="dxa"/>
                  <w:tcBorders>
                    <w:tl2br w:val="nil"/>
                    <w:tr2bl w:val="nil"/>
                  </w:tcBorders>
                  <w:noWrap w:val="0"/>
                  <w:vAlign w:val="center"/>
                </w:tcPr>
                <w:p w14:paraId="72306485">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104.7693万</w:t>
                  </w:r>
                </w:p>
              </w:tc>
              <w:tc>
                <w:tcPr>
                  <w:tcW w:w="2618" w:type="dxa"/>
                  <w:tcBorders>
                    <w:tl2br w:val="nil"/>
                    <w:tr2bl w:val="nil"/>
                  </w:tcBorders>
                  <w:noWrap w:val="0"/>
                  <w:vAlign w:val="center"/>
                </w:tcPr>
                <w:p w14:paraId="3ACE389A">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管道运输</w:t>
                  </w:r>
                </w:p>
              </w:tc>
            </w:tr>
            <w:tr w14:paraId="1CF9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14:paraId="6E8DA205">
                  <w:pPr>
                    <w:snapToGrid w:val="0"/>
                    <w:jc w:val="center"/>
                    <w:rPr>
                      <w:rFonts w:hint="default" w:eastAsia="宋体"/>
                      <w:sz w:val="21"/>
                      <w:szCs w:val="21"/>
                      <w:lang w:val="en-US" w:eastAsia="zh-CN"/>
                    </w:rPr>
                  </w:pPr>
                  <w:r>
                    <w:rPr>
                      <w:rFonts w:hint="eastAsia"/>
                      <w:sz w:val="21"/>
                      <w:szCs w:val="21"/>
                      <w:lang w:val="en-US" w:eastAsia="zh-CN"/>
                    </w:rPr>
                    <w:t>2</w:t>
                  </w:r>
                </w:p>
              </w:tc>
              <w:tc>
                <w:tcPr>
                  <w:tcW w:w="1992" w:type="dxa"/>
                  <w:tcBorders>
                    <w:tl2br w:val="nil"/>
                    <w:tr2bl w:val="nil"/>
                  </w:tcBorders>
                  <w:noWrap w:val="0"/>
                  <w:vAlign w:val="center"/>
                </w:tcPr>
                <w:p w14:paraId="0AD31C54">
                  <w:pPr>
                    <w:jc w:val="center"/>
                    <w:rPr>
                      <w:rFonts w:hint="default" w:eastAsia="宋体"/>
                      <w:sz w:val="21"/>
                      <w:szCs w:val="21"/>
                      <w:lang w:val="en-US" w:eastAsia="zh-CN"/>
                    </w:rPr>
                  </w:pPr>
                  <w:r>
                    <w:rPr>
                      <w:rFonts w:hint="eastAsia"/>
                      <w:sz w:val="21"/>
                      <w:szCs w:val="21"/>
                      <w:lang w:val="en-US" w:eastAsia="zh-CN"/>
                    </w:rPr>
                    <w:t>水泥</w:t>
                  </w:r>
                </w:p>
              </w:tc>
              <w:tc>
                <w:tcPr>
                  <w:tcW w:w="1560" w:type="dxa"/>
                  <w:tcBorders>
                    <w:tl2br w:val="nil"/>
                    <w:tr2bl w:val="nil"/>
                  </w:tcBorders>
                  <w:noWrap w:val="0"/>
                  <w:vAlign w:val="center"/>
                </w:tcPr>
                <w:p w14:paraId="513229EB">
                  <w:pPr>
                    <w:jc w:val="both"/>
                    <w:rPr>
                      <w:rFonts w:hint="default" w:eastAsia="宋体"/>
                      <w:kern w:val="0"/>
                      <w:sz w:val="21"/>
                      <w:szCs w:val="21"/>
                      <w:lang w:val="en-US" w:eastAsia="zh-CN"/>
                    </w:rPr>
                  </w:pPr>
                  <w:r>
                    <w:rPr>
                      <w:rFonts w:hint="eastAsia"/>
                      <w:kern w:val="0"/>
                      <w:sz w:val="21"/>
                      <w:szCs w:val="21"/>
                      <w:lang w:val="en-US" w:eastAsia="zh-CN"/>
                    </w:rPr>
                    <w:t xml:space="preserve">    外购</w:t>
                  </w:r>
                </w:p>
              </w:tc>
              <w:tc>
                <w:tcPr>
                  <w:tcW w:w="1452" w:type="dxa"/>
                  <w:tcBorders>
                    <w:tl2br w:val="nil"/>
                    <w:tr2bl w:val="nil"/>
                  </w:tcBorders>
                  <w:noWrap w:val="0"/>
                  <w:vAlign w:val="center"/>
                </w:tcPr>
                <w:p w14:paraId="31DE0B77">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2.4446万</w:t>
                  </w:r>
                </w:p>
              </w:tc>
              <w:tc>
                <w:tcPr>
                  <w:tcW w:w="2618" w:type="dxa"/>
                  <w:tcBorders>
                    <w:tl2br w:val="nil"/>
                    <w:tr2bl w:val="nil"/>
                  </w:tcBorders>
                  <w:noWrap w:val="0"/>
                  <w:vAlign w:val="center"/>
                </w:tcPr>
                <w:p w14:paraId="09CC4222">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车辆运输</w:t>
                  </w:r>
                </w:p>
              </w:tc>
            </w:tr>
            <w:tr w14:paraId="21B33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14:paraId="31641533">
                  <w:pPr>
                    <w:snapToGrid w:val="0"/>
                    <w:jc w:val="center"/>
                    <w:rPr>
                      <w:rFonts w:hint="default" w:eastAsia="宋体"/>
                      <w:sz w:val="21"/>
                      <w:szCs w:val="21"/>
                      <w:lang w:val="en-US" w:eastAsia="zh-CN"/>
                    </w:rPr>
                  </w:pPr>
                  <w:r>
                    <w:rPr>
                      <w:rFonts w:hint="eastAsia"/>
                      <w:sz w:val="21"/>
                      <w:szCs w:val="21"/>
                      <w:lang w:val="en-US" w:eastAsia="zh-CN"/>
                    </w:rPr>
                    <w:t>3</w:t>
                  </w:r>
                </w:p>
              </w:tc>
              <w:tc>
                <w:tcPr>
                  <w:tcW w:w="1992" w:type="dxa"/>
                  <w:tcBorders>
                    <w:tl2br w:val="nil"/>
                    <w:tr2bl w:val="nil"/>
                  </w:tcBorders>
                  <w:noWrap w:val="0"/>
                  <w:vAlign w:val="center"/>
                </w:tcPr>
                <w:p w14:paraId="318092ED">
                  <w:pPr>
                    <w:keepNext w:val="0"/>
                    <w:keepLines w:val="0"/>
                    <w:widowControl/>
                    <w:suppressLineNumbers w:val="0"/>
                    <w:jc w:val="center"/>
                    <w:rPr>
                      <w:rFonts w:hint="eastAsia"/>
                      <w:sz w:val="21"/>
                      <w:szCs w:val="21"/>
                      <w:lang w:val="en-US" w:eastAsia="zh-CN"/>
                    </w:rPr>
                  </w:pPr>
                  <w:r>
                    <w:rPr>
                      <w:rFonts w:hint="eastAsia" w:ascii="宋体" w:hAnsi="宋体" w:cs="宋体"/>
                      <w:color w:val="000000"/>
                      <w:kern w:val="0"/>
                      <w:sz w:val="21"/>
                      <w:szCs w:val="21"/>
                      <w:lang w:val="en-US" w:eastAsia="zh-CN" w:bidi="ar"/>
                    </w:rPr>
                    <w:t>聚丙烯酰胺</w:t>
                  </w:r>
                </w:p>
              </w:tc>
              <w:tc>
                <w:tcPr>
                  <w:tcW w:w="1560" w:type="dxa"/>
                  <w:tcBorders>
                    <w:tl2br w:val="nil"/>
                    <w:tr2bl w:val="nil"/>
                  </w:tcBorders>
                  <w:noWrap w:val="0"/>
                  <w:vAlign w:val="center"/>
                </w:tcPr>
                <w:p w14:paraId="5C2FDDD4">
                  <w:pPr>
                    <w:jc w:val="center"/>
                    <w:rPr>
                      <w:rFonts w:hint="default"/>
                      <w:kern w:val="0"/>
                      <w:sz w:val="21"/>
                      <w:szCs w:val="21"/>
                      <w:lang w:val="en-US" w:eastAsia="zh-CN"/>
                    </w:rPr>
                  </w:pPr>
                  <w:r>
                    <w:rPr>
                      <w:rFonts w:hint="eastAsia"/>
                      <w:kern w:val="0"/>
                      <w:sz w:val="21"/>
                      <w:szCs w:val="21"/>
                      <w:lang w:val="en-US" w:eastAsia="zh-CN"/>
                    </w:rPr>
                    <w:t>外购</w:t>
                  </w:r>
                </w:p>
              </w:tc>
              <w:tc>
                <w:tcPr>
                  <w:tcW w:w="1452" w:type="dxa"/>
                  <w:tcBorders>
                    <w:tl2br w:val="nil"/>
                    <w:tr2bl w:val="nil"/>
                  </w:tcBorders>
                  <w:noWrap w:val="0"/>
                  <w:vAlign w:val="center"/>
                </w:tcPr>
                <w:p w14:paraId="130BF506">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8.802</w:t>
                  </w:r>
                </w:p>
              </w:tc>
              <w:tc>
                <w:tcPr>
                  <w:tcW w:w="2618" w:type="dxa"/>
                  <w:tcBorders>
                    <w:tl2br w:val="nil"/>
                    <w:tr2bl w:val="nil"/>
                  </w:tcBorders>
                  <w:noWrap w:val="0"/>
                  <w:vAlign w:val="center"/>
                </w:tcPr>
                <w:p w14:paraId="73187B14">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絮凝剂，添加量30g/t尾砂，加入浓密机内</w:t>
                  </w:r>
                </w:p>
              </w:tc>
            </w:tr>
            <w:tr w14:paraId="604EC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699" w:type="dxa"/>
                  <w:tcBorders>
                    <w:tl2br w:val="nil"/>
                    <w:tr2bl w:val="nil"/>
                  </w:tcBorders>
                  <w:noWrap w:val="0"/>
                  <w:vAlign w:val="center"/>
                </w:tcPr>
                <w:p w14:paraId="0CE4B325">
                  <w:pPr>
                    <w:snapToGrid w:val="0"/>
                    <w:jc w:val="center"/>
                    <w:rPr>
                      <w:rFonts w:hint="default" w:eastAsia="宋体"/>
                      <w:sz w:val="21"/>
                      <w:szCs w:val="21"/>
                      <w:lang w:val="en-US" w:eastAsia="zh-CN"/>
                    </w:rPr>
                  </w:pPr>
                  <w:r>
                    <w:rPr>
                      <w:rFonts w:hint="eastAsia"/>
                      <w:sz w:val="21"/>
                      <w:szCs w:val="21"/>
                      <w:lang w:val="en-US" w:eastAsia="zh-CN"/>
                    </w:rPr>
                    <w:t>4</w:t>
                  </w:r>
                </w:p>
              </w:tc>
              <w:tc>
                <w:tcPr>
                  <w:tcW w:w="1992" w:type="dxa"/>
                  <w:tcBorders>
                    <w:tl2br w:val="nil"/>
                    <w:tr2bl w:val="nil"/>
                  </w:tcBorders>
                  <w:noWrap w:val="0"/>
                  <w:vAlign w:val="center"/>
                </w:tcPr>
                <w:p w14:paraId="46EFC36A">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新鲜水</w:t>
                  </w:r>
                </w:p>
              </w:tc>
              <w:tc>
                <w:tcPr>
                  <w:tcW w:w="1560" w:type="dxa"/>
                  <w:tcBorders>
                    <w:tl2br w:val="nil"/>
                    <w:tr2bl w:val="nil"/>
                  </w:tcBorders>
                  <w:noWrap w:val="0"/>
                  <w:vAlign w:val="center"/>
                </w:tcPr>
                <w:p w14:paraId="306397DE">
                  <w:pPr>
                    <w:jc w:val="center"/>
                    <w:rPr>
                      <w:rFonts w:hint="eastAsia"/>
                      <w:color w:val="auto"/>
                      <w:kern w:val="0"/>
                      <w:sz w:val="21"/>
                      <w:szCs w:val="21"/>
                      <w:lang w:val="en-US" w:eastAsia="zh-CN"/>
                    </w:rPr>
                  </w:pPr>
                  <w:r>
                    <w:rPr>
                      <w:rFonts w:hint="eastAsia"/>
                      <w:color w:val="auto"/>
                      <w:kern w:val="0"/>
                      <w:sz w:val="21"/>
                      <w:szCs w:val="21"/>
                      <w:lang w:val="en-US" w:eastAsia="zh-CN"/>
                    </w:rPr>
                    <w:t>/</w:t>
                  </w:r>
                </w:p>
              </w:tc>
              <w:tc>
                <w:tcPr>
                  <w:tcW w:w="1452" w:type="dxa"/>
                  <w:tcBorders>
                    <w:tl2br w:val="nil"/>
                    <w:tr2bl w:val="nil"/>
                  </w:tcBorders>
                  <w:noWrap w:val="0"/>
                  <w:vAlign w:val="center"/>
                </w:tcPr>
                <w:p w14:paraId="7B4DAC38">
                  <w:pPr>
                    <w:jc w:val="center"/>
                    <w:rPr>
                      <w:rFonts w:hint="default"/>
                      <w:color w:val="auto"/>
                      <w:sz w:val="21"/>
                      <w:szCs w:val="21"/>
                      <w:lang w:val="en-US" w:eastAsia="zh-CN"/>
                    </w:rPr>
                  </w:pPr>
                  <w:r>
                    <w:rPr>
                      <w:rFonts w:hint="eastAsia"/>
                      <w:color w:val="auto"/>
                      <w:sz w:val="21"/>
                      <w:szCs w:val="21"/>
                      <w:lang w:val="en-US" w:eastAsia="zh-CN"/>
                    </w:rPr>
                    <w:t>1.7775万</w:t>
                  </w:r>
                </w:p>
              </w:tc>
              <w:tc>
                <w:tcPr>
                  <w:tcW w:w="2618" w:type="dxa"/>
                  <w:tcBorders>
                    <w:tl2br w:val="nil"/>
                    <w:tr2bl w:val="nil"/>
                  </w:tcBorders>
                  <w:noWrap w:val="0"/>
                  <w:vAlign w:val="center"/>
                </w:tcPr>
                <w:p w14:paraId="7283A52D">
                  <w:pPr>
                    <w:jc w:val="center"/>
                    <w:rPr>
                      <w:rFonts w:hint="default"/>
                      <w:lang w:val="en-US" w:eastAsia="zh-CN"/>
                    </w:rPr>
                  </w:pPr>
                  <w:r>
                    <w:rPr>
                      <w:rFonts w:hint="default"/>
                      <w:lang w:val="en-US" w:eastAsia="zh-CN"/>
                    </w:rPr>
                    <w:t>水源取自山间裂隙流出的地表径流水，由水管引至生活办公区高位水池</w:t>
                  </w:r>
                </w:p>
              </w:tc>
            </w:tr>
            <w:tr w14:paraId="3D99C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14:paraId="35D74886">
                  <w:pPr>
                    <w:snapToGrid w:val="0"/>
                    <w:jc w:val="center"/>
                    <w:rPr>
                      <w:rFonts w:hint="default"/>
                      <w:sz w:val="21"/>
                      <w:szCs w:val="21"/>
                      <w:lang w:val="en-US" w:eastAsia="zh-CN"/>
                    </w:rPr>
                  </w:pPr>
                  <w:r>
                    <w:rPr>
                      <w:rFonts w:hint="eastAsia"/>
                      <w:sz w:val="21"/>
                      <w:szCs w:val="21"/>
                      <w:lang w:val="en-US" w:eastAsia="zh-CN"/>
                    </w:rPr>
                    <w:t>5</w:t>
                  </w:r>
                </w:p>
              </w:tc>
              <w:tc>
                <w:tcPr>
                  <w:tcW w:w="1992" w:type="dxa"/>
                  <w:tcBorders>
                    <w:tl2br w:val="nil"/>
                    <w:tr2bl w:val="nil"/>
                  </w:tcBorders>
                  <w:noWrap w:val="0"/>
                  <w:vAlign w:val="center"/>
                </w:tcPr>
                <w:p w14:paraId="4B3316ED">
                  <w:pPr>
                    <w:keepNext w:val="0"/>
                    <w:keepLines w:val="0"/>
                    <w:widowControl/>
                    <w:suppressLineNumbers w:val="0"/>
                    <w:ind w:firstLine="630" w:firstLineChars="30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w:t>
                  </w:r>
                </w:p>
              </w:tc>
              <w:tc>
                <w:tcPr>
                  <w:tcW w:w="1560" w:type="dxa"/>
                  <w:tcBorders>
                    <w:tl2br w:val="nil"/>
                    <w:tr2bl w:val="nil"/>
                  </w:tcBorders>
                  <w:noWrap w:val="0"/>
                  <w:vAlign w:val="center"/>
                </w:tcPr>
                <w:p w14:paraId="09D7E9CD">
                  <w:pPr>
                    <w:jc w:val="center"/>
                    <w:rPr>
                      <w:rFonts w:hint="default"/>
                      <w:kern w:val="0"/>
                      <w:sz w:val="21"/>
                      <w:szCs w:val="21"/>
                      <w:lang w:val="en-US" w:eastAsia="zh-CN"/>
                    </w:rPr>
                  </w:pPr>
                  <w:r>
                    <w:rPr>
                      <w:rFonts w:hint="eastAsia"/>
                      <w:kern w:val="0"/>
                      <w:sz w:val="21"/>
                      <w:szCs w:val="21"/>
                      <w:lang w:val="en-US" w:eastAsia="zh-CN"/>
                    </w:rPr>
                    <w:t>/</w:t>
                  </w:r>
                </w:p>
              </w:tc>
              <w:tc>
                <w:tcPr>
                  <w:tcW w:w="1452" w:type="dxa"/>
                  <w:tcBorders>
                    <w:tl2br w:val="nil"/>
                    <w:tr2bl w:val="nil"/>
                  </w:tcBorders>
                  <w:noWrap w:val="0"/>
                  <w:vAlign w:val="center"/>
                </w:tcPr>
                <w:p w14:paraId="5BA9DC15">
                  <w:pPr>
                    <w:jc w:val="center"/>
                    <w:rPr>
                      <w:rFonts w:hint="default"/>
                      <w:color w:val="000000" w:themeColor="text1"/>
                      <w:sz w:val="21"/>
                      <w:szCs w:val="21"/>
                      <w:lang w:val="en-US" w:eastAsia="zh-CN"/>
                      <w14:textFill>
                        <w14:solidFill>
                          <w14:schemeClr w14:val="tx1"/>
                        </w14:solidFill>
                      </w14:textFill>
                    </w:rPr>
                  </w:pPr>
                  <w:r>
                    <w:rPr>
                      <w:rFonts w:hint="eastAsia"/>
                      <w:color w:val="auto"/>
                      <w:sz w:val="21"/>
                      <w:szCs w:val="21"/>
                      <w:lang w:val="en-US" w:eastAsia="zh-CN"/>
                    </w:rPr>
                    <w:t>32.4万kW</w:t>
                  </w:r>
                  <w:r>
                    <w:rPr>
                      <w:rFonts w:hint="eastAsia" w:ascii="微软雅黑" w:hAnsi="微软雅黑" w:eastAsia="微软雅黑" w:cs="微软雅黑"/>
                      <w:color w:val="auto"/>
                      <w:sz w:val="21"/>
                      <w:szCs w:val="21"/>
                      <w:lang w:val="en-US" w:eastAsia="zh-CN"/>
                    </w:rPr>
                    <w:t>·</w:t>
                  </w:r>
                  <w:r>
                    <w:rPr>
                      <w:rFonts w:hint="eastAsia"/>
                      <w:color w:val="auto"/>
                      <w:sz w:val="21"/>
                      <w:szCs w:val="21"/>
                      <w:lang w:val="en-US" w:eastAsia="zh-CN"/>
                    </w:rPr>
                    <w:t>h/a</w:t>
                  </w:r>
                </w:p>
              </w:tc>
              <w:tc>
                <w:tcPr>
                  <w:tcW w:w="2618" w:type="dxa"/>
                  <w:tcBorders>
                    <w:tl2br w:val="nil"/>
                    <w:tr2bl w:val="nil"/>
                  </w:tcBorders>
                  <w:noWrap w:val="0"/>
                  <w:vAlign w:val="center"/>
                </w:tcPr>
                <w:p w14:paraId="7916E132">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由场地配电室供给</w:t>
                  </w:r>
                </w:p>
              </w:tc>
            </w:tr>
          </w:tbl>
          <w:p w14:paraId="084AA3EF">
            <w:pPr>
              <w:spacing w:before="120" w:beforeLines="50" w:line="360" w:lineRule="auto"/>
              <w:ind w:left="723" w:hanging="723" w:hangingChars="300"/>
              <w:contextualSpacing/>
              <w:rPr>
                <w:rFonts w:hint="eastAsia"/>
                <w:b/>
                <w:sz w:val="24"/>
                <w:lang w:val="en-US" w:eastAsia="zh-CN"/>
              </w:rPr>
            </w:pPr>
            <w:r>
              <w:rPr>
                <w:rFonts w:hint="eastAsia"/>
                <w:b/>
                <w:sz w:val="24"/>
                <w:lang w:val="en-US" w:eastAsia="zh-CN"/>
              </w:rPr>
              <w:t>2.5原辅料理化性质</w:t>
            </w:r>
          </w:p>
          <w:p w14:paraId="705F7C30">
            <w:pPr>
              <w:numPr>
                <w:ilvl w:val="0"/>
                <w:numId w:val="15"/>
              </w:numPr>
              <w:spacing w:before="120" w:beforeLines="50" w:line="360" w:lineRule="auto"/>
              <w:ind w:left="719" w:leftChars="228" w:hanging="240" w:hangingChars="100"/>
              <w:contextualSpacing/>
              <w:rPr>
                <w:rFonts w:hint="eastAsia"/>
                <w:b w:val="0"/>
                <w:bCs/>
                <w:sz w:val="24"/>
                <w:lang w:val="en-US" w:eastAsia="zh-CN"/>
              </w:rPr>
            </w:pPr>
            <w:r>
              <w:rPr>
                <w:rFonts w:hint="eastAsia"/>
                <w:b w:val="0"/>
                <w:bCs/>
                <w:sz w:val="24"/>
                <w:lang w:val="en-US" w:eastAsia="zh-CN"/>
              </w:rPr>
              <w:t>原辅料性质：</w:t>
            </w:r>
          </w:p>
          <w:p w14:paraId="320FE7CF">
            <w:pPr>
              <w:spacing w:before="120" w:beforeLines="50" w:line="360" w:lineRule="auto"/>
              <w:ind w:left="239" w:leftChars="114" w:firstLine="240" w:firstLineChars="100"/>
              <w:contextualSpacing/>
              <w:rPr>
                <w:rFonts w:hint="eastAsia"/>
                <w:b w:val="0"/>
                <w:bCs/>
                <w:sz w:val="24"/>
                <w:lang w:val="en-US" w:eastAsia="zh-CN"/>
              </w:rPr>
            </w:pPr>
            <w:r>
              <w:rPr>
                <w:rFonts w:hint="eastAsia"/>
                <w:b w:val="0"/>
                <w:bCs/>
                <w:sz w:val="24"/>
                <w:lang w:val="en-US" w:eastAsia="zh-CN"/>
              </w:rPr>
              <w:t>项目使用原辅材料为尾矿砂、水泥、水。为确保本项目所使用选厂尾砂固废</w:t>
            </w:r>
          </w:p>
          <w:p w14:paraId="51D7CC20">
            <w:pPr>
              <w:spacing w:before="120" w:beforeLines="50" w:line="360" w:lineRule="auto"/>
              <w:contextualSpacing/>
              <w:rPr>
                <w:rFonts w:hint="default" w:ascii="Times New Roman" w:hAnsi="Times New Roman" w:eastAsia="黑体" w:cs="Times New Roman"/>
                <w:color w:val="FF0000"/>
                <w:kern w:val="0"/>
                <w:sz w:val="24"/>
                <w:szCs w:val="21"/>
                <w:vertAlign w:val="baseline"/>
                <w:lang w:val="en-US" w:eastAsia="zh-CN" w:bidi="ar-SA"/>
              </w:rPr>
            </w:pPr>
            <w:r>
              <w:rPr>
                <w:rFonts w:hint="eastAsia"/>
                <w:b w:val="0"/>
                <w:bCs/>
                <w:sz w:val="24"/>
                <w:lang w:val="en-US" w:eastAsia="zh-CN"/>
              </w:rPr>
              <w:t>属性，本环评引用</w:t>
            </w:r>
            <w:r>
              <w:rPr>
                <w:rFonts w:hint="eastAsia"/>
                <w:b w:val="0"/>
                <w:bCs/>
                <w:color w:val="auto"/>
                <w:sz w:val="24"/>
                <w:lang w:val="en-US" w:eastAsia="zh-CN"/>
              </w:rPr>
              <w:t>《栾川县惠顿矿业有限公司东沟选矿厂尾矿和充填站回水检测项目》中委托洛阳绿壤环境检测有限公司于2024年9月25日出具的对尾砂监测报告分析结果，其固体废物浸出毒性和腐蚀性监测结果见下表</w:t>
            </w:r>
            <w:r>
              <w:rPr>
                <w:rFonts w:hint="eastAsia"/>
                <w:b w:val="0"/>
                <w:bCs/>
                <w:sz w:val="24"/>
                <w:lang w:val="en-US" w:eastAsia="zh-CN"/>
              </w:rPr>
              <w:t>。</w:t>
            </w:r>
            <w:r>
              <w:rPr>
                <w:rFonts w:hint="eastAsia"/>
                <w:b w:val="0"/>
                <w:bCs/>
                <w:sz w:val="24"/>
                <w:lang w:val="en-US" w:eastAsia="zh-CN"/>
              </w:rPr>
              <w:br w:type="textWrapping"/>
            </w:r>
            <w:r>
              <w:rPr>
                <w:rFonts w:hint="eastAsia"/>
                <w:b w:val="0"/>
                <w:bCs/>
                <w:sz w:val="24"/>
                <w:lang w:val="en-US" w:eastAsia="zh-CN"/>
              </w:rPr>
              <w:t xml:space="preserve">           </w:t>
            </w:r>
            <w:r>
              <w:rPr>
                <w:rFonts w:hint="eastAsia" w:ascii="Times New Roman" w:hAnsi="Times New Roman" w:eastAsia="宋体" w:cs="Times New Roman"/>
                <w:bCs/>
                <w:kern w:val="2"/>
                <w:sz w:val="24"/>
                <w:szCs w:val="24"/>
                <w:lang w:val="en-US" w:eastAsia="zh-CN" w:bidi="ar-SA"/>
              </w:rPr>
              <w:t xml:space="preserve"> </w:t>
            </w:r>
            <w:r>
              <w:rPr>
                <w:rFonts w:hint="eastAsia" w:cs="Times New Roman"/>
                <w:bCs/>
                <w:kern w:val="2"/>
                <w:sz w:val="24"/>
                <w:szCs w:val="24"/>
                <w:lang w:val="en-US" w:eastAsia="zh-CN" w:bidi="ar-SA"/>
              </w:rPr>
              <w:t xml:space="preserve">   </w:t>
            </w:r>
            <w:r>
              <w:rPr>
                <w:rFonts w:hint="eastAsia" w:ascii="Times New Roman" w:hAnsi="Times New Roman" w:eastAsia="黑体" w:cs="Times New Roman"/>
                <w:color w:val="auto"/>
                <w:kern w:val="0"/>
                <w:sz w:val="24"/>
                <w:szCs w:val="21"/>
                <w:u w:val="single"/>
                <w:lang w:val="en-US" w:eastAsia="zh-CN" w:bidi="ar-SA"/>
              </w:rPr>
              <w:t>表2-</w:t>
            </w:r>
            <w:r>
              <w:rPr>
                <w:rFonts w:hint="eastAsia" w:eastAsia="黑体" w:cs="Times New Roman"/>
                <w:color w:val="auto"/>
                <w:kern w:val="0"/>
                <w:sz w:val="24"/>
                <w:szCs w:val="21"/>
                <w:u w:val="single"/>
                <w:lang w:val="en-US" w:eastAsia="zh-CN" w:bidi="ar-SA"/>
              </w:rPr>
              <w:t>8</w:t>
            </w:r>
            <w:r>
              <w:rPr>
                <w:rFonts w:hint="eastAsia" w:ascii="Times New Roman" w:hAnsi="Times New Roman" w:eastAsia="黑体" w:cs="Times New Roman"/>
                <w:color w:val="auto"/>
                <w:kern w:val="0"/>
                <w:sz w:val="24"/>
                <w:szCs w:val="21"/>
                <w:u w:val="single"/>
                <w:lang w:val="en-US" w:eastAsia="zh-CN" w:bidi="ar-SA"/>
              </w:rPr>
              <w:t xml:space="preserve">  </w:t>
            </w:r>
            <w:r>
              <w:rPr>
                <w:rFonts w:hint="eastAsia" w:eastAsia="黑体" w:cs="Times New Roman"/>
                <w:color w:val="auto"/>
                <w:kern w:val="0"/>
                <w:sz w:val="24"/>
                <w:szCs w:val="21"/>
                <w:u w:val="single"/>
                <w:lang w:val="en-US" w:eastAsia="zh-CN" w:bidi="ar-SA"/>
              </w:rPr>
              <w:t xml:space="preserve"> </w:t>
            </w:r>
            <w:r>
              <w:rPr>
                <w:rFonts w:hint="eastAsia" w:ascii="Times New Roman" w:hAnsi="Times New Roman" w:eastAsia="黑体" w:cs="Times New Roman"/>
                <w:color w:val="auto"/>
                <w:kern w:val="0"/>
                <w:sz w:val="24"/>
                <w:szCs w:val="21"/>
                <w:u w:val="single"/>
                <w:lang w:val="en-US" w:eastAsia="zh-CN" w:bidi="ar-SA"/>
              </w:rPr>
              <w:t>固体废物浸出毒性监测结果</w:t>
            </w:r>
            <w:r>
              <w:rPr>
                <w:rFonts w:hint="eastAsia" w:eastAsia="黑体" w:cs="Times New Roman"/>
                <w:color w:val="auto"/>
                <w:kern w:val="0"/>
                <w:sz w:val="24"/>
                <w:szCs w:val="21"/>
                <w:u w:val="single"/>
                <w:lang w:val="en-US" w:eastAsia="zh-CN" w:bidi="ar-SA"/>
              </w:rPr>
              <w:t xml:space="preserve">   单位：mg/L</w:t>
            </w:r>
          </w:p>
          <w:tbl>
            <w:tblPr>
              <w:tblStyle w:val="32"/>
              <w:tblW w:w="8274"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39"/>
              <w:gridCol w:w="1113"/>
              <w:gridCol w:w="1138"/>
              <w:gridCol w:w="992"/>
              <w:gridCol w:w="1137"/>
              <w:gridCol w:w="1598"/>
              <w:gridCol w:w="1657"/>
            </w:tblGrid>
            <w:tr w14:paraId="14575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9" w:hRule="atLeast"/>
              </w:trPr>
              <w:tc>
                <w:tcPr>
                  <w:tcW w:w="639" w:type="dxa"/>
                  <w:tcBorders>
                    <w:tl2br w:val="nil"/>
                    <w:tr2bl w:val="nil"/>
                  </w:tcBorders>
                  <w:vAlign w:val="center"/>
                </w:tcPr>
                <w:p w14:paraId="69CE634F">
                  <w:pPr>
                    <w:jc w:val="center"/>
                    <w:rPr>
                      <w:rFonts w:hint="eastAsia"/>
                      <w:color w:val="auto"/>
                      <w:sz w:val="21"/>
                      <w:szCs w:val="21"/>
                      <w:u w:val="single"/>
                      <w:lang w:val="en-US" w:eastAsia="zh-CN"/>
                    </w:rPr>
                  </w:pPr>
                  <w:r>
                    <w:rPr>
                      <w:rFonts w:hint="eastAsia"/>
                      <w:color w:val="auto"/>
                      <w:sz w:val="21"/>
                      <w:szCs w:val="21"/>
                      <w:u w:val="single"/>
                      <w:lang w:val="en-US" w:eastAsia="zh-CN"/>
                    </w:rPr>
                    <w:t>样品</w:t>
                  </w:r>
                </w:p>
                <w:p w14:paraId="01DD3A59">
                  <w:pPr>
                    <w:jc w:val="center"/>
                    <w:rPr>
                      <w:rFonts w:hint="default"/>
                      <w:color w:val="auto"/>
                      <w:sz w:val="21"/>
                      <w:szCs w:val="21"/>
                      <w:u w:val="single"/>
                      <w:lang w:val="en-US" w:eastAsia="zh-CN"/>
                    </w:rPr>
                  </w:pPr>
                  <w:r>
                    <w:rPr>
                      <w:rFonts w:hint="eastAsia"/>
                      <w:color w:val="auto"/>
                      <w:sz w:val="21"/>
                      <w:szCs w:val="21"/>
                      <w:u w:val="single"/>
                      <w:lang w:val="en-US" w:eastAsia="zh-CN"/>
                    </w:rPr>
                    <w:t>名称</w:t>
                  </w:r>
                </w:p>
              </w:tc>
              <w:tc>
                <w:tcPr>
                  <w:tcW w:w="1113" w:type="dxa"/>
                  <w:tcBorders>
                    <w:tl2br w:val="nil"/>
                    <w:tr2bl w:val="nil"/>
                  </w:tcBorders>
                  <w:vAlign w:val="center"/>
                </w:tcPr>
                <w:p w14:paraId="77979121">
                  <w:pPr>
                    <w:jc w:val="center"/>
                    <w:rPr>
                      <w:rFonts w:hint="default"/>
                      <w:color w:val="auto"/>
                      <w:sz w:val="21"/>
                      <w:szCs w:val="21"/>
                      <w:u w:val="single"/>
                      <w:lang w:val="en-US" w:eastAsia="zh-CN"/>
                    </w:rPr>
                  </w:pPr>
                  <w:r>
                    <w:rPr>
                      <w:rFonts w:hint="eastAsia"/>
                      <w:color w:val="auto"/>
                      <w:sz w:val="21"/>
                      <w:szCs w:val="21"/>
                      <w:u w:val="single"/>
                      <w:lang w:val="en-US" w:eastAsia="zh-CN"/>
                    </w:rPr>
                    <w:t>鉴别类型</w:t>
                  </w:r>
                </w:p>
              </w:tc>
              <w:tc>
                <w:tcPr>
                  <w:tcW w:w="1138" w:type="dxa"/>
                  <w:tcBorders>
                    <w:tl2br w:val="nil"/>
                    <w:tr2bl w:val="nil"/>
                  </w:tcBorders>
                  <w:vAlign w:val="center"/>
                </w:tcPr>
                <w:p w14:paraId="0D9C1ED0">
                  <w:pPr>
                    <w:jc w:val="center"/>
                    <w:rPr>
                      <w:rFonts w:hint="default"/>
                      <w:color w:val="auto"/>
                      <w:sz w:val="21"/>
                      <w:szCs w:val="21"/>
                      <w:u w:val="single"/>
                      <w:lang w:val="en-US" w:eastAsia="zh-CN"/>
                    </w:rPr>
                  </w:pPr>
                  <w:r>
                    <w:rPr>
                      <w:rFonts w:hint="eastAsia"/>
                      <w:color w:val="auto"/>
                      <w:sz w:val="21"/>
                      <w:szCs w:val="21"/>
                      <w:u w:val="single"/>
                      <w:lang w:val="en-US" w:eastAsia="zh-CN"/>
                    </w:rPr>
                    <w:t>检测项目</w:t>
                  </w:r>
                </w:p>
              </w:tc>
              <w:tc>
                <w:tcPr>
                  <w:tcW w:w="992" w:type="dxa"/>
                  <w:tcBorders>
                    <w:tl2br w:val="nil"/>
                    <w:tr2bl w:val="nil"/>
                  </w:tcBorders>
                  <w:vAlign w:val="center"/>
                </w:tcPr>
                <w:p w14:paraId="05902C36">
                  <w:pPr>
                    <w:jc w:val="center"/>
                    <w:rPr>
                      <w:rFonts w:hint="default" w:ascii="Times New Roman" w:hAnsi="Times New Roman" w:eastAsia="宋体" w:cs="Times New Roman"/>
                      <w:color w:val="auto"/>
                      <w:sz w:val="21"/>
                      <w:szCs w:val="21"/>
                      <w:u w:val="single"/>
                      <w:lang w:val="en-US" w:eastAsia="zh-CN"/>
                    </w:rPr>
                  </w:pPr>
                  <w:r>
                    <w:rPr>
                      <w:rFonts w:hint="eastAsia" w:ascii="Times New Roman" w:hAnsi="Times New Roman" w:eastAsia="宋体" w:cs="Times New Roman"/>
                      <w:color w:val="auto"/>
                      <w:sz w:val="21"/>
                      <w:szCs w:val="21"/>
                      <w:u w:val="single"/>
                      <w:lang w:val="en-US" w:eastAsia="zh-CN"/>
                    </w:rPr>
                    <w:t>酸浸</w:t>
                  </w:r>
                </w:p>
              </w:tc>
              <w:tc>
                <w:tcPr>
                  <w:tcW w:w="1137" w:type="dxa"/>
                  <w:tcBorders>
                    <w:tl2br w:val="nil"/>
                    <w:tr2bl w:val="nil"/>
                  </w:tcBorders>
                  <w:vAlign w:val="center"/>
                </w:tcPr>
                <w:p w14:paraId="075D09A0">
                  <w:pPr>
                    <w:jc w:val="center"/>
                    <w:rPr>
                      <w:rFonts w:hint="default" w:ascii="Times New Roman" w:hAnsi="Times New Roman" w:eastAsia="宋体" w:cs="Times New Roman"/>
                      <w:color w:val="auto"/>
                      <w:sz w:val="21"/>
                      <w:szCs w:val="21"/>
                      <w:u w:val="single"/>
                      <w:lang w:val="en-US" w:eastAsia="zh-CN"/>
                    </w:rPr>
                  </w:pPr>
                  <w:r>
                    <w:rPr>
                      <w:rFonts w:hint="eastAsia" w:ascii="Times New Roman" w:hAnsi="Times New Roman" w:eastAsia="宋体" w:cs="Times New Roman"/>
                      <w:color w:val="auto"/>
                      <w:sz w:val="21"/>
                      <w:szCs w:val="21"/>
                      <w:u w:val="single"/>
                      <w:lang w:val="en-US" w:eastAsia="zh-CN"/>
                    </w:rPr>
                    <w:t>水浸</w:t>
                  </w:r>
                </w:p>
              </w:tc>
              <w:tc>
                <w:tcPr>
                  <w:tcW w:w="1598" w:type="dxa"/>
                  <w:tcBorders>
                    <w:tl2br w:val="nil"/>
                    <w:tr2bl w:val="nil"/>
                  </w:tcBorders>
                  <w:vAlign w:val="center"/>
                </w:tcPr>
                <w:p w14:paraId="5B8E50FF">
                  <w:pPr>
                    <w:jc w:val="center"/>
                    <w:rPr>
                      <w:rFonts w:hint="default"/>
                      <w:color w:val="auto"/>
                      <w:sz w:val="21"/>
                      <w:szCs w:val="21"/>
                      <w:u w:val="single"/>
                      <w:lang w:val="en-US" w:eastAsia="zh-CN"/>
                    </w:rPr>
                  </w:pPr>
                  <w:r>
                    <w:rPr>
                      <w:rFonts w:hint="default"/>
                      <w:color w:val="auto"/>
                      <w:sz w:val="21"/>
                      <w:szCs w:val="21"/>
                      <w:u w:val="single"/>
                      <w:lang w:val="en-US" w:eastAsia="zh-CN"/>
                    </w:rPr>
                    <w:t xml:space="preserve">GB5085.1-2007 </w:t>
                  </w:r>
                  <w:r>
                    <w:rPr>
                      <w:rFonts w:hint="default"/>
                      <w:color w:val="auto"/>
                      <w:sz w:val="21"/>
                      <w:szCs w:val="21"/>
                      <w:u w:val="single"/>
                      <w:lang w:val="en-US" w:eastAsia="zh-CN"/>
                    </w:rPr>
                    <w:br w:type="textWrapping"/>
                  </w:r>
                  <w:r>
                    <w:rPr>
                      <w:rFonts w:hint="eastAsia"/>
                      <w:color w:val="auto"/>
                      <w:sz w:val="21"/>
                      <w:szCs w:val="21"/>
                      <w:u w:val="single"/>
                      <w:lang w:val="en-US" w:eastAsia="zh-CN"/>
                    </w:rPr>
                    <w:t>腐蚀性</w:t>
                  </w:r>
                </w:p>
              </w:tc>
              <w:tc>
                <w:tcPr>
                  <w:tcW w:w="1657" w:type="dxa"/>
                  <w:tcBorders>
                    <w:tl2br w:val="nil"/>
                    <w:tr2bl w:val="nil"/>
                  </w:tcBorders>
                  <w:vAlign w:val="center"/>
                </w:tcPr>
                <w:p w14:paraId="76D0EF3F">
                  <w:pPr>
                    <w:jc w:val="center"/>
                    <w:rPr>
                      <w:rFonts w:hint="eastAsia"/>
                      <w:color w:val="auto"/>
                      <w:sz w:val="21"/>
                      <w:szCs w:val="21"/>
                      <w:u w:val="single"/>
                      <w:lang w:val="en-US" w:eastAsia="zh-CN"/>
                    </w:rPr>
                  </w:pPr>
                  <w:r>
                    <w:rPr>
                      <w:rFonts w:hint="default"/>
                      <w:color w:val="auto"/>
                      <w:sz w:val="21"/>
                      <w:szCs w:val="21"/>
                      <w:u w:val="single"/>
                      <w:lang w:val="en-US" w:eastAsia="zh-CN"/>
                    </w:rPr>
                    <w:t>GB5085.1-2007</w:t>
                  </w:r>
                  <w:r>
                    <w:rPr>
                      <w:rFonts w:hint="default"/>
                      <w:color w:val="auto"/>
                      <w:sz w:val="21"/>
                      <w:szCs w:val="21"/>
                      <w:u w:val="single"/>
                      <w:lang w:val="en-US" w:eastAsia="zh-CN"/>
                    </w:rPr>
                    <w:br w:type="textWrapping"/>
                  </w:r>
                  <w:r>
                    <w:rPr>
                      <w:rFonts w:hint="eastAsia"/>
                      <w:color w:val="auto"/>
                      <w:sz w:val="21"/>
                      <w:szCs w:val="21"/>
                      <w:u w:val="single"/>
                      <w:lang w:val="en-US" w:eastAsia="zh-CN"/>
                    </w:rPr>
                    <w:t>浸出毒性</w:t>
                  </w:r>
                </w:p>
              </w:tc>
            </w:tr>
            <w:tr w14:paraId="15B1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639" w:type="dxa"/>
                  <w:vMerge w:val="restart"/>
                  <w:tcBorders>
                    <w:tl2br w:val="nil"/>
                    <w:tr2bl w:val="nil"/>
                  </w:tcBorders>
                  <w:vAlign w:val="center"/>
                </w:tcPr>
                <w:p w14:paraId="0EE2051F">
                  <w:pPr>
                    <w:jc w:val="center"/>
                    <w:rPr>
                      <w:rFonts w:hint="default"/>
                      <w:color w:val="auto"/>
                      <w:sz w:val="21"/>
                      <w:szCs w:val="21"/>
                      <w:lang w:val="en-US" w:eastAsia="zh-CN"/>
                    </w:rPr>
                  </w:pPr>
                  <w:r>
                    <w:rPr>
                      <w:rFonts w:hint="eastAsia"/>
                      <w:color w:val="auto"/>
                      <w:sz w:val="21"/>
                      <w:szCs w:val="21"/>
                      <w:lang w:val="en-US" w:eastAsia="zh-CN"/>
                    </w:rPr>
                    <w:t>尾砂</w:t>
                  </w:r>
                </w:p>
              </w:tc>
              <w:tc>
                <w:tcPr>
                  <w:tcW w:w="1113" w:type="dxa"/>
                  <w:tcBorders>
                    <w:tl2br w:val="nil"/>
                    <w:tr2bl w:val="nil"/>
                  </w:tcBorders>
                  <w:vAlign w:val="center"/>
                </w:tcPr>
                <w:p w14:paraId="0159C1FF">
                  <w:pPr>
                    <w:jc w:val="center"/>
                    <w:rPr>
                      <w:rFonts w:hint="default"/>
                      <w:color w:val="auto"/>
                      <w:sz w:val="21"/>
                      <w:szCs w:val="21"/>
                      <w:lang w:val="en-US" w:eastAsia="zh-CN"/>
                    </w:rPr>
                  </w:pPr>
                  <w:r>
                    <w:rPr>
                      <w:rFonts w:hint="eastAsia"/>
                      <w:color w:val="auto"/>
                      <w:sz w:val="21"/>
                      <w:szCs w:val="21"/>
                      <w:lang w:val="en-US" w:eastAsia="zh-CN"/>
                    </w:rPr>
                    <w:t>腐蚀性</w:t>
                  </w:r>
                </w:p>
              </w:tc>
              <w:tc>
                <w:tcPr>
                  <w:tcW w:w="1138" w:type="dxa"/>
                  <w:tcBorders>
                    <w:tl2br w:val="nil"/>
                    <w:tr2bl w:val="nil"/>
                  </w:tcBorders>
                  <w:vAlign w:val="center"/>
                </w:tcPr>
                <w:p w14:paraId="3FB0E423">
                  <w:pPr>
                    <w:jc w:val="center"/>
                    <w:rPr>
                      <w:rFonts w:hint="default"/>
                      <w:color w:val="auto"/>
                      <w:sz w:val="21"/>
                      <w:szCs w:val="21"/>
                      <w:lang w:val="en-US" w:eastAsia="zh-CN"/>
                    </w:rPr>
                  </w:pPr>
                  <w:r>
                    <w:rPr>
                      <w:rFonts w:hint="eastAsia"/>
                      <w:color w:val="auto"/>
                      <w:sz w:val="21"/>
                      <w:szCs w:val="21"/>
                      <w:lang w:val="en-US" w:eastAsia="zh-CN"/>
                    </w:rPr>
                    <w:t>pH值</w:t>
                  </w:r>
                </w:p>
              </w:tc>
              <w:tc>
                <w:tcPr>
                  <w:tcW w:w="992" w:type="dxa"/>
                  <w:tcBorders>
                    <w:tl2br w:val="nil"/>
                    <w:tr2bl w:val="nil"/>
                  </w:tcBorders>
                  <w:vAlign w:val="center"/>
                </w:tcPr>
                <w:p w14:paraId="2EAC9BEF">
                  <w:pPr>
                    <w:jc w:val="center"/>
                    <w:rPr>
                      <w:rFonts w:hint="default"/>
                      <w:color w:val="auto"/>
                      <w:sz w:val="21"/>
                      <w:szCs w:val="21"/>
                      <w:lang w:val="en-US" w:eastAsia="zh-CN"/>
                    </w:rPr>
                  </w:pPr>
                  <w:r>
                    <w:rPr>
                      <w:rFonts w:hint="eastAsia"/>
                      <w:color w:val="auto"/>
                      <w:sz w:val="21"/>
                      <w:szCs w:val="21"/>
                      <w:lang w:val="en-US" w:eastAsia="zh-CN"/>
                    </w:rPr>
                    <w:t>/</w:t>
                  </w:r>
                </w:p>
              </w:tc>
              <w:tc>
                <w:tcPr>
                  <w:tcW w:w="1137" w:type="dxa"/>
                  <w:tcBorders>
                    <w:tl2br w:val="nil"/>
                    <w:tr2bl w:val="nil"/>
                  </w:tcBorders>
                  <w:vAlign w:val="center"/>
                </w:tcPr>
                <w:p w14:paraId="5B0446F2">
                  <w:pPr>
                    <w:jc w:val="center"/>
                    <w:rPr>
                      <w:rFonts w:hint="default"/>
                      <w:color w:val="auto"/>
                      <w:sz w:val="21"/>
                      <w:szCs w:val="21"/>
                      <w:lang w:val="en-US" w:eastAsia="zh-CN"/>
                    </w:rPr>
                  </w:pPr>
                  <w:r>
                    <w:rPr>
                      <w:rFonts w:hint="eastAsia"/>
                      <w:color w:val="auto"/>
                      <w:sz w:val="21"/>
                      <w:szCs w:val="21"/>
                      <w:lang w:val="en-US" w:eastAsia="zh-CN"/>
                    </w:rPr>
                    <w:t>7.24</w:t>
                  </w:r>
                </w:p>
              </w:tc>
              <w:tc>
                <w:tcPr>
                  <w:tcW w:w="1598" w:type="dxa"/>
                  <w:tcBorders>
                    <w:tl2br w:val="nil"/>
                    <w:tr2bl w:val="nil"/>
                  </w:tcBorders>
                  <w:vAlign w:val="center"/>
                </w:tcPr>
                <w:p w14:paraId="16E3D368">
                  <w:pPr>
                    <w:jc w:val="center"/>
                    <w:rPr>
                      <w:rFonts w:hint="default"/>
                      <w:color w:val="auto"/>
                      <w:sz w:val="21"/>
                      <w:szCs w:val="21"/>
                      <w:lang w:val="en-US" w:eastAsia="zh-CN"/>
                    </w:rPr>
                  </w:pPr>
                  <w:r>
                    <w:rPr>
                      <w:rFonts w:hint="default" w:ascii="Times New Roman" w:hAnsi="Times New Roman" w:cs="Times New Roman"/>
                      <w:color w:val="auto"/>
                      <w:sz w:val="21"/>
                      <w:szCs w:val="21"/>
                      <w:lang w:val="en-US" w:eastAsia="zh-CN"/>
                    </w:rPr>
                    <w:t>pH≥12.5或pH≤2.0</w:t>
                  </w:r>
                </w:p>
              </w:tc>
              <w:tc>
                <w:tcPr>
                  <w:tcW w:w="1657" w:type="dxa"/>
                  <w:tcBorders>
                    <w:tl2br w:val="nil"/>
                    <w:tr2bl w:val="nil"/>
                  </w:tcBorders>
                  <w:vAlign w:val="center"/>
                </w:tcPr>
                <w:p w14:paraId="35EC4A25">
                  <w:pPr>
                    <w:jc w:val="center"/>
                    <w:rPr>
                      <w:rFonts w:hint="eastAsia"/>
                      <w:color w:val="auto"/>
                      <w:sz w:val="21"/>
                      <w:szCs w:val="21"/>
                      <w:lang w:val="en-US" w:eastAsia="zh-CN"/>
                    </w:rPr>
                  </w:pPr>
                  <w:r>
                    <w:rPr>
                      <w:rFonts w:hint="eastAsia"/>
                      <w:color w:val="auto"/>
                      <w:sz w:val="21"/>
                      <w:szCs w:val="21"/>
                      <w:lang w:val="en-US" w:eastAsia="zh-CN"/>
                    </w:rPr>
                    <w:t>—</w:t>
                  </w:r>
                </w:p>
              </w:tc>
            </w:tr>
            <w:tr w14:paraId="5F25B0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1" w:hRule="atLeast"/>
              </w:trPr>
              <w:tc>
                <w:tcPr>
                  <w:tcW w:w="639" w:type="dxa"/>
                  <w:vMerge w:val="continue"/>
                  <w:tcBorders>
                    <w:tl2br w:val="nil"/>
                    <w:tr2bl w:val="nil"/>
                  </w:tcBorders>
                  <w:vAlign w:val="center"/>
                </w:tcPr>
                <w:p w14:paraId="00DF5039">
                  <w:pPr>
                    <w:jc w:val="center"/>
                    <w:rPr>
                      <w:rFonts w:hint="eastAsia"/>
                      <w:color w:val="auto"/>
                      <w:sz w:val="21"/>
                      <w:szCs w:val="21"/>
                      <w:lang w:val="en-US" w:eastAsia="zh-CN"/>
                    </w:rPr>
                  </w:pPr>
                </w:p>
              </w:tc>
              <w:tc>
                <w:tcPr>
                  <w:tcW w:w="1113" w:type="dxa"/>
                  <w:vMerge w:val="restart"/>
                  <w:tcBorders>
                    <w:tl2br w:val="nil"/>
                    <w:tr2bl w:val="nil"/>
                  </w:tcBorders>
                  <w:vAlign w:val="center"/>
                </w:tcPr>
                <w:p w14:paraId="07396F90">
                  <w:pPr>
                    <w:jc w:val="center"/>
                    <w:rPr>
                      <w:rFonts w:hint="default"/>
                      <w:color w:val="auto"/>
                      <w:sz w:val="21"/>
                      <w:szCs w:val="21"/>
                      <w:lang w:val="en-US" w:eastAsia="zh-CN"/>
                    </w:rPr>
                  </w:pPr>
                  <w:r>
                    <w:rPr>
                      <w:rFonts w:hint="eastAsia"/>
                      <w:color w:val="auto"/>
                      <w:sz w:val="21"/>
                      <w:szCs w:val="21"/>
                      <w:lang w:val="en-US" w:eastAsia="zh-CN"/>
                    </w:rPr>
                    <w:t>浸出毒性</w:t>
                  </w:r>
                </w:p>
              </w:tc>
              <w:tc>
                <w:tcPr>
                  <w:tcW w:w="1138" w:type="dxa"/>
                  <w:tcBorders>
                    <w:tl2br w:val="nil"/>
                    <w:tr2bl w:val="nil"/>
                  </w:tcBorders>
                  <w:vAlign w:val="center"/>
                </w:tcPr>
                <w:p w14:paraId="7C44A25E">
                  <w:pPr>
                    <w:jc w:val="center"/>
                    <w:rPr>
                      <w:rFonts w:hint="eastAsia"/>
                      <w:color w:val="auto"/>
                      <w:sz w:val="21"/>
                      <w:szCs w:val="21"/>
                      <w:lang w:val="en-US" w:eastAsia="zh-CN"/>
                    </w:rPr>
                  </w:pPr>
                  <w:r>
                    <w:rPr>
                      <w:rFonts w:hint="eastAsia"/>
                      <w:color w:val="auto"/>
                      <w:sz w:val="21"/>
                      <w:szCs w:val="21"/>
                      <w:lang w:val="en-US" w:eastAsia="zh-CN"/>
                    </w:rPr>
                    <w:t>总镉</w:t>
                  </w:r>
                </w:p>
              </w:tc>
              <w:tc>
                <w:tcPr>
                  <w:tcW w:w="992" w:type="dxa"/>
                  <w:tcBorders>
                    <w:tl2br w:val="nil"/>
                    <w:tr2bl w:val="nil"/>
                  </w:tcBorders>
                  <w:vAlign w:val="center"/>
                </w:tcPr>
                <w:p w14:paraId="14BA5114">
                  <w:pPr>
                    <w:jc w:val="center"/>
                    <w:rPr>
                      <w:rFonts w:hint="default"/>
                      <w:color w:val="auto"/>
                      <w:sz w:val="21"/>
                      <w:szCs w:val="21"/>
                      <w:lang w:val="en-US" w:eastAsia="zh-CN"/>
                    </w:rPr>
                  </w:pPr>
                  <w:r>
                    <w:rPr>
                      <w:rFonts w:hint="eastAsia"/>
                      <w:color w:val="auto"/>
                      <w:sz w:val="21"/>
                      <w:szCs w:val="21"/>
                      <w:lang w:val="en-US" w:eastAsia="zh-CN"/>
                    </w:rPr>
                    <w:t>未检出</w:t>
                  </w:r>
                </w:p>
              </w:tc>
              <w:tc>
                <w:tcPr>
                  <w:tcW w:w="1137" w:type="dxa"/>
                  <w:tcBorders>
                    <w:tl2br w:val="nil"/>
                    <w:tr2bl w:val="nil"/>
                  </w:tcBorders>
                  <w:vAlign w:val="center"/>
                </w:tcPr>
                <w:p w14:paraId="6E2A09B3">
                  <w:pPr>
                    <w:jc w:val="center"/>
                    <w:rPr>
                      <w:rFonts w:hint="default"/>
                      <w:color w:val="auto"/>
                      <w:sz w:val="21"/>
                      <w:szCs w:val="21"/>
                      <w:lang w:val="en-US" w:eastAsia="zh-CN"/>
                    </w:rPr>
                  </w:pPr>
                  <w:r>
                    <w:rPr>
                      <w:rFonts w:hint="eastAsia"/>
                      <w:color w:val="auto"/>
                      <w:sz w:val="21"/>
                      <w:szCs w:val="21"/>
                      <w:lang w:val="en-US" w:eastAsia="zh-CN"/>
                    </w:rPr>
                    <w:t>未检出</w:t>
                  </w:r>
                </w:p>
              </w:tc>
              <w:tc>
                <w:tcPr>
                  <w:tcW w:w="1598" w:type="dxa"/>
                  <w:tcBorders>
                    <w:tl2br w:val="nil"/>
                    <w:tr2bl w:val="nil"/>
                  </w:tcBorders>
                  <w:vAlign w:val="center"/>
                </w:tcPr>
                <w:p w14:paraId="4DE0E6E2">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5E17D9D1">
                  <w:pPr>
                    <w:jc w:val="center"/>
                    <w:rPr>
                      <w:rFonts w:hint="default"/>
                      <w:color w:val="auto"/>
                      <w:sz w:val="21"/>
                      <w:szCs w:val="21"/>
                      <w:lang w:val="en-US" w:eastAsia="zh-CN"/>
                    </w:rPr>
                  </w:pPr>
                  <w:r>
                    <w:rPr>
                      <w:rFonts w:hint="eastAsia"/>
                      <w:color w:val="auto"/>
                      <w:sz w:val="21"/>
                      <w:szCs w:val="21"/>
                      <w:lang w:val="en-US" w:eastAsia="zh-CN"/>
                    </w:rPr>
                    <w:t>1</w:t>
                  </w:r>
                </w:p>
              </w:tc>
            </w:tr>
            <w:tr w14:paraId="4ED967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1" w:hRule="atLeast"/>
              </w:trPr>
              <w:tc>
                <w:tcPr>
                  <w:tcW w:w="639" w:type="dxa"/>
                  <w:vMerge w:val="continue"/>
                  <w:tcBorders>
                    <w:tl2br w:val="nil"/>
                    <w:tr2bl w:val="nil"/>
                  </w:tcBorders>
                  <w:vAlign w:val="center"/>
                </w:tcPr>
                <w:p w14:paraId="49808165">
                  <w:pPr>
                    <w:jc w:val="center"/>
                    <w:rPr>
                      <w:rFonts w:hint="eastAsia"/>
                      <w:color w:val="auto"/>
                      <w:sz w:val="21"/>
                      <w:szCs w:val="21"/>
                      <w:lang w:val="en-US" w:eastAsia="zh-CN"/>
                    </w:rPr>
                  </w:pPr>
                </w:p>
              </w:tc>
              <w:tc>
                <w:tcPr>
                  <w:tcW w:w="1113" w:type="dxa"/>
                  <w:vMerge w:val="continue"/>
                  <w:tcBorders>
                    <w:tl2br w:val="nil"/>
                    <w:tr2bl w:val="nil"/>
                  </w:tcBorders>
                  <w:vAlign w:val="center"/>
                </w:tcPr>
                <w:p w14:paraId="7EDF36CF">
                  <w:pPr>
                    <w:jc w:val="center"/>
                    <w:rPr>
                      <w:rFonts w:hint="default"/>
                      <w:color w:val="auto"/>
                      <w:sz w:val="21"/>
                      <w:szCs w:val="21"/>
                      <w:lang w:val="en-US" w:eastAsia="zh-CN"/>
                    </w:rPr>
                  </w:pPr>
                </w:p>
              </w:tc>
              <w:tc>
                <w:tcPr>
                  <w:tcW w:w="1138" w:type="dxa"/>
                  <w:tcBorders>
                    <w:tl2br w:val="nil"/>
                    <w:tr2bl w:val="nil"/>
                  </w:tcBorders>
                  <w:vAlign w:val="center"/>
                </w:tcPr>
                <w:p w14:paraId="191EA898">
                  <w:pPr>
                    <w:jc w:val="center"/>
                    <w:rPr>
                      <w:rFonts w:hint="eastAsia"/>
                      <w:color w:val="auto"/>
                      <w:sz w:val="21"/>
                      <w:szCs w:val="21"/>
                      <w:lang w:val="en-US" w:eastAsia="zh-CN"/>
                    </w:rPr>
                  </w:pPr>
                  <w:r>
                    <w:rPr>
                      <w:rFonts w:hint="eastAsia"/>
                      <w:color w:val="auto"/>
                      <w:sz w:val="21"/>
                      <w:szCs w:val="21"/>
                      <w:lang w:val="en-US" w:eastAsia="zh-CN"/>
                    </w:rPr>
                    <w:t>六价铬</w:t>
                  </w:r>
                </w:p>
              </w:tc>
              <w:tc>
                <w:tcPr>
                  <w:tcW w:w="992" w:type="dxa"/>
                  <w:tcBorders>
                    <w:tl2br w:val="nil"/>
                    <w:tr2bl w:val="nil"/>
                  </w:tcBorders>
                  <w:vAlign w:val="center"/>
                </w:tcPr>
                <w:p w14:paraId="7AA7EBEC">
                  <w:pPr>
                    <w:jc w:val="center"/>
                    <w:rPr>
                      <w:rFonts w:hint="default"/>
                      <w:color w:val="auto"/>
                      <w:sz w:val="21"/>
                      <w:szCs w:val="21"/>
                      <w:lang w:val="en-US" w:eastAsia="zh-CN"/>
                    </w:rPr>
                  </w:pPr>
                  <w:r>
                    <w:rPr>
                      <w:rFonts w:hint="eastAsia"/>
                      <w:color w:val="auto"/>
                      <w:sz w:val="21"/>
                      <w:szCs w:val="21"/>
                      <w:lang w:val="en-US" w:eastAsia="zh-CN"/>
                    </w:rPr>
                    <w:t>未检出</w:t>
                  </w:r>
                </w:p>
              </w:tc>
              <w:tc>
                <w:tcPr>
                  <w:tcW w:w="1137" w:type="dxa"/>
                  <w:tcBorders>
                    <w:tl2br w:val="nil"/>
                    <w:tr2bl w:val="nil"/>
                  </w:tcBorders>
                  <w:vAlign w:val="center"/>
                </w:tcPr>
                <w:p w14:paraId="0B847861">
                  <w:pPr>
                    <w:jc w:val="center"/>
                    <w:rPr>
                      <w:rFonts w:hint="default"/>
                      <w:color w:val="auto"/>
                      <w:sz w:val="21"/>
                      <w:szCs w:val="21"/>
                      <w:lang w:val="en-US" w:eastAsia="zh-CN"/>
                    </w:rPr>
                  </w:pPr>
                  <w:r>
                    <w:rPr>
                      <w:rFonts w:hint="eastAsia"/>
                      <w:color w:val="auto"/>
                      <w:sz w:val="21"/>
                      <w:szCs w:val="21"/>
                      <w:lang w:val="en-US" w:eastAsia="zh-CN"/>
                    </w:rPr>
                    <w:t>未检出</w:t>
                  </w:r>
                </w:p>
              </w:tc>
              <w:tc>
                <w:tcPr>
                  <w:tcW w:w="1598" w:type="dxa"/>
                  <w:tcBorders>
                    <w:tl2br w:val="nil"/>
                    <w:tr2bl w:val="nil"/>
                  </w:tcBorders>
                  <w:vAlign w:val="center"/>
                </w:tcPr>
                <w:p w14:paraId="53F8F4C3">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393771DE">
                  <w:pPr>
                    <w:jc w:val="center"/>
                    <w:rPr>
                      <w:rFonts w:hint="default"/>
                      <w:color w:val="auto"/>
                      <w:sz w:val="21"/>
                      <w:szCs w:val="21"/>
                      <w:lang w:val="en-US" w:eastAsia="zh-CN"/>
                    </w:rPr>
                  </w:pPr>
                  <w:r>
                    <w:rPr>
                      <w:rFonts w:hint="eastAsia"/>
                      <w:color w:val="auto"/>
                      <w:sz w:val="21"/>
                      <w:szCs w:val="21"/>
                      <w:lang w:val="en-US" w:eastAsia="zh-CN"/>
                    </w:rPr>
                    <w:t>5</w:t>
                  </w:r>
                </w:p>
              </w:tc>
            </w:tr>
            <w:tr w14:paraId="264D88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3" w:hRule="atLeast"/>
              </w:trPr>
              <w:tc>
                <w:tcPr>
                  <w:tcW w:w="639" w:type="dxa"/>
                  <w:vMerge w:val="continue"/>
                  <w:tcBorders>
                    <w:tl2br w:val="nil"/>
                    <w:tr2bl w:val="nil"/>
                  </w:tcBorders>
                  <w:vAlign w:val="center"/>
                </w:tcPr>
                <w:p w14:paraId="2ACF9114">
                  <w:pPr>
                    <w:jc w:val="center"/>
                    <w:rPr>
                      <w:rFonts w:hint="eastAsia"/>
                      <w:color w:val="auto"/>
                      <w:sz w:val="21"/>
                      <w:szCs w:val="21"/>
                      <w:lang w:val="en-US" w:eastAsia="zh-CN"/>
                    </w:rPr>
                  </w:pPr>
                </w:p>
              </w:tc>
              <w:tc>
                <w:tcPr>
                  <w:tcW w:w="1113" w:type="dxa"/>
                  <w:vMerge w:val="continue"/>
                  <w:tcBorders>
                    <w:tl2br w:val="nil"/>
                    <w:tr2bl w:val="nil"/>
                  </w:tcBorders>
                  <w:vAlign w:val="center"/>
                </w:tcPr>
                <w:p w14:paraId="7165D5A5">
                  <w:pPr>
                    <w:jc w:val="center"/>
                    <w:rPr>
                      <w:rFonts w:hint="default"/>
                      <w:color w:val="auto"/>
                      <w:sz w:val="21"/>
                      <w:szCs w:val="21"/>
                      <w:lang w:val="en-US" w:eastAsia="zh-CN"/>
                    </w:rPr>
                  </w:pPr>
                </w:p>
              </w:tc>
              <w:tc>
                <w:tcPr>
                  <w:tcW w:w="1138" w:type="dxa"/>
                  <w:tcBorders>
                    <w:tl2br w:val="nil"/>
                    <w:tr2bl w:val="nil"/>
                  </w:tcBorders>
                  <w:vAlign w:val="center"/>
                </w:tcPr>
                <w:p w14:paraId="52B01C50">
                  <w:pPr>
                    <w:jc w:val="center"/>
                    <w:rPr>
                      <w:rFonts w:hint="eastAsia"/>
                      <w:color w:val="auto"/>
                      <w:sz w:val="21"/>
                      <w:szCs w:val="21"/>
                      <w:lang w:val="en-US" w:eastAsia="zh-CN"/>
                    </w:rPr>
                  </w:pPr>
                  <w:r>
                    <w:rPr>
                      <w:rFonts w:hint="eastAsia"/>
                      <w:color w:val="auto"/>
                      <w:sz w:val="21"/>
                      <w:szCs w:val="21"/>
                      <w:lang w:val="en-US" w:eastAsia="zh-CN"/>
                    </w:rPr>
                    <w:t>总砷</w:t>
                  </w:r>
                </w:p>
              </w:tc>
              <w:tc>
                <w:tcPr>
                  <w:tcW w:w="992" w:type="dxa"/>
                  <w:tcBorders>
                    <w:tl2br w:val="nil"/>
                    <w:tr2bl w:val="nil"/>
                  </w:tcBorders>
                  <w:vAlign w:val="center"/>
                </w:tcPr>
                <w:p w14:paraId="75930532">
                  <w:pPr>
                    <w:jc w:val="center"/>
                    <w:rPr>
                      <w:rFonts w:hint="default"/>
                      <w:color w:val="auto"/>
                      <w:sz w:val="21"/>
                      <w:szCs w:val="21"/>
                      <w:lang w:val="en-US" w:eastAsia="zh-CN"/>
                    </w:rPr>
                  </w:pPr>
                  <w:r>
                    <w:rPr>
                      <w:rFonts w:hint="default"/>
                      <w:color w:val="auto"/>
                      <w:sz w:val="21"/>
                      <w:szCs w:val="21"/>
                      <w:lang w:val="en-US" w:eastAsia="zh-CN"/>
                    </w:rPr>
                    <w:t>1.6×10</w:t>
                  </w:r>
                  <w:r>
                    <w:rPr>
                      <w:rFonts w:hint="default"/>
                      <w:color w:val="auto"/>
                      <w:sz w:val="21"/>
                      <w:szCs w:val="21"/>
                      <w:vertAlign w:val="superscript"/>
                      <w:lang w:val="en-US" w:eastAsia="zh-CN"/>
                    </w:rPr>
                    <w:t>-3</w:t>
                  </w:r>
                </w:p>
              </w:tc>
              <w:tc>
                <w:tcPr>
                  <w:tcW w:w="1137" w:type="dxa"/>
                  <w:tcBorders>
                    <w:tl2br w:val="nil"/>
                    <w:tr2bl w:val="nil"/>
                  </w:tcBorders>
                  <w:vAlign w:val="center"/>
                </w:tcPr>
                <w:p w14:paraId="5B81E61B">
                  <w:pPr>
                    <w:jc w:val="center"/>
                    <w:rPr>
                      <w:rFonts w:hint="default"/>
                      <w:color w:val="auto"/>
                      <w:sz w:val="21"/>
                      <w:szCs w:val="21"/>
                      <w:lang w:val="en-US" w:eastAsia="zh-CN"/>
                    </w:rPr>
                  </w:pPr>
                  <w:r>
                    <w:rPr>
                      <w:rFonts w:hint="default"/>
                      <w:color w:val="auto"/>
                      <w:sz w:val="21"/>
                      <w:szCs w:val="21"/>
                      <w:lang w:val="en-US" w:eastAsia="zh-CN"/>
                    </w:rPr>
                    <w:t>2.0×10</w:t>
                  </w:r>
                  <w:r>
                    <w:rPr>
                      <w:rFonts w:hint="default"/>
                      <w:color w:val="auto"/>
                      <w:sz w:val="21"/>
                      <w:szCs w:val="21"/>
                      <w:vertAlign w:val="superscript"/>
                      <w:lang w:val="en-US" w:eastAsia="zh-CN"/>
                    </w:rPr>
                    <w:t>-3</w:t>
                  </w:r>
                </w:p>
              </w:tc>
              <w:tc>
                <w:tcPr>
                  <w:tcW w:w="1598" w:type="dxa"/>
                  <w:tcBorders>
                    <w:tl2br w:val="nil"/>
                    <w:tr2bl w:val="nil"/>
                  </w:tcBorders>
                  <w:vAlign w:val="center"/>
                </w:tcPr>
                <w:p w14:paraId="554E1B26">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095708FB">
                  <w:pPr>
                    <w:jc w:val="center"/>
                    <w:rPr>
                      <w:rFonts w:hint="default"/>
                      <w:color w:val="auto"/>
                      <w:sz w:val="21"/>
                      <w:szCs w:val="21"/>
                      <w:lang w:val="en-US" w:eastAsia="zh-CN"/>
                    </w:rPr>
                  </w:pPr>
                  <w:r>
                    <w:rPr>
                      <w:rFonts w:hint="eastAsia"/>
                      <w:color w:val="auto"/>
                      <w:sz w:val="21"/>
                      <w:szCs w:val="21"/>
                      <w:lang w:val="en-US" w:eastAsia="zh-CN"/>
                    </w:rPr>
                    <w:t>5</w:t>
                  </w:r>
                </w:p>
              </w:tc>
            </w:tr>
            <w:tr w14:paraId="629397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639" w:type="dxa"/>
                  <w:vMerge w:val="continue"/>
                  <w:tcBorders>
                    <w:tl2br w:val="nil"/>
                    <w:tr2bl w:val="nil"/>
                  </w:tcBorders>
                  <w:vAlign w:val="center"/>
                </w:tcPr>
                <w:p w14:paraId="2B79A4BF">
                  <w:pPr>
                    <w:jc w:val="center"/>
                    <w:rPr>
                      <w:rFonts w:hint="eastAsia"/>
                      <w:color w:val="auto"/>
                      <w:sz w:val="21"/>
                      <w:szCs w:val="21"/>
                      <w:lang w:val="en-US" w:eastAsia="zh-CN"/>
                    </w:rPr>
                  </w:pPr>
                </w:p>
              </w:tc>
              <w:tc>
                <w:tcPr>
                  <w:tcW w:w="1113" w:type="dxa"/>
                  <w:vMerge w:val="continue"/>
                  <w:tcBorders>
                    <w:tl2br w:val="nil"/>
                    <w:tr2bl w:val="nil"/>
                  </w:tcBorders>
                  <w:vAlign w:val="center"/>
                </w:tcPr>
                <w:p w14:paraId="5727275B">
                  <w:pPr>
                    <w:jc w:val="center"/>
                    <w:rPr>
                      <w:rFonts w:hint="default"/>
                      <w:color w:val="auto"/>
                      <w:sz w:val="21"/>
                      <w:szCs w:val="21"/>
                      <w:lang w:val="en-US" w:eastAsia="zh-CN"/>
                    </w:rPr>
                  </w:pPr>
                </w:p>
              </w:tc>
              <w:tc>
                <w:tcPr>
                  <w:tcW w:w="1138" w:type="dxa"/>
                  <w:tcBorders>
                    <w:tl2br w:val="nil"/>
                    <w:tr2bl w:val="nil"/>
                  </w:tcBorders>
                  <w:vAlign w:val="center"/>
                </w:tcPr>
                <w:p w14:paraId="3DCC6D91">
                  <w:pPr>
                    <w:jc w:val="center"/>
                    <w:rPr>
                      <w:rFonts w:hint="eastAsia"/>
                      <w:color w:val="auto"/>
                      <w:sz w:val="21"/>
                      <w:szCs w:val="21"/>
                      <w:lang w:val="en-US" w:eastAsia="zh-CN"/>
                    </w:rPr>
                  </w:pPr>
                  <w:r>
                    <w:rPr>
                      <w:rFonts w:hint="eastAsia"/>
                      <w:color w:val="auto"/>
                      <w:sz w:val="21"/>
                      <w:szCs w:val="21"/>
                      <w:lang w:val="en-US" w:eastAsia="zh-CN"/>
                    </w:rPr>
                    <w:t>总铅</w:t>
                  </w:r>
                </w:p>
              </w:tc>
              <w:tc>
                <w:tcPr>
                  <w:tcW w:w="992" w:type="dxa"/>
                  <w:tcBorders>
                    <w:tl2br w:val="nil"/>
                    <w:tr2bl w:val="nil"/>
                  </w:tcBorders>
                  <w:vAlign w:val="center"/>
                </w:tcPr>
                <w:p w14:paraId="003583DF">
                  <w:pPr>
                    <w:jc w:val="center"/>
                    <w:rPr>
                      <w:rFonts w:hint="default"/>
                      <w:color w:val="auto"/>
                      <w:sz w:val="21"/>
                      <w:szCs w:val="21"/>
                      <w:lang w:val="en-US" w:eastAsia="zh-CN"/>
                    </w:rPr>
                  </w:pPr>
                  <w:r>
                    <w:rPr>
                      <w:rFonts w:hint="eastAsia"/>
                      <w:color w:val="auto"/>
                      <w:sz w:val="21"/>
                      <w:szCs w:val="21"/>
                      <w:lang w:val="en-US" w:eastAsia="zh-CN"/>
                    </w:rPr>
                    <w:t>未检出</w:t>
                  </w:r>
                </w:p>
              </w:tc>
              <w:tc>
                <w:tcPr>
                  <w:tcW w:w="1137" w:type="dxa"/>
                  <w:tcBorders>
                    <w:tl2br w:val="nil"/>
                    <w:tr2bl w:val="nil"/>
                  </w:tcBorders>
                  <w:vAlign w:val="center"/>
                </w:tcPr>
                <w:p w14:paraId="2AC38BA7">
                  <w:pPr>
                    <w:jc w:val="center"/>
                    <w:rPr>
                      <w:rFonts w:hint="default"/>
                      <w:color w:val="auto"/>
                      <w:sz w:val="21"/>
                      <w:szCs w:val="21"/>
                      <w:lang w:val="en-US" w:eastAsia="zh-CN"/>
                    </w:rPr>
                  </w:pPr>
                  <w:r>
                    <w:rPr>
                      <w:rFonts w:hint="eastAsia"/>
                      <w:color w:val="auto"/>
                      <w:sz w:val="21"/>
                      <w:szCs w:val="21"/>
                      <w:lang w:val="en-US" w:eastAsia="zh-CN"/>
                    </w:rPr>
                    <w:t>未检出</w:t>
                  </w:r>
                </w:p>
              </w:tc>
              <w:tc>
                <w:tcPr>
                  <w:tcW w:w="1598" w:type="dxa"/>
                  <w:tcBorders>
                    <w:tl2br w:val="nil"/>
                    <w:tr2bl w:val="nil"/>
                  </w:tcBorders>
                  <w:vAlign w:val="center"/>
                </w:tcPr>
                <w:p w14:paraId="3072A202">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338E4F57">
                  <w:pPr>
                    <w:jc w:val="center"/>
                    <w:rPr>
                      <w:rFonts w:hint="default"/>
                      <w:color w:val="auto"/>
                      <w:sz w:val="21"/>
                      <w:szCs w:val="21"/>
                      <w:lang w:val="en-US" w:eastAsia="zh-CN"/>
                    </w:rPr>
                  </w:pPr>
                  <w:r>
                    <w:rPr>
                      <w:rFonts w:hint="eastAsia"/>
                      <w:color w:val="auto"/>
                      <w:sz w:val="21"/>
                      <w:szCs w:val="21"/>
                      <w:lang w:val="en-US" w:eastAsia="zh-CN"/>
                    </w:rPr>
                    <w:t>5</w:t>
                  </w:r>
                </w:p>
              </w:tc>
            </w:tr>
            <w:tr w14:paraId="092FDA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trPr>
              <w:tc>
                <w:tcPr>
                  <w:tcW w:w="639" w:type="dxa"/>
                  <w:vMerge w:val="continue"/>
                  <w:tcBorders>
                    <w:tl2br w:val="nil"/>
                    <w:tr2bl w:val="nil"/>
                  </w:tcBorders>
                  <w:vAlign w:val="center"/>
                </w:tcPr>
                <w:p w14:paraId="328F26C5">
                  <w:pPr>
                    <w:jc w:val="center"/>
                    <w:rPr>
                      <w:rFonts w:hint="eastAsia"/>
                      <w:color w:val="auto"/>
                      <w:sz w:val="21"/>
                      <w:szCs w:val="21"/>
                      <w:lang w:val="en-US" w:eastAsia="zh-CN"/>
                    </w:rPr>
                  </w:pPr>
                </w:p>
              </w:tc>
              <w:tc>
                <w:tcPr>
                  <w:tcW w:w="1113" w:type="dxa"/>
                  <w:vMerge w:val="continue"/>
                  <w:tcBorders>
                    <w:tl2br w:val="nil"/>
                    <w:tr2bl w:val="nil"/>
                  </w:tcBorders>
                  <w:vAlign w:val="center"/>
                </w:tcPr>
                <w:p w14:paraId="328EFCE2">
                  <w:pPr>
                    <w:jc w:val="center"/>
                    <w:rPr>
                      <w:rFonts w:hint="default"/>
                      <w:color w:val="auto"/>
                      <w:sz w:val="21"/>
                      <w:szCs w:val="21"/>
                      <w:lang w:val="en-US" w:eastAsia="zh-CN"/>
                    </w:rPr>
                  </w:pPr>
                </w:p>
              </w:tc>
              <w:tc>
                <w:tcPr>
                  <w:tcW w:w="1138" w:type="dxa"/>
                  <w:tcBorders>
                    <w:tl2br w:val="nil"/>
                    <w:tr2bl w:val="nil"/>
                  </w:tcBorders>
                  <w:vAlign w:val="center"/>
                </w:tcPr>
                <w:p w14:paraId="76B94528">
                  <w:pPr>
                    <w:jc w:val="center"/>
                    <w:rPr>
                      <w:rFonts w:hint="eastAsia"/>
                      <w:color w:val="auto"/>
                      <w:sz w:val="21"/>
                      <w:szCs w:val="21"/>
                      <w:lang w:val="en-US" w:eastAsia="zh-CN"/>
                    </w:rPr>
                  </w:pPr>
                  <w:r>
                    <w:rPr>
                      <w:rFonts w:hint="eastAsia"/>
                      <w:color w:val="auto"/>
                      <w:sz w:val="21"/>
                      <w:szCs w:val="21"/>
                      <w:lang w:val="en-US" w:eastAsia="zh-CN"/>
                    </w:rPr>
                    <w:t>总铜</w:t>
                  </w:r>
                </w:p>
              </w:tc>
              <w:tc>
                <w:tcPr>
                  <w:tcW w:w="992" w:type="dxa"/>
                  <w:tcBorders>
                    <w:tl2br w:val="nil"/>
                    <w:tr2bl w:val="nil"/>
                  </w:tcBorders>
                  <w:vAlign w:val="center"/>
                </w:tcPr>
                <w:p w14:paraId="77AE5981">
                  <w:pPr>
                    <w:jc w:val="center"/>
                    <w:rPr>
                      <w:rFonts w:hint="default"/>
                      <w:color w:val="auto"/>
                      <w:sz w:val="21"/>
                      <w:szCs w:val="21"/>
                      <w:lang w:val="en-US" w:eastAsia="zh-CN"/>
                    </w:rPr>
                  </w:pPr>
                  <w:r>
                    <w:rPr>
                      <w:rFonts w:hint="eastAsia"/>
                      <w:color w:val="auto"/>
                      <w:sz w:val="21"/>
                      <w:szCs w:val="21"/>
                      <w:lang w:val="en-US" w:eastAsia="zh-CN"/>
                    </w:rPr>
                    <w:t>0.04</w:t>
                  </w:r>
                </w:p>
              </w:tc>
              <w:tc>
                <w:tcPr>
                  <w:tcW w:w="1137" w:type="dxa"/>
                  <w:tcBorders>
                    <w:tl2br w:val="nil"/>
                    <w:tr2bl w:val="nil"/>
                  </w:tcBorders>
                  <w:vAlign w:val="center"/>
                </w:tcPr>
                <w:p w14:paraId="43A76525">
                  <w:pPr>
                    <w:jc w:val="center"/>
                    <w:rPr>
                      <w:rFonts w:hint="default"/>
                      <w:color w:val="auto"/>
                      <w:sz w:val="21"/>
                      <w:szCs w:val="21"/>
                      <w:lang w:val="en-US" w:eastAsia="zh-CN"/>
                    </w:rPr>
                  </w:pPr>
                  <w:r>
                    <w:rPr>
                      <w:rFonts w:hint="eastAsia"/>
                      <w:color w:val="auto"/>
                      <w:sz w:val="21"/>
                      <w:szCs w:val="21"/>
                      <w:lang w:val="en-US" w:eastAsia="zh-CN"/>
                    </w:rPr>
                    <w:t>0.02</w:t>
                  </w:r>
                </w:p>
              </w:tc>
              <w:tc>
                <w:tcPr>
                  <w:tcW w:w="1598" w:type="dxa"/>
                  <w:tcBorders>
                    <w:tl2br w:val="nil"/>
                    <w:tr2bl w:val="nil"/>
                  </w:tcBorders>
                  <w:vAlign w:val="center"/>
                </w:tcPr>
                <w:p w14:paraId="674E2569">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1A647029">
                  <w:pPr>
                    <w:jc w:val="center"/>
                    <w:rPr>
                      <w:rFonts w:hint="default"/>
                      <w:color w:val="auto"/>
                      <w:sz w:val="21"/>
                      <w:szCs w:val="21"/>
                      <w:lang w:val="en-US" w:eastAsia="zh-CN"/>
                    </w:rPr>
                  </w:pPr>
                  <w:r>
                    <w:rPr>
                      <w:rFonts w:hint="eastAsia"/>
                      <w:color w:val="auto"/>
                      <w:sz w:val="21"/>
                      <w:szCs w:val="21"/>
                      <w:lang w:val="en-US" w:eastAsia="zh-CN"/>
                    </w:rPr>
                    <w:t>100</w:t>
                  </w:r>
                </w:p>
              </w:tc>
            </w:tr>
            <w:tr w14:paraId="153B0D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639" w:type="dxa"/>
                  <w:vMerge w:val="continue"/>
                  <w:tcBorders>
                    <w:tl2br w:val="nil"/>
                    <w:tr2bl w:val="nil"/>
                  </w:tcBorders>
                  <w:vAlign w:val="center"/>
                </w:tcPr>
                <w:p w14:paraId="6835402B">
                  <w:pPr>
                    <w:jc w:val="center"/>
                    <w:rPr>
                      <w:rFonts w:hint="eastAsia"/>
                      <w:color w:val="auto"/>
                      <w:sz w:val="21"/>
                      <w:szCs w:val="21"/>
                      <w:lang w:val="en-US" w:eastAsia="zh-CN"/>
                    </w:rPr>
                  </w:pPr>
                </w:p>
              </w:tc>
              <w:tc>
                <w:tcPr>
                  <w:tcW w:w="1113" w:type="dxa"/>
                  <w:vMerge w:val="continue"/>
                  <w:tcBorders>
                    <w:tl2br w:val="nil"/>
                    <w:tr2bl w:val="nil"/>
                  </w:tcBorders>
                  <w:vAlign w:val="center"/>
                </w:tcPr>
                <w:p w14:paraId="269BCC71">
                  <w:pPr>
                    <w:jc w:val="center"/>
                    <w:rPr>
                      <w:rFonts w:hint="default"/>
                      <w:color w:val="auto"/>
                      <w:sz w:val="21"/>
                      <w:szCs w:val="21"/>
                      <w:lang w:val="en-US" w:eastAsia="zh-CN"/>
                    </w:rPr>
                  </w:pPr>
                </w:p>
              </w:tc>
              <w:tc>
                <w:tcPr>
                  <w:tcW w:w="1138" w:type="dxa"/>
                  <w:tcBorders>
                    <w:tl2br w:val="nil"/>
                    <w:tr2bl w:val="nil"/>
                  </w:tcBorders>
                  <w:vAlign w:val="center"/>
                </w:tcPr>
                <w:p w14:paraId="0E01B497">
                  <w:pPr>
                    <w:jc w:val="center"/>
                    <w:rPr>
                      <w:rFonts w:hint="eastAsia"/>
                      <w:color w:val="auto"/>
                      <w:sz w:val="21"/>
                      <w:szCs w:val="21"/>
                      <w:lang w:val="en-US" w:eastAsia="zh-CN"/>
                    </w:rPr>
                  </w:pPr>
                  <w:r>
                    <w:rPr>
                      <w:rFonts w:hint="eastAsia"/>
                      <w:color w:val="auto"/>
                      <w:sz w:val="21"/>
                      <w:szCs w:val="21"/>
                      <w:lang w:val="en-US" w:eastAsia="zh-CN"/>
                    </w:rPr>
                    <w:t>总锌</w:t>
                  </w:r>
                </w:p>
              </w:tc>
              <w:tc>
                <w:tcPr>
                  <w:tcW w:w="992" w:type="dxa"/>
                  <w:tcBorders>
                    <w:tl2br w:val="nil"/>
                    <w:tr2bl w:val="nil"/>
                  </w:tcBorders>
                  <w:vAlign w:val="center"/>
                </w:tcPr>
                <w:p w14:paraId="1BFC66FD">
                  <w:pPr>
                    <w:jc w:val="center"/>
                    <w:rPr>
                      <w:rFonts w:hint="default"/>
                      <w:color w:val="auto"/>
                      <w:sz w:val="21"/>
                      <w:szCs w:val="21"/>
                      <w:lang w:val="en-US" w:eastAsia="zh-CN"/>
                    </w:rPr>
                  </w:pPr>
                  <w:r>
                    <w:rPr>
                      <w:rFonts w:hint="eastAsia"/>
                      <w:color w:val="auto"/>
                      <w:sz w:val="21"/>
                      <w:szCs w:val="21"/>
                      <w:lang w:val="en-US" w:eastAsia="zh-CN"/>
                    </w:rPr>
                    <w:t>0.08</w:t>
                  </w:r>
                </w:p>
              </w:tc>
              <w:tc>
                <w:tcPr>
                  <w:tcW w:w="1137" w:type="dxa"/>
                  <w:tcBorders>
                    <w:tl2br w:val="nil"/>
                    <w:tr2bl w:val="nil"/>
                  </w:tcBorders>
                  <w:vAlign w:val="center"/>
                </w:tcPr>
                <w:p w14:paraId="6C5BE682">
                  <w:pPr>
                    <w:jc w:val="center"/>
                    <w:rPr>
                      <w:rFonts w:hint="default"/>
                      <w:color w:val="auto"/>
                      <w:sz w:val="21"/>
                      <w:szCs w:val="21"/>
                      <w:lang w:val="en-US" w:eastAsia="zh-CN"/>
                    </w:rPr>
                  </w:pPr>
                  <w:r>
                    <w:rPr>
                      <w:rFonts w:hint="eastAsia"/>
                      <w:color w:val="auto"/>
                      <w:sz w:val="21"/>
                      <w:szCs w:val="21"/>
                      <w:lang w:val="en-US" w:eastAsia="zh-CN"/>
                    </w:rPr>
                    <w:t>未检出</w:t>
                  </w:r>
                </w:p>
              </w:tc>
              <w:tc>
                <w:tcPr>
                  <w:tcW w:w="1598" w:type="dxa"/>
                  <w:tcBorders>
                    <w:tl2br w:val="nil"/>
                    <w:tr2bl w:val="nil"/>
                  </w:tcBorders>
                  <w:vAlign w:val="center"/>
                </w:tcPr>
                <w:p w14:paraId="1A3A66C4">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39E3F2D3">
                  <w:pPr>
                    <w:jc w:val="center"/>
                    <w:rPr>
                      <w:rFonts w:hint="default"/>
                      <w:color w:val="auto"/>
                      <w:sz w:val="21"/>
                      <w:szCs w:val="21"/>
                      <w:lang w:val="en-US" w:eastAsia="zh-CN"/>
                    </w:rPr>
                  </w:pPr>
                  <w:r>
                    <w:rPr>
                      <w:rFonts w:hint="eastAsia"/>
                      <w:color w:val="auto"/>
                      <w:sz w:val="21"/>
                      <w:szCs w:val="21"/>
                      <w:lang w:val="en-US" w:eastAsia="zh-CN"/>
                    </w:rPr>
                    <w:t>100</w:t>
                  </w:r>
                </w:p>
              </w:tc>
            </w:tr>
            <w:tr w14:paraId="50F419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639" w:type="dxa"/>
                  <w:vMerge w:val="continue"/>
                  <w:tcBorders>
                    <w:tl2br w:val="nil"/>
                    <w:tr2bl w:val="nil"/>
                  </w:tcBorders>
                  <w:vAlign w:val="center"/>
                </w:tcPr>
                <w:p w14:paraId="62D76284">
                  <w:pPr>
                    <w:jc w:val="center"/>
                    <w:rPr>
                      <w:rFonts w:hint="eastAsia"/>
                      <w:color w:val="auto"/>
                      <w:sz w:val="21"/>
                      <w:szCs w:val="21"/>
                      <w:lang w:val="en-US" w:eastAsia="zh-CN"/>
                    </w:rPr>
                  </w:pPr>
                </w:p>
              </w:tc>
              <w:tc>
                <w:tcPr>
                  <w:tcW w:w="1113" w:type="dxa"/>
                  <w:vMerge w:val="continue"/>
                  <w:tcBorders>
                    <w:tl2br w:val="nil"/>
                    <w:tr2bl w:val="nil"/>
                  </w:tcBorders>
                  <w:vAlign w:val="center"/>
                </w:tcPr>
                <w:p w14:paraId="22013009">
                  <w:pPr>
                    <w:jc w:val="center"/>
                    <w:rPr>
                      <w:rFonts w:hint="default"/>
                      <w:color w:val="auto"/>
                      <w:sz w:val="21"/>
                      <w:szCs w:val="21"/>
                      <w:lang w:val="en-US" w:eastAsia="zh-CN"/>
                    </w:rPr>
                  </w:pPr>
                </w:p>
              </w:tc>
              <w:tc>
                <w:tcPr>
                  <w:tcW w:w="1138" w:type="dxa"/>
                  <w:tcBorders>
                    <w:tl2br w:val="nil"/>
                    <w:tr2bl w:val="nil"/>
                  </w:tcBorders>
                  <w:vAlign w:val="center"/>
                </w:tcPr>
                <w:p w14:paraId="19B833F2">
                  <w:pPr>
                    <w:jc w:val="center"/>
                    <w:rPr>
                      <w:rFonts w:hint="default"/>
                      <w:color w:val="auto"/>
                      <w:sz w:val="21"/>
                      <w:szCs w:val="21"/>
                      <w:lang w:val="en-US" w:eastAsia="zh-CN"/>
                    </w:rPr>
                  </w:pPr>
                  <w:r>
                    <w:rPr>
                      <w:rFonts w:hint="eastAsia"/>
                      <w:color w:val="auto"/>
                      <w:sz w:val="21"/>
                      <w:szCs w:val="21"/>
                      <w:lang w:val="en-US" w:eastAsia="zh-CN"/>
                    </w:rPr>
                    <w:t>总铬</w:t>
                  </w:r>
                </w:p>
              </w:tc>
              <w:tc>
                <w:tcPr>
                  <w:tcW w:w="992" w:type="dxa"/>
                  <w:tcBorders>
                    <w:tl2br w:val="nil"/>
                    <w:tr2bl w:val="nil"/>
                  </w:tcBorders>
                  <w:vAlign w:val="center"/>
                </w:tcPr>
                <w:p w14:paraId="405780CF">
                  <w:pPr>
                    <w:jc w:val="center"/>
                    <w:rPr>
                      <w:rFonts w:hint="default"/>
                      <w:color w:val="auto"/>
                      <w:sz w:val="21"/>
                      <w:szCs w:val="21"/>
                      <w:lang w:val="en-US" w:eastAsia="zh-CN"/>
                    </w:rPr>
                  </w:pPr>
                  <w:r>
                    <w:rPr>
                      <w:rFonts w:hint="eastAsia"/>
                      <w:color w:val="auto"/>
                      <w:sz w:val="21"/>
                      <w:szCs w:val="21"/>
                      <w:lang w:val="en-US" w:eastAsia="zh-CN"/>
                    </w:rPr>
                    <w:t>未检出</w:t>
                  </w:r>
                </w:p>
              </w:tc>
              <w:tc>
                <w:tcPr>
                  <w:tcW w:w="1137" w:type="dxa"/>
                  <w:tcBorders>
                    <w:tl2br w:val="nil"/>
                    <w:tr2bl w:val="nil"/>
                  </w:tcBorders>
                  <w:vAlign w:val="center"/>
                </w:tcPr>
                <w:p w14:paraId="40B8F7F1">
                  <w:pPr>
                    <w:jc w:val="center"/>
                    <w:rPr>
                      <w:rFonts w:hint="default"/>
                      <w:color w:val="auto"/>
                      <w:sz w:val="21"/>
                      <w:szCs w:val="21"/>
                      <w:lang w:val="en-US" w:eastAsia="zh-CN"/>
                    </w:rPr>
                  </w:pPr>
                  <w:r>
                    <w:rPr>
                      <w:rFonts w:hint="eastAsia"/>
                      <w:color w:val="auto"/>
                      <w:sz w:val="21"/>
                      <w:szCs w:val="21"/>
                      <w:lang w:val="en-US" w:eastAsia="zh-CN"/>
                    </w:rPr>
                    <w:t>未检出</w:t>
                  </w:r>
                </w:p>
              </w:tc>
              <w:tc>
                <w:tcPr>
                  <w:tcW w:w="1598" w:type="dxa"/>
                  <w:tcBorders>
                    <w:tl2br w:val="nil"/>
                    <w:tr2bl w:val="nil"/>
                  </w:tcBorders>
                  <w:vAlign w:val="center"/>
                </w:tcPr>
                <w:p w14:paraId="050DE5B1">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59AC9A68">
                  <w:pPr>
                    <w:jc w:val="center"/>
                    <w:rPr>
                      <w:rFonts w:hint="default"/>
                      <w:color w:val="auto"/>
                      <w:sz w:val="21"/>
                      <w:szCs w:val="21"/>
                      <w:lang w:val="en-US" w:eastAsia="zh-CN"/>
                    </w:rPr>
                  </w:pPr>
                  <w:r>
                    <w:rPr>
                      <w:rFonts w:hint="eastAsia"/>
                      <w:color w:val="auto"/>
                      <w:sz w:val="21"/>
                      <w:szCs w:val="21"/>
                      <w:lang w:val="en-US" w:eastAsia="zh-CN"/>
                    </w:rPr>
                    <w:t>15</w:t>
                  </w:r>
                </w:p>
              </w:tc>
            </w:tr>
            <w:tr w14:paraId="1ABB99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639" w:type="dxa"/>
                  <w:vMerge w:val="continue"/>
                  <w:tcBorders>
                    <w:tl2br w:val="nil"/>
                    <w:tr2bl w:val="nil"/>
                  </w:tcBorders>
                  <w:vAlign w:val="center"/>
                </w:tcPr>
                <w:p w14:paraId="1346F415">
                  <w:pPr>
                    <w:jc w:val="center"/>
                    <w:rPr>
                      <w:rFonts w:hint="eastAsia"/>
                      <w:color w:val="auto"/>
                      <w:sz w:val="21"/>
                      <w:szCs w:val="21"/>
                      <w:lang w:val="en-US" w:eastAsia="zh-CN"/>
                    </w:rPr>
                  </w:pPr>
                </w:p>
              </w:tc>
              <w:tc>
                <w:tcPr>
                  <w:tcW w:w="1113" w:type="dxa"/>
                  <w:vMerge w:val="continue"/>
                  <w:tcBorders>
                    <w:tl2br w:val="nil"/>
                    <w:tr2bl w:val="nil"/>
                  </w:tcBorders>
                  <w:vAlign w:val="center"/>
                </w:tcPr>
                <w:p w14:paraId="372A664C">
                  <w:pPr>
                    <w:jc w:val="center"/>
                    <w:rPr>
                      <w:rFonts w:hint="default"/>
                      <w:color w:val="auto"/>
                      <w:sz w:val="21"/>
                      <w:szCs w:val="21"/>
                      <w:lang w:val="en-US" w:eastAsia="zh-CN"/>
                    </w:rPr>
                  </w:pPr>
                </w:p>
              </w:tc>
              <w:tc>
                <w:tcPr>
                  <w:tcW w:w="1138" w:type="dxa"/>
                  <w:tcBorders>
                    <w:tl2br w:val="nil"/>
                    <w:tr2bl w:val="nil"/>
                  </w:tcBorders>
                  <w:vAlign w:val="center"/>
                </w:tcPr>
                <w:p w14:paraId="6C9E47CF">
                  <w:pPr>
                    <w:jc w:val="center"/>
                    <w:rPr>
                      <w:rFonts w:hint="default"/>
                      <w:color w:val="auto"/>
                      <w:sz w:val="21"/>
                      <w:szCs w:val="21"/>
                      <w:lang w:val="en-US" w:eastAsia="zh-CN"/>
                    </w:rPr>
                  </w:pPr>
                  <w:r>
                    <w:rPr>
                      <w:rFonts w:hint="eastAsia"/>
                      <w:color w:val="auto"/>
                      <w:sz w:val="21"/>
                      <w:szCs w:val="21"/>
                      <w:lang w:val="en-US" w:eastAsia="zh-CN"/>
                    </w:rPr>
                    <w:t>总镍</w:t>
                  </w:r>
                </w:p>
              </w:tc>
              <w:tc>
                <w:tcPr>
                  <w:tcW w:w="992" w:type="dxa"/>
                  <w:tcBorders>
                    <w:tl2br w:val="nil"/>
                    <w:tr2bl w:val="nil"/>
                  </w:tcBorders>
                  <w:vAlign w:val="center"/>
                </w:tcPr>
                <w:p w14:paraId="37076BE2">
                  <w:pPr>
                    <w:jc w:val="center"/>
                    <w:rPr>
                      <w:rFonts w:hint="default"/>
                      <w:color w:val="auto"/>
                      <w:sz w:val="21"/>
                      <w:szCs w:val="21"/>
                      <w:lang w:val="en-US" w:eastAsia="zh-CN"/>
                    </w:rPr>
                  </w:pPr>
                  <w:r>
                    <w:rPr>
                      <w:rFonts w:hint="eastAsia"/>
                      <w:color w:val="auto"/>
                      <w:sz w:val="21"/>
                      <w:szCs w:val="21"/>
                      <w:lang w:val="en-US" w:eastAsia="zh-CN"/>
                    </w:rPr>
                    <w:t>未检出</w:t>
                  </w:r>
                </w:p>
              </w:tc>
              <w:tc>
                <w:tcPr>
                  <w:tcW w:w="1137" w:type="dxa"/>
                  <w:tcBorders>
                    <w:tl2br w:val="nil"/>
                    <w:tr2bl w:val="nil"/>
                  </w:tcBorders>
                  <w:vAlign w:val="center"/>
                </w:tcPr>
                <w:p w14:paraId="2C2F9E23">
                  <w:pPr>
                    <w:jc w:val="center"/>
                    <w:rPr>
                      <w:rFonts w:hint="default"/>
                      <w:color w:val="auto"/>
                      <w:sz w:val="21"/>
                      <w:szCs w:val="21"/>
                      <w:lang w:val="en-US" w:eastAsia="zh-CN"/>
                    </w:rPr>
                  </w:pPr>
                  <w:r>
                    <w:rPr>
                      <w:rFonts w:hint="eastAsia"/>
                      <w:color w:val="auto"/>
                      <w:sz w:val="21"/>
                      <w:szCs w:val="21"/>
                      <w:lang w:val="en-US" w:eastAsia="zh-CN"/>
                    </w:rPr>
                    <w:t>未检出</w:t>
                  </w:r>
                </w:p>
              </w:tc>
              <w:tc>
                <w:tcPr>
                  <w:tcW w:w="1598" w:type="dxa"/>
                  <w:tcBorders>
                    <w:tl2br w:val="nil"/>
                    <w:tr2bl w:val="nil"/>
                  </w:tcBorders>
                  <w:vAlign w:val="center"/>
                </w:tcPr>
                <w:p w14:paraId="660EDAF8">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181E6CD7">
                  <w:pPr>
                    <w:jc w:val="center"/>
                    <w:rPr>
                      <w:rFonts w:hint="default"/>
                      <w:color w:val="auto"/>
                      <w:sz w:val="21"/>
                      <w:szCs w:val="21"/>
                      <w:lang w:val="en-US" w:eastAsia="zh-CN"/>
                    </w:rPr>
                  </w:pPr>
                  <w:r>
                    <w:rPr>
                      <w:rFonts w:hint="eastAsia"/>
                      <w:color w:val="auto"/>
                      <w:sz w:val="21"/>
                      <w:szCs w:val="21"/>
                      <w:lang w:val="en-US" w:eastAsia="zh-CN"/>
                    </w:rPr>
                    <w:t>5</w:t>
                  </w:r>
                </w:p>
              </w:tc>
            </w:tr>
            <w:tr w14:paraId="18760C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639" w:type="dxa"/>
                  <w:vMerge w:val="continue"/>
                  <w:tcBorders>
                    <w:tl2br w:val="nil"/>
                    <w:tr2bl w:val="nil"/>
                  </w:tcBorders>
                  <w:vAlign w:val="center"/>
                </w:tcPr>
                <w:p w14:paraId="40FD8023">
                  <w:pPr>
                    <w:jc w:val="center"/>
                    <w:rPr>
                      <w:rFonts w:hint="eastAsia"/>
                      <w:color w:val="auto"/>
                      <w:sz w:val="21"/>
                      <w:szCs w:val="21"/>
                      <w:lang w:val="en-US" w:eastAsia="zh-CN"/>
                    </w:rPr>
                  </w:pPr>
                </w:p>
              </w:tc>
              <w:tc>
                <w:tcPr>
                  <w:tcW w:w="1113" w:type="dxa"/>
                  <w:vMerge w:val="continue"/>
                  <w:tcBorders>
                    <w:tl2br w:val="nil"/>
                    <w:tr2bl w:val="nil"/>
                  </w:tcBorders>
                  <w:vAlign w:val="center"/>
                </w:tcPr>
                <w:p w14:paraId="02CF8505">
                  <w:pPr>
                    <w:jc w:val="center"/>
                    <w:rPr>
                      <w:rFonts w:hint="default"/>
                      <w:color w:val="auto"/>
                      <w:sz w:val="21"/>
                      <w:szCs w:val="21"/>
                      <w:lang w:val="en-US" w:eastAsia="zh-CN"/>
                    </w:rPr>
                  </w:pPr>
                </w:p>
              </w:tc>
              <w:tc>
                <w:tcPr>
                  <w:tcW w:w="1138" w:type="dxa"/>
                  <w:tcBorders>
                    <w:tl2br w:val="nil"/>
                    <w:tr2bl w:val="nil"/>
                  </w:tcBorders>
                  <w:vAlign w:val="center"/>
                </w:tcPr>
                <w:p w14:paraId="48BB5E59">
                  <w:pPr>
                    <w:jc w:val="center"/>
                    <w:rPr>
                      <w:rFonts w:hint="default"/>
                      <w:color w:val="auto"/>
                      <w:sz w:val="21"/>
                      <w:szCs w:val="21"/>
                      <w:lang w:val="en-US" w:eastAsia="zh-CN"/>
                    </w:rPr>
                  </w:pPr>
                  <w:r>
                    <w:rPr>
                      <w:rFonts w:hint="eastAsia"/>
                      <w:color w:val="auto"/>
                      <w:sz w:val="21"/>
                      <w:szCs w:val="21"/>
                      <w:lang w:val="en-US" w:eastAsia="zh-CN"/>
                    </w:rPr>
                    <w:t>氟化物</w:t>
                  </w:r>
                </w:p>
              </w:tc>
              <w:tc>
                <w:tcPr>
                  <w:tcW w:w="992" w:type="dxa"/>
                  <w:tcBorders>
                    <w:tl2br w:val="nil"/>
                    <w:tr2bl w:val="nil"/>
                  </w:tcBorders>
                  <w:vAlign w:val="center"/>
                </w:tcPr>
                <w:p w14:paraId="260004EC">
                  <w:pPr>
                    <w:jc w:val="center"/>
                    <w:rPr>
                      <w:rFonts w:hint="default"/>
                      <w:color w:val="auto"/>
                      <w:sz w:val="21"/>
                      <w:szCs w:val="21"/>
                      <w:lang w:val="en-US" w:eastAsia="zh-CN"/>
                    </w:rPr>
                  </w:pPr>
                  <w:r>
                    <w:rPr>
                      <w:rFonts w:hint="eastAsia"/>
                      <w:color w:val="auto"/>
                      <w:sz w:val="21"/>
                      <w:szCs w:val="21"/>
                      <w:lang w:val="en-US" w:eastAsia="zh-CN"/>
                    </w:rPr>
                    <w:t>1.36</w:t>
                  </w:r>
                </w:p>
              </w:tc>
              <w:tc>
                <w:tcPr>
                  <w:tcW w:w="1137" w:type="dxa"/>
                  <w:tcBorders>
                    <w:tl2br w:val="nil"/>
                    <w:tr2bl w:val="nil"/>
                  </w:tcBorders>
                  <w:vAlign w:val="center"/>
                </w:tcPr>
                <w:p w14:paraId="3A5FE68A">
                  <w:pPr>
                    <w:jc w:val="center"/>
                    <w:rPr>
                      <w:rFonts w:hint="default"/>
                      <w:color w:val="auto"/>
                      <w:sz w:val="21"/>
                      <w:szCs w:val="21"/>
                      <w:lang w:val="en-US" w:eastAsia="zh-CN"/>
                    </w:rPr>
                  </w:pPr>
                  <w:r>
                    <w:rPr>
                      <w:rFonts w:hint="eastAsia"/>
                      <w:color w:val="auto"/>
                      <w:sz w:val="21"/>
                      <w:szCs w:val="21"/>
                      <w:lang w:val="en-US" w:eastAsia="zh-CN"/>
                    </w:rPr>
                    <w:t>1.05</w:t>
                  </w:r>
                </w:p>
              </w:tc>
              <w:tc>
                <w:tcPr>
                  <w:tcW w:w="1598" w:type="dxa"/>
                  <w:tcBorders>
                    <w:tl2br w:val="nil"/>
                    <w:tr2bl w:val="nil"/>
                  </w:tcBorders>
                  <w:vAlign w:val="center"/>
                </w:tcPr>
                <w:p w14:paraId="1FAAC79B">
                  <w:pPr>
                    <w:jc w:val="center"/>
                    <w:rPr>
                      <w:rFonts w:hint="eastAsia"/>
                      <w:color w:val="auto"/>
                      <w:sz w:val="21"/>
                      <w:szCs w:val="21"/>
                      <w:lang w:val="en-US" w:eastAsia="zh-CN"/>
                    </w:rPr>
                  </w:pPr>
                  <w:r>
                    <w:rPr>
                      <w:rFonts w:hint="eastAsia"/>
                      <w:color w:val="auto"/>
                      <w:sz w:val="21"/>
                      <w:szCs w:val="21"/>
                      <w:lang w:val="en-US" w:eastAsia="zh-CN"/>
                    </w:rPr>
                    <w:t>—</w:t>
                  </w:r>
                </w:p>
              </w:tc>
              <w:tc>
                <w:tcPr>
                  <w:tcW w:w="1657" w:type="dxa"/>
                  <w:tcBorders>
                    <w:tl2br w:val="nil"/>
                    <w:tr2bl w:val="nil"/>
                  </w:tcBorders>
                  <w:vAlign w:val="center"/>
                </w:tcPr>
                <w:p w14:paraId="4FF3B1C3">
                  <w:pPr>
                    <w:jc w:val="center"/>
                    <w:rPr>
                      <w:rFonts w:hint="default"/>
                      <w:color w:val="auto"/>
                      <w:sz w:val="21"/>
                      <w:szCs w:val="21"/>
                      <w:lang w:val="en-US" w:eastAsia="zh-CN"/>
                    </w:rPr>
                  </w:pPr>
                  <w:r>
                    <w:rPr>
                      <w:rFonts w:hint="eastAsia"/>
                      <w:color w:val="auto"/>
                      <w:sz w:val="21"/>
                      <w:szCs w:val="21"/>
                      <w:lang w:val="en-US" w:eastAsia="zh-CN"/>
                    </w:rPr>
                    <w:t>100</w:t>
                  </w:r>
                </w:p>
              </w:tc>
            </w:tr>
          </w:tbl>
          <w:p w14:paraId="66157A9F">
            <w:pPr>
              <w:spacing w:before="120" w:beforeLines="50" w:line="360" w:lineRule="auto"/>
              <w:ind w:firstLine="480" w:firstLineChars="200"/>
              <w:contextualSpacing/>
              <w:rPr>
                <w:rFonts w:hint="default"/>
                <w:bCs/>
                <w:sz w:val="24"/>
                <w:lang w:val="en-US" w:eastAsia="zh-CN"/>
              </w:rPr>
            </w:pPr>
            <w:r>
              <w:rPr>
                <w:rFonts w:hint="eastAsia"/>
                <w:bCs/>
                <w:sz w:val="24"/>
                <w:lang w:val="en-US" w:eastAsia="zh-CN"/>
              </w:rPr>
              <w:t>对照《危险废物鉴别标准  腐蚀性鉴别》（GB5085.1-2007）、《危险废物</w:t>
            </w:r>
          </w:p>
          <w:p w14:paraId="7A5220C8">
            <w:pPr>
              <w:spacing w:before="120" w:beforeLines="50" w:line="360" w:lineRule="auto"/>
              <w:contextualSpacing/>
              <w:rPr>
                <w:rFonts w:hint="default"/>
                <w:b/>
                <w:sz w:val="24"/>
                <w:lang w:val="en-US" w:eastAsia="zh-CN"/>
              </w:rPr>
            </w:pPr>
            <w:r>
              <w:rPr>
                <w:rFonts w:hint="eastAsia"/>
                <w:bCs/>
                <w:sz w:val="24"/>
                <w:lang w:val="en-US" w:eastAsia="zh-CN"/>
              </w:rPr>
              <w:t>鉴别标准 浸出毒性鉴别》（GB5085.3-2007），项目尾砂不属于危险废物，属于第</w:t>
            </w:r>
            <w:r>
              <w:rPr>
                <w:rFonts w:hint="default" w:ascii="Times New Roman" w:hAnsi="Times New Roman" w:eastAsia="宋体" w:cs="Times New Roman"/>
                <w:bCs/>
                <w:sz w:val="24"/>
                <w:lang w:val="en-US" w:eastAsia="zh-CN"/>
              </w:rPr>
              <w:t>Ι</w:t>
            </w:r>
            <w:r>
              <w:rPr>
                <w:rFonts w:hint="eastAsia" w:ascii="Times New Roman" w:hAnsi="Times New Roman" w:eastAsia="宋体" w:cs="Times New Roman"/>
                <w:bCs/>
                <w:sz w:val="24"/>
                <w:lang w:val="en-US" w:eastAsia="zh-CN"/>
              </w:rPr>
              <w:t>类一般工业固体废物。</w:t>
            </w:r>
          </w:p>
          <w:p w14:paraId="7ABB9CA5">
            <w:pPr>
              <w:spacing w:before="120" w:beforeLines="50" w:line="360" w:lineRule="auto"/>
              <w:ind w:left="481" w:leftChars="229" w:firstLine="0" w:firstLineChars="0"/>
              <w:contextualSpacing/>
              <w:rPr>
                <w:rFonts w:hint="eastAsia"/>
                <w:b w:val="0"/>
                <w:bCs/>
                <w:sz w:val="24"/>
                <w:lang w:val="en-US" w:eastAsia="zh-CN"/>
              </w:rPr>
            </w:pPr>
            <w:r>
              <w:rPr>
                <w:rFonts w:hint="eastAsia"/>
                <w:b w:val="0"/>
                <w:bCs/>
                <w:sz w:val="24"/>
                <w:lang w:val="en-US" w:eastAsia="zh-CN"/>
              </w:rPr>
              <w:t>（2）聚丙烯酰胺理化性质：</w:t>
            </w:r>
          </w:p>
          <w:p w14:paraId="2925C783">
            <w:pPr>
              <w:spacing w:before="120" w:beforeLines="50" w:line="360" w:lineRule="auto"/>
              <w:ind w:firstLine="480" w:firstLineChars="200"/>
              <w:contextualSpacing/>
              <w:rPr>
                <w:rFonts w:hint="default" w:ascii="Times New Roman" w:hAnsi="Times New Roman" w:eastAsia="宋体" w:cs="Times New Roman"/>
                <w:bCs/>
                <w:kern w:val="2"/>
                <w:sz w:val="24"/>
                <w:szCs w:val="24"/>
                <w:vertAlign w:val="baseline"/>
                <w:lang w:val="en-US" w:eastAsia="zh-CN" w:bidi="ar-SA"/>
              </w:rPr>
            </w:pPr>
            <w:r>
              <w:rPr>
                <w:rFonts w:hint="eastAsia" w:ascii="Times New Roman" w:hAnsi="Times New Roman" w:eastAsia="宋体" w:cs="Times New Roman"/>
                <w:bCs/>
                <w:kern w:val="2"/>
                <w:sz w:val="24"/>
                <w:szCs w:val="24"/>
                <w:lang w:val="en-US" w:eastAsia="zh-CN" w:bidi="ar-SA"/>
              </w:rPr>
              <w:t>聚丙烯酰胺</w:t>
            </w:r>
            <w:r>
              <w:rPr>
                <w:rFonts w:hint="eastAsia" w:cs="Times New Roman"/>
                <w:bCs/>
                <w:kern w:val="2"/>
                <w:sz w:val="24"/>
                <w:szCs w:val="24"/>
                <w:lang w:val="en-US" w:eastAsia="zh-CN" w:bidi="ar-SA"/>
              </w:rPr>
              <w:t>简称</w:t>
            </w:r>
            <w:r>
              <w:rPr>
                <w:rFonts w:hint="eastAsia" w:ascii="Times New Roman" w:hAnsi="Times New Roman" w:eastAsia="宋体" w:cs="Times New Roman"/>
                <w:bCs/>
                <w:kern w:val="2"/>
                <w:sz w:val="24"/>
                <w:szCs w:val="24"/>
                <w:lang w:val="en-US" w:eastAsia="zh-CN" w:bidi="ar-SA"/>
              </w:rPr>
              <w:t>PAM</w:t>
            </w:r>
            <w:r>
              <w:rPr>
                <w:rFonts w:hint="eastAsia"/>
                <w:lang w:val="en-US" w:eastAsia="zh-CN"/>
              </w:rPr>
              <w:t>，</w:t>
            </w:r>
            <w:r>
              <w:rPr>
                <w:rFonts w:hint="eastAsia" w:ascii="Times New Roman" w:hAnsi="Times New Roman" w:eastAsia="宋体" w:cs="Times New Roman"/>
                <w:bCs/>
                <w:kern w:val="2"/>
                <w:sz w:val="24"/>
                <w:szCs w:val="24"/>
                <w:lang w:val="en-US" w:eastAsia="zh-CN" w:bidi="ar-SA"/>
              </w:rPr>
              <w:t>外观为白色黄为黄色粉末，其粒径小于4mm，密度</w:t>
            </w:r>
            <w:r>
              <w:rPr>
                <w:rFonts w:hint="eastAsia" w:cs="Times New Roman"/>
                <w:bCs/>
                <w:kern w:val="2"/>
                <w:sz w:val="24"/>
                <w:szCs w:val="24"/>
                <w:lang w:val="en-US" w:eastAsia="zh-CN" w:bidi="ar-SA"/>
              </w:rPr>
              <w:t>为1.320g/cm</w:t>
            </w:r>
            <w:r>
              <w:rPr>
                <w:rFonts w:hint="eastAsia" w:cs="Times New Roman"/>
                <w:bCs/>
                <w:kern w:val="2"/>
                <w:sz w:val="24"/>
                <w:szCs w:val="24"/>
                <w:vertAlign w:val="superscript"/>
                <w:lang w:val="en-US" w:eastAsia="zh-CN" w:bidi="ar-SA"/>
              </w:rPr>
              <w:t>3</w:t>
            </w:r>
            <w:r>
              <w:rPr>
                <w:rFonts w:hint="eastAsia" w:cs="Times New Roman"/>
                <w:bCs/>
                <w:kern w:val="2"/>
                <w:sz w:val="24"/>
                <w:szCs w:val="24"/>
                <w:vertAlign w:val="baseline"/>
                <w:lang w:val="en-US" w:eastAsia="zh-CN" w:bidi="ar-SA"/>
              </w:rPr>
              <w:t>，是一种先型高分子聚合物，是水溶性高分子化合物中应用量为广泛的品种之一，</w:t>
            </w:r>
            <w:r>
              <w:rPr>
                <w:rFonts w:hint="eastAsia" w:ascii="Times New Roman" w:hAnsi="Times New Roman" w:eastAsia="宋体" w:cs="Times New Roman"/>
                <w:bCs/>
                <w:kern w:val="2"/>
                <w:sz w:val="24"/>
                <w:szCs w:val="24"/>
                <w:lang w:val="en-US" w:eastAsia="zh-CN" w:bidi="ar-SA"/>
              </w:rPr>
              <w:t>聚丙烯酰胺</w:t>
            </w:r>
            <w:r>
              <w:rPr>
                <w:rFonts w:hint="eastAsia" w:cs="Times New Roman"/>
                <w:bCs/>
                <w:kern w:val="2"/>
                <w:sz w:val="24"/>
                <w:szCs w:val="24"/>
                <w:lang w:val="en-US" w:eastAsia="zh-CN" w:bidi="ar-SA"/>
              </w:rPr>
              <w:t>和其他生物可以用作有效絮凝剂，增稠剂，纸张增强剂，液体的减阻剂等，广泛应用于水处理，造纸，石油，煤炭，矿冶，地质，轻纺，建筑等工作部门。</w:t>
            </w:r>
          </w:p>
          <w:p w14:paraId="686F6F39">
            <w:pPr>
              <w:numPr>
                <w:ilvl w:val="0"/>
                <w:numId w:val="0"/>
              </w:numPr>
              <w:spacing w:before="120" w:beforeLines="50" w:line="360" w:lineRule="auto"/>
              <w:ind w:leftChars="0"/>
              <w:contextualSpacing/>
              <w:rPr>
                <w:rFonts w:hint="eastAsia" w:eastAsiaTheme="minorEastAsia"/>
              </w:rPr>
            </w:pPr>
            <w:r>
              <w:rPr>
                <w:rFonts w:hint="eastAsia"/>
                <w:b/>
                <w:bCs w:val="0"/>
                <w:sz w:val="24"/>
                <w:lang w:val="en-US" w:eastAsia="zh-CN"/>
              </w:rPr>
              <w:t>3.给排水系统</w:t>
            </w:r>
            <w:r>
              <w:rPr>
                <w:rFonts w:hint="eastAsia"/>
                <w:b/>
                <w:bCs w:val="0"/>
                <w:sz w:val="24"/>
                <w:lang w:val="en-US" w:eastAsia="zh-CN"/>
              </w:rPr>
              <w:br w:type="textWrapping"/>
            </w:r>
            <w:r>
              <w:rPr>
                <w:rFonts w:hint="eastAsia"/>
                <w:b/>
                <w:bCs w:val="0"/>
                <w:sz w:val="24"/>
                <w:lang w:val="en-US" w:eastAsia="zh-CN"/>
              </w:rPr>
              <w:t xml:space="preserve">   </w:t>
            </w:r>
            <w:r>
              <w:rPr>
                <w:rFonts w:hint="eastAsia"/>
                <w:b w:val="0"/>
                <w:bCs/>
                <w:sz w:val="24"/>
                <w:lang w:val="en-US" w:eastAsia="zh-CN"/>
              </w:rPr>
              <w:t>（1）给水</w:t>
            </w:r>
            <w:r>
              <w:rPr>
                <w:rFonts w:hint="eastAsia"/>
                <w:b w:val="0"/>
                <w:bCs/>
                <w:sz w:val="24"/>
                <w:lang w:val="en-US" w:eastAsia="zh-CN"/>
              </w:rPr>
              <w:br w:type="textWrapping"/>
            </w:r>
            <w:r>
              <w:rPr>
                <w:rFonts w:hint="eastAsia"/>
                <w:b w:val="0"/>
                <w:bCs/>
                <w:sz w:val="24"/>
                <w:lang w:val="en-US" w:eastAsia="zh-CN"/>
              </w:rPr>
              <w:t xml:space="preserve">   </w:t>
            </w:r>
            <w:r>
              <w:rPr>
                <w:rFonts w:hint="eastAsia"/>
                <w:b w:val="0"/>
                <w:bCs/>
                <w:color w:val="auto"/>
                <w:sz w:val="24"/>
                <w:lang w:val="en-US" w:eastAsia="zh-CN"/>
              </w:rPr>
              <w:t xml:space="preserve"> 本项目用水主要为职工生活用水、管道冲洗用水、浓密机溢流水和絮凝剂稀释水等。</w:t>
            </w:r>
            <w:r>
              <w:rPr>
                <w:rFonts w:hint="eastAsia"/>
                <w:b w:val="0"/>
                <w:bCs/>
                <w:color w:val="auto"/>
                <w:sz w:val="24"/>
                <w:u w:val="single"/>
                <w:lang w:val="en-US" w:eastAsia="zh-CN"/>
              </w:rPr>
              <w:t>项目在充填站新设一个高位水池，用于项目区生活用水和絮凝剂稀释用水，新鲜水量为59.25</w:t>
            </w:r>
            <w:r>
              <w:rPr>
                <w:rFonts w:hint="default" w:ascii="Times New Roman" w:hAnsi="Times New Roman" w:cs="Times New Roman"/>
                <w:color w:val="auto"/>
                <w:sz w:val="24"/>
                <w:szCs w:val="24"/>
                <w:u w:val="single"/>
              </w:rPr>
              <w:t>m³/d</w:t>
            </w:r>
            <w:r>
              <w:rPr>
                <w:rFonts w:hint="eastAsia" w:cs="Times New Roman"/>
                <w:color w:val="auto"/>
                <w:sz w:val="24"/>
                <w:szCs w:val="24"/>
                <w:lang w:eastAsia="zh-CN"/>
              </w:rPr>
              <w:t>。</w:t>
            </w:r>
            <w:r>
              <w:rPr>
                <w:rFonts w:hint="eastAsia" w:cs="Times New Roman"/>
                <w:color w:val="auto"/>
                <w:sz w:val="24"/>
                <w:szCs w:val="24"/>
                <w:u w:val="single"/>
                <w:lang w:val="en-US" w:eastAsia="zh-CN"/>
              </w:rPr>
              <w:t>选厂</w:t>
            </w:r>
            <w:r>
              <w:rPr>
                <w:rFonts w:hint="eastAsia"/>
                <w:b w:val="0"/>
                <w:bCs/>
                <w:color w:val="auto"/>
                <w:sz w:val="24"/>
                <w:u w:val="single"/>
                <w:lang w:val="en-US" w:eastAsia="zh-CN"/>
              </w:rPr>
              <w:t>浓密机溢流回水量为41.61</w:t>
            </w:r>
            <w:r>
              <w:rPr>
                <w:rFonts w:hint="default" w:ascii="Times New Roman" w:hAnsi="Times New Roman" w:cs="Times New Roman"/>
                <w:b w:val="0"/>
                <w:bCs/>
                <w:color w:val="auto"/>
                <w:sz w:val="24"/>
                <w:u w:val="single"/>
                <w:lang w:val="en-US" w:eastAsia="zh-CN"/>
              </w:rPr>
              <w:t>m³/d，</w:t>
            </w:r>
            <w:r>
              <w:rPr>
                <w:rFonts w:hint="default"/>
                <w:b w:val="0"/>
                <w:bCs/>
                <w:sz w:val="24"/>
                <w:u w:val="single"/>
                <w:lang w:val="en-US" w:eastAsia="zh-CN"/>
              </w:rPr>
              <w:t>溢流水经溢流水池收集后</w:t>
            </w:r>
            <w:r>
              <w:rPr>
                <w:rFonts w:hint="eastAsia"/>
                <w:b w:val="0"/>
                <w:bCs/>
                <w:sz w:val="24"/>
                <w:u w:val="single"/>
                <w:lang w:val="en-US" w:eastAsia="zh-CN"/>
              </w:rPr>
              <w:t>作为回用水回用于</w:t>
            </w:r>
            <w:r>
              <w:rPr>
                <w:rFonts w:hint="default"/>
                <w:b w:val="0"/>
                <w:bCs/>
                <w:sz w:val="24"/>
                <w:u w:val="single"/>
                <w:lang w:val="en-US" w:eastAsia="zh-CN"/>
              </w:rPr>
              <w:t>充填站生产</w:t>
            </w:r>
            <w:r>
              <w:rPr>
                <w:rFonts w:hint="eastAsia"/>
                <w:b w:val="0"/>
                <w:bCs/>
                <w:sz w:val="24"/>
                <w:lang w:val="en-US" w:eastAsia="zh-CN"/>
              </w:rPr>
              <w:t>。</w:t>
            </w:r>
            <w:r>
              <w:rPr>
                <w:rFonts w:hint="eastAsia"/>
                <w:b w:val="0"/>
                <w:bCs/>
                <w:color w:val="auto"/>
                <w:sz w:val="24"/>
                <w:lang w:val="en-US" w:eastAsia="zh-CN"/>
              </w:rPr>
              <w:t>项目总用水量为100.86</w:t>
            </w:r>
            <w:r>
              <w:rPr>
                <w:rFonts w:hint="default" w:ascii="Times New Roman" w:hAnsi="Times New Roman" w:cs="Times New Roman"/>
                <w:color w:val="auto"/>
                <w:sz w:val="24"/>
                <w:szCs w:val="24"/>
              </w:rPr>
              <w:t>m³/d</w:t>
            </w:r>
            <w:r>
              <w:rPr>
                <w:rFonts w:hint="eastAsia" w:cs="Times New Roman"/>
                <w:color w:val="auto"/>
                <w:sz w:val="24"/>
                <w:szCs w:val="24"/>
                <w:lang w:eastAsia="zh-CN"/>
              </w:rPr>
              <w:t>。</w:t>
            </w:r>
            <w:r>
              <w:rPr>
                <w:rFonts w:hint="eastAsia"/>
                <w:b w:val="0"/>
                <w:bCs/>
                <w:color w:val="auto"/>
                <w:sz w:val="24"/>
                <w:lang w:val="en-US" w:eastAsia="zh-CN"/>
              </w:rPr>
              <w:br w:type="textWrapping"/>
            </w:r>
            <w:r>
              <w:rPr>
                <w:rFonts w:hint="eastAsia"/>
                <w:b w:val="0"/>
                <w:bCs/>
                <w:sz w:val="24"/>
                <w:lang w:val="en-US" w:eastAsia="zh-CN"/>
              </w:rPr>
              <w:t xml:space="preserve">    ①生活用水</w:t>
            </w:r>
            <w:r>
              <w:rPr>
                <w:rFonts w:hint="eastAsia"/>
                <w:b w:val="0"/>
                <w:bCs/>
                <w:sz w:val="24"/>
                <w:lang w:val="en-US" w:eastAsia="zh-CN"/>
              </w:rPr>
              <w:br w:type="textWrapping"/>
            </w:r>
            <w:r>
              <w:rPr>
                <w:rFonts w:hint="eastAsia"/>
                <w:b w:val="0"/>
                <w:bCs/>
                <w:sz w:val="24"/>
                <w:lang w:val="en-US" w:eastAsia="zh-CN"/>
              </w:rPr>
              <w:t xml:space="preserve">    生活用水依托惠顿公司矿山现有系统，水源取自山间裂隙流出的地表径流水，由水管引至生活办公区高位水池。</w:t>
            </w:r>
            <w:r>
              <w:rPr>
                <w:rFonts w:hint="eastAsia"/>
                <w:b w:val="0"/>
                <w:bCs/>
                <w:sz w:val="24"/>
                <w:lang w:val="en-US" w:eastAsia="zh-CN"/>
              </w:rPr>
              <w:br w:type="textWrapping"/>
            </w:r>
            <w:r>
              <w:rPr>
                <w:rFonts w:hint="eastAsia"/>
                <w:b w:val="0"/>
                <w:bCs/>
                <w:sz w:val="24"/>
                <w:lang w:val="en-US" w:eastAsia="zh-CN"/>
              </w:rPr>
              <w:t xml:space="preserve">    项目劳动定员15人，食宿依托惠顿公司矿山的食堂和宿舍，参照《工业与城镇生活用水定额》（DB41/T385-2020），生活用水量按40L/人.d计，年工作300天，则项目生活用水量为0.6m</w:t>
            </w:r>
            <w:r>
              <w:rPr>
                <w:rFonts w:hint="eastAsia"/>
                <w:b w:val="0"/>
                <w:bCs/>
                <w:sz w:val="24"/>
                <w:vertAlign w:val="superscript"/>
                <w:lang w:val="en-US" w:eastAsia="zh-CN"/>
              </w:rPr>
              <w:t>3</w:t>
            </w:r>
            <w:r>
              <w:rPr>
                <w:rFonts w:hint="eastAsia"/>
                <w:b w:val="0"/>
                <w:bCs/>
                <w:sz w:val="24"/>
                <w:lang w:val="en-US" w:eastAsia="zh-CN"/>
              </w:rPr>
              <w:t>/d（180m</w:t>
            </w:r>
            <w:r>
              <w:rPr>
                <w:rFonts w:hint="eastAsia"/>
                <w:b w:val="0"/>
                <w:bCs/>
                <w:sz w:val="24"/>
                <w:vertAlign w:val="superscript"/>
                <w:lang w:val="en-US" w:eastAsia="zh-CN"/>
              </w:rPr>
              <w:t>3</w:t>
            </w:r>
            <w:r>
              <w:rPr>
                <w:rFonts w:hint="eastAsia"/>
                <w:b w:val="0"/>
                <w:bCs/>
                <w:sz w:val="24"/>
                <w:lang w:val="en-US" w:eastAsia="zh-CN"/>
              </w:rPr>
              <w:t>/a）。</w:t>
            </w:r>
            <w:r>
              <w:rPr>
                <w:rFonts w:hint="eastAsia"/>
                <w:b w:val="0"/>
                <w:bCs/>
                <w:sz w:val="24"/>
                <w:lang w:val="en-US" w:eastAsia="zh-CN"/>
              </w:rPr>
              <w:br w:type="textWrapping"/>
            </w:r>
            <w:r>
              <w:rPr>
                <w:rFonts w:hint="eastAsia"/>
                <w:b w:val="0"/>
                <w:bCs/>
                <w:sz w:val="24"/>
                <w:lang w:val="en-US" w:eastAsia="zh-CN"/>
              </w:rPr>
              <w:t xml:space="preserve">    ②管道冲洗水</w:t>
            </w:r>
            <w:r>
              <w:rPr>
                <w:rFonts w:hint="eastAsia"/>
                <w:b w:val="0"/>
                <w:bCs/>
                <w:sz w:val="24"/>
                <w:lang w:val="en-US" w:eastAsia="zh-CN"/>
              </w:rPr>
              <w:br w:type="textWrapping"/>
            </w:r>
            <w:r>
              <w:rPr>
                <w:rFonts w:hint="eastAsia"/>
                <w:b w:val="0"/>
                <w:bCs/>
                <w:sz w:val="24"/>
                <w:lang w:val="en-US" w:eastAsia="zh-CN"/>
              </w:rPr>
              <w:t xml:space="preserve">     依据《栾川县惠顿矿业有限公司尾矿充填和矿山再利用项目建设方案》，采用</w:t>
            </w:r>
            <w:r>
              <w:rPr>
                <w:rFonts w:hint="eastAsia" w:ascii="Times New Roman" w:hAnsi="Times New Roman" w:eastAsia="宋体" w:cs="Times New Roman"/>
                <w:sz w:val="24"/>
              </w:rPr>
              <w:t>长沙矿山研究院有限责任公司的专利产品YQ系列充填压气洗管装置，与所有充填输送系统兼容，一键启动洗管作业，</w:t>
            </w:r>
            <w:r>
              <w:rPr>
                <w:rFonts w:hint="eastAsia" w:ascii="Times New Roman" w:hAnsi="Times New Roman" w:eastAsia="宋体" w:cs="Times New Roman"/>
                <w:bCs/>
                <w:sz w:val="24"/>
              </w:rPr>
              <w:t>通常1m³~</w:t>
            </w:r>
            <w:r>
              <w:rPr>
                <w:rFonts w:ascii="Times New Roman" w:hAnsi="Times New Roman" w:eastAsia="宋体" w:cs="Times New Roman"/>
                <w:bCs/>
                <w:sz w:val="24"/>
              </w:rPr>
              <w:t>8</w:t>
            </w:r>
            <w:r>
              <w:rPr>
                <w:rFonts w:hint="eastAsia" w:ascii="Times New Roman" w:hAnsi="Times New Roman" w:eastAsia="宋体" w:cs="Times New Roman"/>
                <w:bCs/>
                <w:sz w:val="24"/>
              </w:rPr>
              <w:t>m³水冲洗2000m管道</w:t>
            </w:r>
            <w:r>
              <w:rPr>
                <w:rFonts w:ascii="Times New Roman" w:hAnsi="Times New Roman" w:eastAsia="宋体" w:cs="Times New Roman"/>
                <w:bCs/>
                <w:sz w:val="24"/>
              </w:rPr>
              <w:t>，</w:t>
            </w:r>
            <w:r>
              <w:rPr>
                <w:rFonts w:hint="eastAsia" w:ascii="Times New Roman" w:hAnsi="Times New Roman" w:eastAsia="宋体" w:cs="Times New Roman"/>
                <w:bCs/>
                <w:sz w:val="24"/>
                <w:lang w:val="en-US" w:eastAsia="zh-CN"/>
              </w:rPr>
              <w:t>该尾矿输送管道约2340m，故管道冲洗用水约9</w:t>
            </w:r>
            <w:r>
              <w:rPr>
                <w:rFonts w:hint="default" w:ascii="Times New Roman" w:hAnsi="Times New Roman" w:cs="Times New Roman"/>
                <w:b w:val="0"/>
                <w:bCs/>
                <w:sz w:val="24"/>
                <w:lang w:val="en-US" w:eastAsia="zh-CN"/>
              </w:rPr>
              <w:t>m³/d</w:t>
            </w:r>
            <w:r>
              <w:rPr>
                <w:rFonts w:hint="eastAsia" w:ascii="Times New Roman" w:hAnsi="Times New Roman" w:cs="Times New Roman"/>
                <w:b w:val="0"/>
                <w:bCs/>
                <w:sz w:val="24"/>
                <w:lang w:val="en-US" w:eastAsia="zh-CN"/>
              </w:rPr>
              <w:t>（2700</w:t>
            </w:r>
            <w:r>
              <w:rPr>
                <w:rFonts w:hint="eastAsia"/>
                <w:b w:val="0"/>
                <w:bCs/>
                <w:sz w:val="24"/>
                <w:lang w:val="en-US" w:eastAsia="zh-CN"/>
              </w:rPr>
              <w:t>m</w:t>
            </w:r>
            <w:r>
              <w:rPr>
                <w:rFonts w:hint="eastAsia"/>
                <w:b w:val="0"/>
                <w:bCs/>
                <w:sz w:val="24"/>
                <w:vertAlign w:val="superscript"/>
                <w:lang w:val="en-US" w:eastAsia="zh-CN"/>
              </w:rPr>
              <w:t>3</w:t>
            </w:r>
            <w:r>
              <w:rPr>
                <w:rFonts w:hint="eastAsia"/>
                <w:b w:val="0"/>
                <w:bCs/>
                <w:sz w:val="24"/>
                <w:lang w:val="en-US" w:eastAsia="zh-CN"/>
              </w:rPr>
              <w:t>/a</w:t>
            </w:r>
            <w:r>
              <w:rPr>
                <w:rFonts w:hint="eastAsia" w:ascii="Times New Roman" w:hAnsi="Times New Roman" w:cs="Times New Roman"/>
                <w:b w:val="0"/>
                <w:bCs/>
                <w:sz w:val="24"/>
                <w:lang w:val="en-US" w:eastAsia="zh-CN"/>
              </w:rPr>
              <w:t>）。</w:t>
            </w:r>
          </w:p>
          <w:p w14:paraId="1189D3A9">
            <w:pPr>
              <w:numPr>
                <w:ilvl w:val="0"/>
                <w:numId w:val="0"/>
              </w:numPr>
              <w:spacing w:before="120" w:beforeLines="50" w:line="360" w:lineRule="auto"/>
              <w:ind w:leftChars="0" w:firstLine="480" w:firstLineChars="200"/>
              <w:contextualSpacing/>
              <w:rPr>
                <w:rFonts w:hint="eastAsia"/>
                <w:b w:val="0"/>
                <w:bCs/>
                <w:sz w:val="24"/>
                <w:lang w:val="en-US" w:eastAsia="zh-CN"/>
              </w:rPr>
            </w:pPr>
            <w:r>
              <w:rPr>
                <w:rFonts w:hint="eastAsia"/>
                <w:b w:val="0"/>
                <w:bCs/>
                <w:sz w:val="24"/>
                <w:lang w:val="en-US" w:eastAsia="zh-CN"/>
              </w:rPr>
              <w:t>③絮凝剂溶液稀释水</w:t>
            </w:r>
            <w:r>
              <w:rPr>
                <w:rFonts w:hint="eastAsia"/>
                <w:b w:val="0"/>
                <w:bCs/>
                <w:sz w:val="24"/>
                <w:lang w:val="en-US" w:eastAsia="zh-CN"/>
              </w:rPr>
              <w:br w:type="textWrapping"/>
            </w:r>
            <w:r>
              <w:rPr>
                <w:rFonts w:hint="eastAsia"/>
                <w:b w:val="0"/>
                <w:bCs/>
                <w:sz w:val="24"/>
                <w:lang w:val="en-US" w:eastAsia="zh-CN"/>
              </w:rPr>
              <w:t xml:space="preserve">    依据《栾川县惠顿矿业有限公司尾矿充填和矿山再利用项目建设方案》，絮凝剂的</w:t>
            </w:r>
            <w:r>
              <w:rPr>
                <w:rFonts w:hint="eastAsia" w:ascii="Times New Roman" w:hAnsi="Times New Roman" w:eastAsia="宋体" w:cs="Times New Roman"/>
                <w:sz w:val="24"/>
                <w:szCs w:val="24"/>
              </w:rPr>
              <w:t>添加量</w:t>
            </w:r>
            <w:r>
              <w:rPr>
                <w:rFonts w:hint="eastAsia" w:ascii="Times New Roman" w:hAnsi="Times New Roman" w:eastAsia="宋体" w:cs="Times New Roman"/>
                <w:sz w:val="24"/>
                <w:szCs w:val="24"/>
                <w:lang w:val="en-US" w:eastAsia="zh-CN"/>
              </w:rPr>
              <w:t>按</w:t>
            </w:r>
            <w:r>
              <w:rPr>
                <w:rFonts w:hint="eastAsia" w:ascii="Times New Roman" w:hAnsi="Times New Roman" w:eastAsia="宋体" w:cs="Times New Roman"/>
                <w:sz w:val="24"/>
                <w:szCs w:val="24"/>
              </w:rPr>
              <w:t>30g/t尾砂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干砂量</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计算，絮凝剂溶液制备浓度</w:t>
            </w:r>
            <w:r>
              <w:rPr>
                <w:rFonts w:hint="eastAsia" w:ascii="Times New Roman" w:hAnsi="Times New Roman" w:eastAsia="宋体" w:cs="Times New Roman"/>
                <w:sz w:val="24"/>
                <w:szCs w:val="24"/>
                <w:lang w:val="en-US" w:eastAsia="zh-CN"/>
              </w:rPr>
              <w:t>0.5</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故絮凝剂的使用量为</w:t>
            </w:r>
            <w:r>
              <w:rPr>
                <w:rFonts w:hint="eastAsia" w:cs="Times New Roman"/>
                <w:sz w:val="24"/>
                <w:szCs w:val="24"/>
                <w:lang w:val="en-US" w:eastAsia="zh-CN"/>
              </w:rPr>
              <w:t>29.34</w:t>
            </w:r>
            <w:r>
              <w:rPr>
                <w:rFonts w:hint="eastAsia" w:ascii="Times New Roman" w:hAnsi="Times New Roman" w:eastAsia="宋体" w:cs="Times New Roman"/>
                <w:sz w:val="24"/>
                <w:szCs w:val="24"/>
                <w:lang w:val="en-US" w:eastAsia="zh-CN"/>
              </w:rPr>
              <w:t>kg</w:t>
            </w:r>
            <w:r>
              <w:rPr>
                <w:rFonts w:hint="eastAsia"/>
                <w:b w:val="0"/>
                <w:bCs/>
                <w:sz w:val="24"/>
                <w:lang w:val="en-US" w:eastAsia="zh-CN"/>
              </w:rPr>
              <w:t>/d，絮凝剂配置需水量为58.65m</w:t>
            </w:r>
            <w:r>
              <w:rPr>
                <w:rFonts w:hint="eastAsia"/>
                <w:b w:val="0"/>
                <w:bCs/>
                <w:sz w:val="24"/>
                <w:vertAlign w:val="superscript"/>
                <w:lang w:val="en-US" w:eastAsia="zh-CN"/>
              </w:rPr>
              <w:t>3</w:t>
            </w:r>
            <w:r>
              <w:rPr>
                <w:rFonts w:hint="eastAsia"/>
                <w:b w:val="0"/>
                <w:bCs/>
                <w:sz w:val="24"/>
                <w:lang w:val="en-US" w:eastAsia="zh-CN"/>
              </w:rPr>
              <w:t>/d（17568m</w:t>
            </w:r>
            <w:r>
              <w:rPr>
                <w:rFonts w:hint="eastAsia"/>
                <w:b w:val="0"/>
                <w:bCs/>
                <w:sz w:val="24"/>
                <w:vertAlign w:val="superscript"/>
                <w:lang w:val="en-US" w:eastAsia="zh-CN"/>
              </w:rPr>
              <w:t>3</w:t>
            </w:r>
            <w:r>
              <w:rPr>
                <w:rFonts w:hint="eastAsia"/>
                <w:b w:val="0"/>
                <w:bCs/>
                <w:sz w:val="24"/>
                <w:lang w:val="en-US" w:eastAsia="zh-CN"/>
              </w:rPr>
              <w:t>/a）。</w:t>
            </w:r>
            <w:r>
              <w:rPr>
                <w:rFonts w:hint="eastAsia"/>
                <w:b w:val="0"/>
                <w:bCs/>
                <w:sz w:val="24"/>
                <w:lang w:val="en-US" w:eastAsia="zh-CN"/>
              </w:rPr>
              <w:br w:type="textWrapping"/>
            </w:r>
            <w:r>
              <w:rPr>
                <w:rFonts w:hint="eastAsia"/>
                <w:b w:val="0"/>
                <w:bCs/>
                <w:sz w:val="24"/>
                <w:lang w:val="en-US" w:eastAsia="zh-CN"/>
              </w:rPr>
              <w:t xml:space="preserve">    ④场地地面抑尘洒水</w:t>
            </w:r>
            <w:r>
              <w:rPr>
                <w:rFonts w:hint="eastAsia"/>
                <w:b w:val="0"/>
                <w:bCs/>
                <w:sz w:val="24"/>
                <w:lang w:val="en-US" w:eastAsia="zh-CN"/>
              </w:rPr>
              <w:br w:type="textWrapping"/>
            </w:r>
            <w:r>
              <w:rPr>
                <w:rFonts w:hint="eastAsia"/>
                <w:b w:val="0"/>
                <w:bCs/>
                <w:sz w:val="24"/>
                <w:lang w:val="en-US" w:eastAsia="zh-CN"/>
              </w:rPr>
              <w:t xml:space="preserve">    根据建设单位提供资料，项目需对场地地面进行洒水抑尘，用水量为1.2m³/d（360m</w:t>
            </w:r>
            <w:r>
              <w:rPr>
                <w:rFonts w:hint="eastAsia"/>
                <w:b w:val="0"/>
                <w:bCs/>
                <w:sz w:val="24"/>
                <w:vertAlign w:val="superscript"/>
                <w:lang w:val="en-US" w:eastAsia="zh-CN"/>
              </w:rPr>
              <w:t>3</w:t>
            </w:r>
            <w:r>
              <w:rPr>
                <w:rFonts w:hint="eastAsia"/>
                <w:b w:val="0"/>
                <w:bCs/>
                <w:sz w:val="24"/>
                <w:lang w:val="en-US" w:eastAsia="zh-CN"/>
              </w:rPr>
              <w:t>/a）。</w:t>
            </w:r>
            <w:r>
              <w:rPr>
                <w:rFonts w:hint="eastAsia"/>
                <w:b w:val="0"/>
                <w:bCs/>
                <w:sz w:val="24"/>
                <w:lang w:val="en-US" w:eastAsia="zh-CN"/>
              </w:rPr>
              <w:br w:type="textWrapping"/>
            </w:r>
            <w:r>
              <w:rPr>
                <w:rFonts w:hint="eastAsia"/>
                <w:b w:val="0"/>
                <w:bCs/>
                <w:sz w:val="24"/>
                <w:lang w:val="en-US" w:eastAsia="zh-CN"/>
              </w:rPr>
              <w:t xml:space="preserve">    ⑤充填料浆制备过程调浓水</w:t>
            </w:r>
          </w:p>
          <w:p w14:paraId="260CF53C">
            <w:pPr>
              <w:numPr>
                <w:ilvl w:val="0"/>
                <w:numId w:val="0"/>
              </w:numPr>
              <w:spacing w:before="120" w:beforeLines="50" w:line="360" w:lineRule="auto"/>
              <w:ind w:leftChars="0" w:firstLine="480" w:firstLineChars="200"/>
              <w:contextualSpacing/>
              <w:rPr>
                <w:rFonts w:hint="eastAsia"/>
                <w:b w:val="0"/>
                <w:bCs/>
                <w:sz w:val="24"/>
                <w:lang w:val="en-US" w:eastAsia="zh-CN"/>
              </w:rPr>
            </w:pPr>
            <w:r>
              <w:rPr>
                <w:rFonts w:hint="eastAsia"/>
                <w:b w:val="0"/>
                <w:bCs/>
                <w:sz w:val="24"/>
                <w:lang w:val="en-US" w:eastAsia="zh-CN"/>
              </w:rPr>
              <w:t>根据设计资料，项目生产充填料浆为1470.3t/d，充填料浆浓度72%，根据产品物料一览表可知每天需要料浆调浓水31.41t/d，合计9423m³/a。</w:t>
            </w:r>
            <w:r>
              <w:rPr>
                <w:rFonts w:hint="eastAsia"/>
                <w:b w:val="0"/>
                <w:bCs/>
                <w:sz w:val="24"/>
                <w:lang w:val="en-US" w:eastAsia="zh-CN"/>
              </w:rPr>
              <w:br w:type="textWrapping"/>
            </w:r>
            <w:r>
              <w:rPr>
                <w:rFonts w:hint="eastAsia"/>
                <w:b w:val="0"/>
                <w:bCs/>
                <w:sz w:val="24"/>
                <w:lang w:val="en-US" w:eastAsia="zh-CN"/>
              </w:rPr>
              <w:t xml:space="preserve">   （2）排水</w:t>
            </w:r>
            <w:r>
              <w:rPr>
                <w:rFonts w:hint="eastAsia"/>
                <w:b w:val="0"/>
                <w:bCs/>
                <w:sz w:val="24"/>
                <w:lang w:val="en-US" w:eastAsia="zh-CN"/>
              </w:rPr>
              <w:br w:type="textWrapping"/>
            </w:r>
            <w:r>
              <w:rPr>
                <w:rFonts w:hint="eastAsia"/>
                <w:b w:val="0"/>
                <w:bCs/>
                <w:sz w:val="24"/>
                <w:lang w:val="en-US" w:eastAsia="zh-CN"/>
              </w:rPr>
              <w:t xml:space="preserve">    ①生活污水</w:t>
            </w:r>
            <w:r>
              <w:rPr>
                <w:rFonts w:hint="eastAsia"/>
                <w:b w:val="0"/>
                <w:bCs/>
                <w:sz w:val="24"/>
                <w:lang w:val="en-US" w:eastAsia="zh-CN"/>
              </w:rPr>
              <w:br w:type="textWrapping"/>
            </w:r>
            <w:r>
              <w:rPr>
                <w:rFonts w:hint="eastAsia"/>
                <w:b w:val="0"/>
                <w:bCs/>
                <w:sz w:val="24"/>
                <w:lang w:val="en-US" w:eastAsia="zh-CN"/>
              </w:rPr>
              <w:t xml:space="preserve">    项目生活污水的产生量按用水量的80%计算，则生活污水产生量为0.48m³/d，合计144m³/a。生活污水进入化粪池处理后定期清掏肥田，不外排。</w:t>
            </w:r>
          </w:p>
          <w:p w14:paraId="050A7D80">
            <w:pPr>
              <w:numPr>
                <w:ilvl w:val="0"/>
                <w:numId w:val="0"/>
              </w:numPr>
              <w:spacing w:before="120" w:beforeLines="50" w:line="360" w:lineRule="auto"/>
              <w:ind w:leftChars="0" w:firstLine="480" w:firstLineChars="200"/>
              <w:contextualSpacing/>
              <w:rPr>
                <w:rFonts w:hint="eastAsia"/>
                <w:b w:val="0"/>
                <w:bCs/>
                <w:sz w:val="24"/>
                <w:lang w:val="en-US" w:eastAsia="zh-CN"/>
              </w:rPr>
            </w:pPr>
            <w:r>
              <w:rPr>
                <w:rFonts w:hint="eastAsia"/>
                <w:b w:val="0"/>
                <w:bCs/>
                <w:sz w:val="24"/>
                <w:lang w:val="en-US" w:eastAsia="zh-CN"/>
              </w:rPr>
              <w:t>②管道冲洗水</w:t>
            </w:r>
            <w:r>
              <w:rPr>
                <w:rFonts w:hint="eastAsia"/>
                <w:b w:val="0"/>
                <w:bCs/>
                <w:sz w:val="24"/>
                <w:lang w:val="en-US" w:eastAsia="zh-CN"/>
              </w:rPr>
              <w:br w:type="textWrapping"/>
            </w:r>
            <w:r>
              <w:rPr>
                <w:rFonts w:hint="eastAsia"/>
                <w:b w:val="0"/>
                <w:bCs/>
                <w:sz w:val="24"/>
                <w:lang w:val="en-US" w:eastAsia="zh-CN"/>
              </w:rPr>
              <w:t xml:space="preserve">    项目</w:t>
            </w:r>
            <w:r>
              <w:rPr>
                <w:rFonts w:hint="eastAsia" w:ascii="Times New Roman" w:hAnsi="Times New Roman" w:eastAsia="宋体" w:cs="Times New Roman"/>
                <w:bCs/>
                <w:sz w:val="24"/>
                <w:lang w:val="en-US" w:eastAsia="zh-CN"/>
              </w:rPr>
              <w:t>管道冲洗用水约9</w:t>
            </w:r>
            <w:r>
              <w:rPr>
                <w:rFonts w:hint="default" w:ascii="Times New Roman" w:hAnsi="Times New Roman" w:cs="Times New Roman"/>
                <w:b w:val="0"/>
                <w:bCs/>
                <w:sz w:val="24"/>
                <w:lang w:val="en-US" w:eastAsia="zh-CN"/>
              </w:rPr>
              <w:t>m³/d</w:t>
            </w:r>
            <w:r>
              <w:rPr>
                <w:rFonts w:hint="eastAsia" w:cs="Times New Roman"/>
                <w:b w:val="0"/>
                <w:bCs/>
                <w:sz w:val="24"/>
                <w:lang w:val="en-US" w:eastAsia="zh-CN"/>
              </w:rPr>
              <w:t>，</w:t>
            </w:r>
            <w:r>
              <w:rPr>
                <w:rFonts w:hint="eastAsia"/>
                <w:b w:val="0"/>
                <w:bCs/>
                <w:sz w:val="24"/>
                <w:lang w:val="en-US" w:eastAsia="zh-CN"/>
              </w:rPr>
              <w:t>管道冲洗水产污系数按90%计算，则管道冲洗水产生量为8.1</w:t>
            </w:r>
            <w:r>
              <w:rPr>
                <w:rFonts w:hint="default"/>
                <w:b w:val="0"/>
                <w:bCs/>
                <w:sz w:val="24"/>
                <w:lang w:val="en-US" w:eastAsia="zh-CN"/>
              </w:rPr>
              <w:t>m³/d</w:t>
            </w:r>
            <w:r>
              <w:rPr>
                <w:rFonts w:hint="eastAsia"/>
                <w:b w:val="0"/>
                <w:bCs/>
                <w:sz w:val="24"/>
                <w:lang w:val="en-US" w:eastAsia="zh-CN"/>
              </w:rPr>
              <w:t>，</w:t>
            </w:r>
            <w:r>
              <w:rPr>
                <w:rFonts w:hint="eastAsia"/>
                <w:b w:val="0"/>
                <w:bCs/>
                <w:color w:val="auto"/>
                <w:sz w:val="24"/>
                <w:u w:val="single"/>
                <w:lang w:val="en-US" w:eastAsia="zh-CN"/>
              </w:rPr>
              <w:t>全部</w:t>
            </w:r>
            <w:bookmarkStart w:id="3" w:name="OLE_LINK12"/>
            <w:r>
              <w:rPr>
                <w:rFonts w:hint="eastAsia"/>
                <w:b w:val="0"/>
                <w:bCs/>
                <w:color w:val="auto"/>
                <w:sz w:val="24"/>
                <w:u w:val="single"/>
                <w:lang w:val="en-US" w:eastAsia="zh-CN"/>
              </w:rPr>
              <w:t>依托井下现有回水管线回用于选厂高位水池，不外排。</w:t>
            </w:r>
            <w:bookmarkEnd w:id="3"/>
          </w:p>
          <w:p w14:paraId="3DCF41BE">
            <w:pPr>
              <w:numPr>
                <w:ilvl w:val="0"/>
                <w:numId w:val="0"/>
              </w:numPr>
              <w:spacing w:before="120" w:beforeLines="50" w:line="360" w:lineRule="auto"/>
              <w:ind w:leftChars="0" w:firstLine="480" w:firstLineChars="200"/>
              <w:contextualSpacing/>
              <w:rPr>
                <w:rFonts w:hint="eastAsia"/>
                <w:b w:val="0"/>
                <w:bCs/>
                <w:sz w:val="24"/>
                <w:lang w:val="en-US" w:eastAsia="zh-CN"/>
              </w:rPr>
            </w:pPr>
            <w:r>
              <w:rPr>
                <w:rFonts w:hint="eastAsia"/>
                <w:b w:val="0"/>
                <w:bCs/>
                <w:sz w:val="24"/>
                <w:lang w:val="en-US" w:eastAsia="zh-CN"/>
              </w:rPr>
              <w:t>③浓密机溢流水</w:t>
            </w:r>
            <w:r>
              <w:rPr>
                <w:rFonts w:hint="eastAsia"/>
                <w:b w:val="0"/>
                <w:bCs/>
                <w:sz w:val="24"/>
                <w:lang w:val="en-US" w:eastAsia="zh-CN"/>
              </w:rPr>
              <w:br w:type="textWrapping"/>
            </w:r>
            <w:r>
              <w:rPr>
                <w:rFonts w:hint="eastAsia"/>
                <w:b w:val="0"/>
                <w:bCs/>
                <w:sz w:val="24"/>
                <w:lang w:val="en-US" w:eastAsia="zh-CN"/>
              </w:rPr>
              <w:t xml:space="preserve">    浓密机溢流水按总水量-尾矿砂含水</w:t>
            </w:r>
            <w:r>
              <w:rPr>
                <w:rFonts w:hint="default"/>
                <w:b w:val="0"/>
                <w:bCs/>
                <w:sz w:val="24"/>
                <w:lang w:val="en-US" w:eastAsia="zh-CN"/>
              </w:rPr>
              <w:t>计</w:t>
            </w:r>
            <w:r>
              <w:rPr>
                <w:rFonts w:hint="eastAsia"/>
                <w:b w:val="0"/>
                <w:bCs/>
                <w:sz w:val="24"/>
                <w:lang w:val="en-US" w:eastAsia="zh-CN"/>
              </w:rPr>
              <w:t>算，浓密机水量约</w:t>
            </w:r>
            <w:bookmarkStart w:id="4" w:name="OLE_LINK7"/>
            <w:bookmarkStart w:id="5" w:name="OLE_LINK4"/>
            <w:r>
              <w:rPr>
                <w:rFonts w:hint="eastAsia"/>
                <w:b w:val="0"/>
                <w:bCs/>
                <w:sz w:val="24"/>
                <w:lang w:val="en-US" w:eastAsia="zh-CN"/>
              </w:rPr>
              <w:t>2192.85m³</w:t>
            </w:r>
            <w:bookmarkEnd w:id="4"/>
            <w:r>
              <w:rPr>
                <w:rFonts w:hint="eastAsia"/>
                <w:b w:val="0"/>
                <w:bCs/>
                <w:sz w:val="24"/>
                <w:lang w:val="en-US" w:eastAsia="zh-CN"/>
              </w:rPr>
              <w:t>/d</w:t>
            </w:r>
            <w:bookmarkEnd w:id="5"/>
            <w:r>
              <w:rPr>
                <w:rFonts w:hint="eastAsia"/>
                <w:b w:val="0"/>
                <w:bCs/>
                <w:sz w:val="24"/>
                <w:lang w:val="en-US" w:eastAsia="zh-CN"/>
              </w:rPr>
              <w:t>，其中41.61</w:t>
            </w:r>
            <w:r>
              <w:rPr>
                <w:rFonts w:hint="default"/>
                <w:b w:val="0"/>
                <w:bCs/>
                <w:sz w:val="24"/>
                <w:lang w:val="en-US" w:eastAsia="zh-CN"/>
              </w:rPr>
              <w:t>m³/d溢流水经溢流水池收集后</w:t>
            </w:r>
            <w:r>
              <w:rPr>
                <w:rFonts w:hint="eastAsia"/>
                <w:b w:val="0"/>
                <w:bCs/>
                <w:sz w:val="24"/>
                <w:lang w:val="en-US" w:eastAsia="zh-CN"/>
              </w:rPr>
              <w:t>作为回用水回用于</w:t>
            </w:r>
            <w:r>
              <w:rPr>
                <w:rFonts w:hint="default"/>
                <w:b w:val="0"/>
                <w:bCs/>
                <w:sz w:val="24"/>
                <w:lang w:val="en-US" w:eastAsia="zh-CN"/>
              </w:rPr>
              <w:t>充填站生产，</w:t>
            </w:r>
            <w:r>
              <w:rPr>
                <w:rFonts w:hint="eastAsia"/>
                <w:b w:val="0"/>
                <w:bCs/>
                <w:sz w:val="24"/>
                <w:lang w:val="en-US" w:eastAsia="zh-CN"/>
              </w:rPr>
              <w:t>剩余2151.24</w:t>
            </w:r>
            <w:r>
              <w:rPr>
                <w:rFonts w:hint="default"/>
                <w:b w:val="0"/>
                <w:bCs/>
                <w:sz w:val="24"/>
                <w:lang w:val="en-US" w:eastAsia="zh-CN"/>
              </w:rPr>
              <w:t>m³/d</w:t>
            </w:r>
            <w:r>
              <w:rPr>
                <w:rFonts w:hint="eastAsia"/>
                <w:b w:val="0"/>
                <w:bCs/>
                <w:sz w:val="24"/>
                <w:lang w:val="en-US" w:eastAsia="zh-CN"/>
              </w:rPr>
              <w:t>溢流水自流至选厂，最终回用于选矿。</w:t>
            </w:r>
          </w:p>
          <w:p w14:paraId="7035D4AD">
            <w:pPr>
              <w:spacing w:before="120" w:beforeLines="50" w:line="360" w:lineRule="auto"/>
              <w:ind w:firstLine="480"/>
              <w:contextualSpacing/>
              <w:rPr>
                <w:rFonts w:hint="default"/>
                <w:b w:val="0"/>
                <w:bCs/>
                <w:sz w:val="24"/>
                <w:lang w:val="en-US" w:eastAsia="zh-CN"/>
              </w:rPr>
            </w:pPr>
            <w:r>
              <w:rPr>
                <w:rFonts w:hint="eastAsia"/>
                <w:b w:val="0"/>
                <w:bCs/>
                <w:sz w:val="24"/>
                <w:u w:val="none"/>
                <w:lang w:val="en-US" w:eastAsia="zh-CN"/>
              </w:rPr>
              <w:t>项目水平衡见下图：</w:t>
            </w:r>
          </w:p>
          <w:p w14:paraId="1B3456C0">
            <w:pPr>
              <w:pStyle w:val="8"/>
              <w:numPr>
                <w:ilvl w:val="0"/>
                <w:numId w:val="0"/>
              </w:numPr>
              <w:spacing w:line="360" w:lineRule="auto"/>
              <w:ind w:leftChars="0" w:firstLine="480" w:firstLineChars="200"/>
              <w:rPr>
                <w:rFonts w:hint="default" w:ascii="宋体" w:hAnsi="宋体" w:eastAsia="宋体" w:cs="宋体"/>
                <w:bCs/>
                <w:lang w:val="en-US" w:eastAsia="zh-CN"/>
              </w:rPr>
            </w:pPr>
          </w:p>
        </w:tc>
      </w:tr>
      <w:tr w14:paraId="31B28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8" w:hRule="atLeast"/>
          <w:jc w:val="center"/>
        </w:trPr>
        <w:tc>
          <w:tcPr>
            <w:tcW w:w="1271" w:type="dxa"/>
            <w:noWrap w:val="0"/>
            <w:vAlign w:val="center"/>
          </w:tcPr>
          <w:p w14:paraId="1FBE91B1">
            <w:pPr>
              <w:pStyle w:val="28"/>
              <w:adjustRightInd w:val="0"/>
              <w:snapToGrid w:val="0"/>
              <w:spacing w:before="0" w:beforeAutospacing="0" w:after="0" w:afterAutospacing="0"/>
              <w:jc w:val="center"/>
              <w:rPr>
                <w:rFonts w:hint="eastAsia" w:cs="宋体"/>
                <w:szCs w:val="24"/>
              </w:rPr>
            </w:pPr>
          </w:p>
        </w:tc>
        <w:tc>
          <w:tcPr>
            <w:tcW w:w="8571" w:type="dxa"/>
            <w:noWrap w:val="0"/>
            <w:vAlign w:val="top"/>
          </w:tcPr>
          <w:p w14:paraId="2E49AF95">
            <w:pPr>
              <w:spacing w:before="120" w:beforeLines="50" w:line="360" w:lineRule="auto"/>
              <w:contextualSpacing/>
              <w:jc w:val="center"/>
              <w:rPr>
                <w:rFonts w:hint="default"/>
                <w:b w:val="0"/>
                <w:bCs/>
                <w:sz w:val="24"/>
                <w:lang w:val="en-US" w:eastAsia="zh-CN"/>
              </w:rPr>
            </w:pPr>
            <w:r>
              <w:rPr>
                <w:rFonts w:hint="default"/>
                <w:b w:val="0"/>
                <w:bCs/>
                <w:sz w:val="24"/>
                <w:lang w:val="en-US" w:eastAsia="zh-CN"/>
              </w:rPr>
              <w:drawing>
                <wp:inline distT="0" distB="0" distL="114300" distR="114300">
                  <wp:extent cx="5302250" cy="3517900"/>
                  <wp:effectExtent l="0" t="0" r="1270" b="2540"/>
                  <wp:docPr id="1" name="图片 1" descr="172905591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9055912815"/>
                          <pic:cNvPicPr>
                            <a:picLocks noChangeAspect="1"/>
                          </pic:cNvPicPr>
                        </pic:nvPicPr>
                        <pic:blipFill>
                          <a:blip r:embed="rId9"/>
                          <a:srcRect t="4606"/>
                          <a:stretch>
                            <a:fillRect/>
                          </a:stretch>
                        </pic:blipFill>
                        <pic:spPr>
                          <a:xfrm>
                            <a:off x="0" y="0"/>
                            <a:ext cx="5302250" cy="3517900"/>
                          </a:xfrm>
                          <a:prstGeom prst="rect">
                            <a:avLst/>
                          </a:prstGeom>
                        </pic:spPr>
                      </pic:pic>
                    </a:graphicData>
                  </a:graphic>
                </wp:inline>
              </w:drawing>
            </w:r>
          </w:p>
          <w:p w14:paraId="4D6D850A">
            <w:pPr>
              <w:spacing w:before="120" w:beforeLines="50" w:line="360" w:lineRule="auto"/>
              <w:contextualSpacing/>
              <w:jc w:val="center"/>
              <w:rPr>
                <w:rFonts w:hint="default"/>
                <w:b w:val="0"/>
                <w:bCs/>
                <w:sz w:val="24"/>
                <w:u w:val="single"/>
                <w:lang w:val="en-US" w:eastAsia="zh-CN"/>
              </w:rPr>
            </w:pPr>
            <w:r>
              <w:rPr>
                <w:rFonts w:hint="eastAsia" w:ascii="Times New Roman" w:hAnsi="Times New Roman" w:eastAsia="宋体" w:cs="Times New Roman"/>
                <w:b/>
                <w:bCs/>
                <w:color w:val="000000"/>
                <w:kern w:val="44"/>
                <w:sz w:val="24"/>
                <w:szCs w:val="24"/>
                <w:u w:val="single"/>
                <w:lang w:val="en-US" w:eastAsia="zh-CN" w:bidi="ar-SA"/>
              </w:rPr>
              <w:t>图2-1 项目水平衡图    单位：</w:t>
            </w:r>
            <w:r>
              <w:rPr>
                <w:rFonts w:hint="default" w:ascii="Times New Roman" w:hAnsi="Times New Roman" w:eastAsia="宋体" w:cs="Times New Roman"/>
                <w:b/>
                <w:bCs/>
                <w:color w:val="000000"/>
                <w:kern w:val="44"/>
                <w:sz w:val="24"/>
                <w:szCs w:val="24"/>
                <w:u w:val="single"/>
                <w:lang w:val="en-US" w:eastAsia="zh-CN" w:bidi="ar-SA"/>
              </w:rPr>
              <w:t>m³/d</w:t>
            </w:r>
          </w:p>
          <w:p w14:paraId="3C73DF2B">
            <w:pPr>
              <w:spacing w:before="120" w:beforeLines="50" w:line="360" w:lineRule="auto"/>
              <w:contextualSpacing/>
              <w:rPr>
                <w:rFonts w:hint="eastAsia"/>
                <w:b/>
                <w:bCs w:val="0"/>
                <w:sz w:val="24"/>
                <w:lang w:val="en-US" w:eastAsia="zh-CN"/>
              </w:rPr>
            </w:pPr>
            <w:r>
              <w:rPr>
                <w:rFonts w:hint="eastAsia"/>
                <w:b/>
                <w:bCs w:val="0"/>
                <w:sz w:val="24"/>
                <w:lang w:val="en-US" w:eastAsia="zh-CN"/>
              </w:rPr>
              <w:t>4. 劳动定员及劳动制度</w:t>
            </w:r>
          </w:p>
          <w:p w14:paraId="48197C75">
            <w:pPr>
              <w:spacing w:line="360" w:lineRule="auto"/>
              <w:ind w:firstLine="480" w:firstLineChars="200"/>
              <w:rPr>
                <w:rFonts w:hint="default" w:eastAsia="宋体"/>
                <w:sz w:val="24"/>
                <w:u w:val="none"/>
                <w:lang w:val="en-US" w:eastAsia="zh-CN"/>
              </w:rPr>
            </w:pPr>
            <w:r>
              <w:rPr>
                <w:rFonts w:hint="eastAsia"/>
                <w:bCs/>
                <w:sz w:val="24"/>
              </w:rPr>
              <w:t>项目劳动定员</w:t>
            </w:r>
            <w:r>
              <w:rPr>
                <w:rFonts w:hint="eastAsia"/>
                <w:bCs/>
                <w:sz w:val="24"/>
                <w:lang w:val="en-US" w:eastAsia="zh-CN"/>
              </w:rPr>
              <w:t>15</w:t>
            </w:r>
            <w:r>
              <w:rPr>
                <w:rFonts w:hint="eastAsia"/>
                <w:bCs/>
                <w:sz w:val="24"/>
              </w:rPr>
              <w:t>人，</w:t>
            </w:r>
            <w:r>
              <w:rPr>
                <w:rFonts w:hint="eastAsia"/>
                <w:bCs/>
                <w:sz w:val="24"/>
                <w:lang w:val="en-US" w:eastAsia="zh-CN"/>
              </w:rPr>
              <w:t>充填站年工作时间300天，</w:t>
            </w:r>
            <w:r>
              <w:rPr>
                <w:rFonts w:hint="eastAsia"/>
                <w:sz w:val="24"/>
                <w:u w:val="none"/>
                <w:lang w:val="en-US" w:eastAsia="zh-CN"/>
              </w:rPr>
              <w:t>每天充填时间8h。</w:t>
            </w:r>
          </w:p>
          <w:p w14:paraId="09F64823">
            <w:pPr>
              <w:spacing w:before="120" w:beforeLines="50" w:line="360" w:lineRule="auto"/>
              <w:contextualSpacing/>
              <w:rPr>
                <w:rFonts w:hint="default"/>
                <w:b/>
                <w:bCs w:val="0"/>
                <w:sz w:val="24"/>
                <w:lang w:val="en-US" w:eastAsia="zh-CN"/>
              </w:rPr>
            </w:pPr>
            <w:r>
              <w:rPr>
                <w:rFonts w:hint="eastAsia"/>
                <w:b/>
                <w:bCs w:val="0"/>
                <w:sz w:val="24"/>
                <w:lang w:val="en-US" w:eastAsia="zh-CN"/>
              </w:rPr>
              <w:t>5.平面布置</w:t>
            </w:r>
          </w:p>
          <w:p w14:paraId="144926C5">
            <w:pPr>
              <w:pStyle w:val="8"/>
              <w:numPr>
                <w:ilvl w:val="0"/>
                <w:numId w:val="0"/>
              </w:numPr>
              <w:spacing w:line="360" w:lineRule="auto"/>
              <w:ind w:leftChars="0" w:firstLine="480" w:firstLineChars="200"/>
              <w:rPr>
                <w:rFonts w:hint="default" w:ascii="宋体" w:hAnsi="宋体" w:eastAsia="宋体" w:cs="宋体"/>
                <w:bCs/>
                <w:lang w:val="en-US" w:eastAsia="zh-CN"/>
              </w:rPr>
            </w:pPr>
            <w:r>
              <w:rPr>
                <w:rFonts w:hint="eastAsia"/>
                <w:kern w:val="44"/>
                <w:sz w:val="24"/>
                <w:lang w:eastAsia="zh-CN"/>
              </w:rPr>
              <w:t>本项目</w:t>
            </w:r>
            <w:r>
              <w:rPr>
                <w:rFonts w:hint="eastAsia"/>
                <w:kern w:val="44"/>
                <w:sz w:val="24"/>
                <w:lang w:val="en-US" w:eastAsia="zh-CN"/>
              </w:rPr>
              <w:t>包括充填制备站厂房、膏体仓储浓密机、水泥仓、溢流水池、尾矿砂输送管线等，厂房位于厂区东北侧，厂房内布设1台搅拌机、1套絮凝剂加药系统和2台工业填充泵（一用一备），水泥仓位于厂房西侧，膏体仓储浓密机位于厂区南侧位置，溢流水池位于浓密机的东北侧，厂区功能分区明确，物流周转顺畅，平面布置合理可行，</w:t>
            </w:r>
            <w:r>
              <w:rPr>
                <w:rFonts w:hint="eastAsia"/>
                <w:szCs w:val="24"/>
              </w:rPr>
              <w:t>项目</w:t>
            </w:r>
            <w:r>
              <w:rPr>
                <w:rFonts w:hint="eastAsia"/>
                <w:color w:val="000000" w:themeColor="text1"/>
                <w:szCs w:val="24"/>
                <w14:textFill>
                  <w14:solidFill>
                    <w14:schemeClr w14:val="tx1"/>
                  </w14:solidFill>
                </w14:textFill>
              </w:rPr>
              <w:t>厂区平面布置详见</w:t>
            </w:r>
            <w:r>
              <w:rPr>
                <w:rFonts w:hint="eastAsia"/>
                <w:color w:val="auto"/>
                <w:kern w:val="44"/>
                <w:sz w:val="24"/>
                <w:lang w:val="en-US" w:eastAsia="zh-CN"/>
              </w:rPr>
              <w:t>附图2</w:t>
            </w:r>
            <w:r>
              <w:rPr>
                <w:rFonts w:hint="eastAsia"/>
                <w:kern w:val="44"/>
                <w:sz w:val="24"/>
                <w:lang w:val="en-US" w:eastAsia="zh-CN"/>
              </w:rPr>
              <w:t>。充填站管线布置图见</w:t>
            </w:r>
            <w:r>
              <w:rPr>
                <w:rFonts w:hint="eastAsia"/>
                <w:color w:val="auto"/>
                <w:kern w:val="44"/>
                <w:sz w:val="24"/>
                <w:lang w:val="en-US" w:eastAsia="zh-CN"/>
              </w:rPr>
              <w:t>附图4。</w:t>
            </w:r>
          </w:p>
        </w:tc>
      </w:tr>
      <w:tr w14:paraId="21222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noWrap w:val="0"/>
            <w:vAlign w:val="center"/>
          </w:tcPr>
          <w:p w14:paraId="4783F9F6">
            <w:pPr>
              <w:pStyle w:val="28"/>
              <w:adjustRightInd w:val="0"/>
              <w:snapToGrid w:val="0"/>
              <w:spacing w:before="0" w:beforeAutospacing="0" w:after="0" w:afterAutospacing="0"/>
              <w:jc w:val="center"/>
              <w:rPr>
                <w:rFonts w:cs="宋体"/>
                <w:sz w:val="21"/>
                <w:szCs w:val="21"/>
              </w:rPr>
            </w:pPr>
            <w:r>
              <w:rPr>
                <w:rFonts w:hint="eastAsia" w:cs="宋体"/>
                <w:szCs w:val="24"/>
              </w:rPr>
              <w:t>工艺流程和产排污环节</w:t>
            </w:r>
          </w:p>
        </w:tc>
        <w:tc>
          <w:tcPr>
            <w:tcW w:w="8571" w:type="dxa"/>
            <w:noWrap w:val="0"/>
            <w:vAlign w:val="top"/>
          </w:tcPr>
          <w:p w14:paraId="7C46258A">
            <w:pPr>
              <w:spacing w:line="360" w:lineRule="auto"/>
              <w:rPr>
                <w:rFonts w:hint="default" w:eastAsia="宋体"/>
                <w:lang w:val="en-US" w:eastAsia="zh-CN"/>
              </w:rPr>
            </w:pPr>
            <w:r>
              <w:rPr>
                <w:rFonts w:hint="eastAsia"/>
                <w:b/>
                <w:bCs/>
                <w:sz w:val="24"/>
                <w:lang w:val="en-US" w:eastAsia="zh-CN"/>
              </w:rPr>
              <w:t>一、施工期工艺流程</w:t>
            </w:r>
            <w:r>
              <w:rPr>
                <w:rFonts w:hint="eastAsia" w:eastAsia="宋体"/>
                <w:lang w:eastAsia="zh-CN"/>
              </w:rPr>
              <w:br w:type="textWrapping"/>
            </w:r>
            <w:r>
              <w:rPr>
                <w:rFonts w:hint="eastAsia"/>
                <w:lang w:val="en-US" w:eastAsia="zh-CN"/>
              </w:rPr>
              <w:t xml:space="preserve"> （</w:t>
            </w:r>
            <w:r>
              <w:rPr>
                <w:rFonts w:hint="eastAsia" w:ascii="Times New Roman" w:hAnsi="Times New Roman" w:eastAsia="宋体" w:cs="Times New Roman"/>
                <w:b w:val="0"/>
                <w:bCs w:val="0"/>
                <w:color w:val="auto"/>
                <w:kern w:val="0"/>
                <w:sz w:val="24"/>
                <w:szCs w:val="24"/>
                <w:lang w:val="en-US" w:eastAsia="zh-CN" w:bidi="ar-SA"/>
              </w:rPr>
              <w:t>1）充填站施工工艺</w:t>
            </w:r>
          </w:p>
          <w:p w14:paraId="04991CC3">
            <w:pPr>
              <w:bidi w:val="0"/>
              <w:spacing w:line="360" w:lineRule="auto"/>
              <w:rPr>
                <w:rFonts w:hint="eastAsia"/>
                <w:sz w:val="24"/>
                <w:szCs w:val="24"/>
                <w:lang w:val="en-US" w:eastAsia="zh-CN"/>
              </w:rPr>
            </w:pPr>
            <w:r>
              <w:rPr>
                <w:rFonts w:hint="eastAsia"/>
                <w:lang w:val="en-US" w:eastAsia="zh-CN"/>
              </w:rPr>
              <w:t xml:space="preserve">   </w:t>
            </w:r>
            <w:r>
              <w:rPr>
                <w:rFonts w:hint="eastAsia"/>
                <w:sz w:val="24"/>
                <w:szCs w:val="24"/>
                <w:lang w:val="en-US" w:eastAsia="zh-CN"/>
              </w:rPr>
              <w:t>本项目施工期主要为充填站厂房的建设，施工工艺较简单，施工期工艺流程及产排污环节见下图。</w:t>
            </w:r>
          </w:p>
          <w:p w14:paraId="2356450A">
            <w:pPr>
              <w:bidi w:val="0"/>
              <w:spacing w:line="360" w:lineRule="auto"/>
              <w:rPr>
                <w:rFonts w:hint="eastAsia" w:eastAsia="宋体"/>
                <w:lang w:eastAsia="zh-CN"/>
              </w:rPr>
            </w:pPr>
            <w:r>
              <w:rPr>
                <w:color w:val="000000"/>
              </w:rPr>
              <w:drawing>
                <wp:inline distT="0" distB="0" distL="114300" distR="114300">
                  <wp:extent cx="5269865" cy="3442970"/>
                  <wp:effectExtent l="0" t="0" r="317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269865" cy="3442970"/>
                          </a:xfrm>
                          <a:prstGeom prst="rect">
                            <a:avLst/>
                          </a:prstGeom>
                          <a:noFill/>
                          <a:ln>
                            <a:noFill/>
                          </a:ln>
                        </pic:spPr>
                      </pic:pic>
                    </a:graphicData>
                  </a:graphic>
                </wp:inline>
              </w:drawing>
            </w:r>
          </w:p>
          <w:p w14:paraId="0F670FCB">
            <w:pPr>
              <w:pStyle w:val="2"/>
              <w:rPr>
                <w:rFonts w:hint="default" w:eastAsia="宋体"/>
                <w:lang w:val="en-US" w:eastAsia="zh-CN"/>
              </w:rPr>
            </w:pPr>
            <w:r>
              <w:rPr>
                <w:rFonts w:hint="eastAsia" w:eastAsia="宋体"/>
                <w:lang w:val="en-US" w:eastAsia="zh-CN"/>
              </w:rPr>
              <w:t xml:space="preserve">             </w:t>
            </w:r>
            <w:r>
              <w:rPr>
                <w:rFonts w:hint="eastAsia" w:eastAsia="宋体"/>
                <w:sz w:val="24"/>
                <w:szCs w:val="24"/>
                <w:lang w:val="en-US" w:eastAsia="zh-CN"/>
              </w:rPr>
              <w:t xml:space="preserve">  图2-2  施工期工艺流程及产污环节图</w:t>
            </w:r>
          </w:p>
          <w:p w14:paraId="03DF2CB7">
            <w:pPr>
              <w:bidi w:val="0"/>
              <w:rPr>
                <w:rFonts w:hint="eastAsia"/>
                <w:lang w:val="en-US" w:eastAsia="zh-CN"/>
              </w:rPr>
            </w:pPr>
          </w:p>
          <w:p w14:paraId="7F6E56E6">
            <w:pPr>
              <w:bidi w:val="0"/>
              <w:spacing w:line="360" w:lineRule="auto"/>
              <w:ind w:firstLine="480" w:firstLineChars="200"/>
              <w:rPr>
                <w:rFonts w:hint="default"/>
                <w:sz w:val="24"/>
                <w:szCs w:val="24"/>
                <w:lang w:val="en-US" w:eastAsia="zh-CN"/>
              </w:rPr>
            </w:pPr>
            <w:r>
              <w:rPr>
                <w:rFonts w:hint="eastAsia"/>
                <w:sz w:val="24"/>
                <w:szCs w:val="24"/>
                <w:lang w:val="en-US" w:eastAsia="zh-CN"/>
              </w:rPr>
              <w:t>施工期工艺流程简述：</w:t>
            </w:r>
          </w:p>
          <w:p w14:paraId="516B86A8">
            <w:pPr>
              <w:numPr>
                <w:ilvl w:val="0"/>
                <w:numId w:val="0"/>
              </w:numPr>
              <w:bidi w:val="0"/>
              <w:spacing w:line="360" w:lineRule="auto"/>
              <w:ind w:left="240" w:leftChars="0" w:firstLine="240" w:firstLineChars="100"/>
              <w:rPr>
                <w:rFonts w:hint="eastAsia" w:cs="Times New Roman"/>
                <w:color w:val="000000"/>
                <w:sz w:val="24"/>
                <w:szCs w:val="24"/>
                <w:lang w:val="en-US" w:eastAsia="zh-CN"/>
              </w:rPr>
            </w:pPr>
            <w:r>
              <w:rPr>
                <w:rFonts w:hint="eastAsia" w:ascii="Times New Roman" w:hAnsi="Times New Roman" w:cs="Times New Roman"/>
                <w:sz w:val="24"/>
                <w:szCs w:val="24"/>
                <w:lang w:val="en-US" w:eastAsia="zh-CN"/>
              </w:rPr>
              <w:t>①场地平整</w:t>
            </w:r>
            <w:r>
              <w:rPr>
                <w:rFonts w:hint="eastAsia" w:ascii="Times New Roman" w:hAnsi="Times New Roman" w:cs="Times New Roman"/>
                <w:sz w:val="24"/>
                <w:szCs w:val="24"/>
                <w:lang w:val="en-US" w:eastAsia="zh-CN"/>
              </w:rPr>
              <w:br w:type="textWrapping"/>
            </w:r>
            <w:r>
              <w:rPr>
                <w:rFonts w:hint="eastAsia" w:ascii="Times New Roman" w:hAnsi="Times New Roman" w:cs="Times New Roman"/>
                <w:sz w:val="24"/>
                <w:szCs w:val="24"/>
                <w:lang w:val="en-US" w:eastAsia="zh-CN"/>
              </w:rPr>
              <w:t xml:space="preserve">  项目</w:t>
            </w:r>
            <w:r>
              <w:rPr>
                <w:rFonts w:hint="eastAsia" w:cs="Times New Roman"/>
                <w:color w:val="000000"/>
                <w:sz w:val="24"/>
                <w:szCs w:val="24"/>
                <w:lang w:val="en-US" w:eastAsia="zh-CN"/>
              </w:rPr>
              <w:t>所在地为惠顿矿山公司原有工业场地，该场地在充填站建设之前一直为</w:t>
            </w:r>
          </w:p>
          <w:p w14:paraId="79E95237">
            <w:pPr>
              <w:numPr>
                <w:ilvl w:val="0"/>
                <w:numId w:val="0"/>
              </w:numPr>
              <w:bidi w:val="0"/>
              <w:spacing w:line="360" w:lineRule="auto"/>
              <w:ind w:left="480" w:hanging="480" w:hangingChars="200"/>
              <w:rPr>
                <w:rFonts w:hint="default" w:eastAsia="宋体"/>
                <w:lang w:val="en-US" w:eastAsia="zh-CN"/>
              </w:rPr>
            </w:pPr>
            <w:r>
              <w:rPr>
                <w:rFonts w:hint="eastAsia" w:cs="Times New Roman"/>
                <w:color w:val="000000"/>
                <w:sz w:val="24"/>
                <w:szCs w:val="24"/>
                <w:lang w:val="en-US" w:eastAsia="zh-CN"/>
              </w:rPr>
              <w:t>空闲区域，需对施工场地进行通水、通电，仅需对场地进行简单平整即可。</w:t>
            </w:r>
            <w:r>
              <w:rPr>
                <w:rFonts w:hint="eastAsia" w:cs="Times New Roman"/>
                <w:color w:val="000000"/>
                <w:sz w:val="24"/>
                <w:szCs w:val="24"/>
                <w:lang w:val="en-US" w:eastAsia="zh-CN"/>
              </w:rPr>
              <w:br w:type="textWrapping"/>
            </w:r>
            <w:r>
              <w:rPr>
                <w:rFonts w:hint="eastAsia" w:cs="Times New Roman"/>
                <w:color w:val="000000"/>
                <w:sz w:val="24"/>
                <w:szCs w:val="24"/>
                <w:lang w:val="en-US" w:eastAsia="zh-CN"/>
              </w:rPr>
              <w:t>②基础施工</w:t>
            </w:r>
            <w:r>
              <w:rPr>
                <w:rFonts w:hint="eastAsia" w:cs="Times New Roman"/>
                <w:color w:val="000000"/>
                <w:sz w:val="24"/>
                <w:szCs w:val="24"/>
                <w:lang w:val="en-US" w:eastAsia="zh-CN"/>
              </w:rPr>
              <w:br w:type="textWrapping"/>
            </w:r>
            <w:r>
              <w:rPr>
                <w:rFonts w:hint="eastAsia" w:cs="Times New Roman"/>
                <w:color w:val="000000"/>
                <w:sz w:val="24"/>
                <w:szCs w:val="24"/>
                <w:lang w:val="en-US" w:eastAsia="zh-CN"/>
              </w:rPr>
              <w:t>项目建筑物的基础施工主要包括土石方处理、防护基础、地基施工等。</w:t>
            </w:r>
          </w:p>
          <w:p w14:paraId="6052A6CA">
            <w:pPr>
              <w:numPr>
                <w:ilvl w:val="0"/>
                <w:numId w:val="0"/>
              </w:numPr>
              <w:bidi w:val="0"/>
              <w:spacing w:line="360" w:lineRule="auto"/>
              <w:ind w:left="479" w:leftChars="228" w:firstLine="0" w:firstLineChars="0"/>
              <w:rPr>
                <w:rFonts w:hint="eastAsia"/>
                <w:sz w:val="24"/>
                <w:szCs w:val="24"/>
                <w:lang w:val="en-US" w:eastAsia="zh-CN"/>
              </w:rPr>
            </w:pPr>
            <w:r>
              <w:rPr>
                <w:rFonts w:hint="eastAsia"/>
                <w:sz w:val="24"/>
                <w:szCs w:val="24"/>
                <w:lang w:val="en-US" w:eastAsia="zh-CN"/>
              </w:rPr>
              <w:t>③主体工程建设</w:t>
            </w:r>
            <w:r>
              <w:rPr>
                <w:rFonts w:hint="eastAsia"/>
                <w:sz w:val="24"/>
                <w:szCs w:val="24"/>
                <w:lang w:val="en-US" w:eastAsia="zh-CN"/>
              </w:rPr>
              <w:br w:type="textWrapping"/>
            </w:r>
            <w:r>
              <w:rPr>
                <w:rFonts w:hint="eastAsia"/>
                <w:sz w:val="24"/>
                <w:szCs w:val="24"/>
                <w:lang w:val="en-US" w:eastAsia="zh-CN"/>
              </w:rPr>
              <w:t>项目主体工程主要为厂房建设，建筑结构为钢架及砖混结构，采用机械与人</w:t>
            </w:r>
          </w:p>
          <w:p w14:paraId="77AB4C2E">
            <w:pPr>
              <w:numPr>
                <w:ilvl w:val="0"/>
                <w:numId w:val="0"/>
              </w:numPr>
              <w:bidi w:val="0"/>
              <w:spacing w:line="360" w:lineRule="auto"/>
              <w:ind w:left="480" w:hanging="480" w:hangingChars="200"/>
              <w:rPr>
                <w:rFonts w:hint="eastAsia"/>
                <w:sz w:val="24"/>
                <w:szCs w:val="24"/>
                <w:lang w:val="en-US" w:eastAsia="zh-CN"/>
              </w:rPr>
            </w:pPr>
            <w:r>
              <w:rPr>
                <w:rFonts w:hint="eastAsia"/>
                <w:sz w:val="24"/>
                <w:szCs w:val="24"/>
                <w:lang w:val="en-US" w:eastAsia="zh-CN"/>
              </w:rPr>
              <w:t>工施工相结合的方式。</w:t>
            </w:r>
            <w:r>
              <w:rPr>
                <w:rFonts w:hint="eastAsia"/>
                <w:sz w:val="24"/>
                <w:szCs w:val="24"/>
                <w:lang w:val="en-US" w:eastAsia="zh-CN"/>
              </w:rPr>
              <w:br w:type="textWrapping"/>
            </w:r>
            <w:r>
              <w:rPr>
                <w:rFonts w:hint="eastAsia"/>
                <w:sz w:val="24"/>
                <w:szCs w:val="24"/>
                <w:lang w:val="en-US" w:eastAsia="zh-CN"/>
              </w:rPr>
              <w:t>④设备安装、调试等</w:t>
            </w:r>
          </w:p>
          <w:p w14:paraId="06FB7810">
            <w:pPr>
              <w:numPr>
                <w:ilvl w:val="0"/>
                <w:numId w:val="0"/>
              </w:numPr>
              <w:bidi w:val="0"/>
              <w:spacing w:line="360" w:lineRule="auto"/>
              <w:ind w:left="479" w:leftChars="228" w:firstLine="0" w:firstLineChars="0"/>
              <w:rPr>
                <w:rFonts w:hint="eastAsia"/>
                <w:sz w:val="24"/>
                <w:szCs w:val="24"/>
                <w:lang w:val="en-US" w:eastAsia="zh-CN"/>
              </w:rPr>
            </w:pPr>
            <w:r>
              <w:rPr>
                <w:rFonts w:hint="eastAsia"/>
                <w:sz w:val="24"/>
                <w:szCs w:val="24"/>
                <w:lang w:val="en-US" w:eastAsia="zh-CN"/>
              </w:rPr>
              <w:t>主要进行设备安装、调试，并对建筑物进行装修，设置必要的水、电、照</w:t>
            </w:r>
          </w:p>
          <w:p w14:paraId="7D051DE9">
            <w:pPr>
              <w:numPr>
                <w:ilvl w:val="0"/>
                <w:numId w:val="0"/>
              </w:numPr>
              <w:bidi w:val="0"/>
              <w:spacing w:line="360" w:lineRule="auto"/>
              <w:ind w:left="480" w:hanging="480" w:hangingChars="200"/>
              <w:rPr>
                <w:rFonts w:hint="eastAsia"/>
                <w:sz w:val="24"/>
                <w:szCs w:val="24"/>
                <w:lang w:val="en-US" w:eastAsia="zh-CN"/>
              </w:rPr>
            </w:pPr>
            <w:r>
              <w:rPr>
                <w:rFonts w:hint="eastAsia"/>
                <w:sz w:val="24"/>
                <w:szCs w:val="24"/>
                <w:lang w:val="en-US" w:eastAsia="zh-CN"/>
              </w:rPr>
              <w:t>明设备。</w:t>
            </w:r>
            <w:r>
              <w:rPr>
                <w:rFonts w:hint="eastAsia"/>
                <w:sz w:val="24"/>
                <w:szCs w:val="24"/>
                <w:lang w:val="en-US" w:eastAsia="zh-CN"/>
              </w:rPr>
              <w:br w:type="textWrapping"/>
            </w:r>
            <w:r>
              <w:rPr>
                <w:rFonts w:hint="eastAsia"/>
                <w:sz w:val="24"/>
                <w:szCs w:val="24"/>
                <w:lang w:val="en-US" w:eastAsia="zh-CN"/>
              </w:rPr>
              <w:t>⑤试运行</w:t>
            </w:r>
            <w:r>
              <w:rPr>
                <w:rFonts w:hint="eastAsia"/>
                <w:sz w:val="24"/>
                <w:szCs w:val="24"/>
                <w:lang w:val="en-US" w:eastAsia="zh-CN"/>
              </w:rPr>
              <w:br w:type="textWrapping"/>
            </w:r>
            <w:r>
              <w:rPr>
                <w:rFonts w:hint="eastAsia"/>
                <w:sz w:val="24"/>
                <w:szCs w:val="24"/>
                <w:lang w:val="en-US" w:eastAsia="zh-CN"/>
              </w:rPr>
              <w:t>项目完工后投入试运行验收。</w:t>
            </w:r>
          </w:p>
          <w:p w14:paraId="25C04016">
            <w:pPr>
              <w:numPr>
                <w:ilvl w:val="0"/>
                <w:numId w:val="15"/>
              </w:numPr>
              <w:bidi w:val="0"/>
              <w:spacing w:line="360" w:lineRule="auto"/>
              <w:ind w:left="719" w:leftChars="228" w:hanging="240" w:hangingChars="100"/>
              <w:rPr>
                <w:rFonts w:hint="eastAsia"/>
                <w:sz w:val="24"/>
                <w:szCs w:val="24"/>
                <w:lang w:val="en-US" w:eastAsia="zh-CN"/>
              </w:rPr>
            </w:pPr>
            <w:r>
              <w:rPr>
                <w:rFonts w:hint="eastAsia"/>
                <w:sz w:val="24"/>
                <w:szCs w:val="24"/>
                <w:lang w:val="en-US" w:eastAsia="zh-CN"/>
              </w:rPr>
              <w:t>管线施工工艺</w:t>
            </w:r>
          </w:p>
          <w:p w14:paraId="4BA75B8A">
            <w:pPr>
              <w:numPr>
                <w:ilvl w:val="0"/>
                <w:numId w:val="0"/>
              </w:numPr>
              <w:bidi w:val="0"/>
              <w:spacing w:line="360" w:lineRule="auto"/>
              <w:ind w:leftChars="128" w:firstLine="240" w:firstLineChars="100"/>
              <w:rPr>
                <w:rFonts w:hint="eastAsia"/>
                <w:sz w:val="24"/>
                <w:szCs w:val="24"/>
                <w:lang w:val="en-US" w:eastAsia="zh-CN"/>
              </w:rPr>
            </w:pPr>
            <w:r>
              <w:rPr>
                <w:rFonts w:hint="eastAsia"/>
                <w:sz w:val="24"/>
                <w:szCs w:val="24"/>
                <w:lang w:val="en-US" w:eastAsia="zh-CN"/>
              </w:rPr>
              <w:t>管线施工主要为管道支架安装、管道焊接等基础性工作，管道敷设完工后对</w:t>
            </w:r>
          </w:p>
          <w:p w14:paraId="588D99B9">
            <w:pPr>
              <w:numPr>
                <w:ilvl w:val="0"/>
                <w:numId w:val="0"/>
              </w:numPr>
              <w:bidi w:val="0"/>
              <w:spacing w:line="360" w:lineRule="auto"/>
              <w:rPr>
                <w:rFonts w:hint="eastAsia"/>
                <w:sz w:val="24"/>
                <w:szCs w:val="24"/>
                <w:lang w:val="en-US" w:eastAsia="zh-CN"/>
              </w:rPr>
            </w:pPr>
            <w:r>
              <w:rPr>
                <w:rFonts w:hint="eastAsia"/>
                <w:sz w:val="24"/>
                <w:szCs w:val="24"/>
                <w:lang w:val="en-US" w:eastAsia="zh-CN"/>
              </w:rPr>
              <w:t>管道进行试压，试压合格后，进行试生产。</w:t>
            </w:r>
          </w:p>
          <w:p w14:paraId="47AB96C8">
            <w:pPr>
              <w:numPr>
                <w:ilvl w:val="0"/>
                <w:numId w:val="0"/>
              </w:numPr>
              <w:bidi w:val="0"/>
              <w:spacing w:line="360" w:lineRule="auto"/>
              <w:ind w:firstLine="480" w:firstLineChars="200"/>
              <w:rPr>
                <w:rFonts w:hint="eastAsia"/>
                <w:sz w:val="24"/>
                <w:szCs w:val="24"/>
                <w:lang w:val="en-US" w:eastAsia="zh-CN"/>
              </w:rPr>
            </w:pPr>
            <w:r>
              <w:rPr>
                <w:rFonts w:hint="eastAsia"/>
                <w:sz w:val="24"/>
                <w:szCs w:val="24"/>
                <w:lang w:val="en-US" w:eastAsia="zh-CN"/>
              </w:rPr>
              <w:t>①管道敷设</w:t>
            </w:r>
          </w:p>
          <w:p w14:paraId="26FFD8D9">
            <w:pPr>
              <w:numPr>
                <w:ilvl w:val="0"/>
                <w:numId w:val="0"/>
              </w:numPr>
              <w:bidi w:val="0"/>
              <w:spacing w:line="360" w:lineRule="auto"/>
              <w:ind w:firstLine="480" w:firstLineChars="200"/>
              <w:rPr>
                <w:rFonts w:hint="eastAsia"/>
                <w:sz w:val="24"/>
                <w:szCs w:val="24"/>
                <w:u w:val="none"/>
                <w:lang w:val="en-US" w:eastAsia="zh-CN"/>
              </w:rPr>
            </w:pPr>
            <w:r>
              <w:rPr>
                <w:rFonts w:hint="eastAsia"/>
                <w:sz w:val="24"/>
                <w:szCs w:val="24"/>
                <w:u w:val="none"/>
                <w:lang w:val="en-US" w:eastAsia="zh-CN"/>
              </w:rPr>
              <w:t>项目尾砂料浆输送管线全长2340m，沿现有道路进行铺设，所使用的管道及</w:t>
            </w:r>
          </w:p>
          <w:p w14:paraId="4841A588">
            <w:pPr>
              <w:numPr>
                <w:ilvl w:val="0"/>
                <w:numId w:val="0"/>
              </w:numPr>
              <w:bidi w:val="0"/>
              <w:spacing w:line="360" w:lineRule="auto"/>
              <w:rPr>
                <w:rFonts w:hint="eastAsia"/>
                <w:sz w:val="24"/>
                <w:szCs w:val="24"/>
                <w:u w:val="none"/>
                <w:lang w:val="en-US" w:eastAsia="zh-CN"/>
              </w:rPr>
            </w:pPr>
            <w:r>
              <w:rPr>
                <w:rFonts w:hint="eastAsia"/>
                <w:sz w:val="24"/>
                <w:szCs w:val="24"/>
                <w:u w:val="none"/>
                <w:lang w:val="en-US" w:eastAsia="zh-CN"/>
              </w:rPr>
              <w:t>其防腐层均购买成品管，不涉及施工管材的生产与制作。管线施工全部采用地上架设的方式进行，不进行管沟开挖，填充料浆的管线沿矿井硐敷设，无需新增开挖地表，均不涉及占用和破坏植被。</w:t>
            </w:r>
          </w:p>
          <w:p w14:paraId="1F615BB2">
            <w:pPr>
              <w:numPr>
                <w:ilvl w:val="0"/>
                <w:numId w:val="0"/>
              </w:numPr>
              <w:bidi w:val="0"/>
              <w:spacing w:line="360" w:lineRule="auto"/>
              <w:ind w:firstLine="480" w:firstLineChars="200"/>
              <w:rPr>
                <w:rFonts w:hint="eastAsia"/>
                <w:sz w:val="24"/>
                <w:szCs w:val="24"/>
                <w:lang w:val="en-US" w:eastAsia="zh-CN"/>
              </w:rPr>
            </w:pPr>
            <w:r>
              <w:rPr>
                <w:rFonts w:hint="eastAsia"/>
                <w:sz w:val="24"/>
                <w:szCs w:val="24"/>
                <w:lang w:val="en-US" w:eastAsia="zh-CN"/>
              </w:rPr>
              <w:t>②管道支架安装</w:t>
            </w:r>
          </w:p>
          <w:p w14:paraId="3D4A538B">
            <w:pPr>
              <w:numPr>
                <w:ilvl w:val="0"/>
                <w:numId w:val="0"/>
              </w:numPr>
              <w:bidi w:val="0"/>
              <w:spacing w:line="360" w:lineRule="auto"/>
              <w:ind w:firstLine="480" w:firstLineChars="200"/>
              <w:rPr>
                <w:rFonts w:hint="eastAsia"/>
                <w:sz w:val="24"/>
                <w:szCs w:val="24"/>
                <w:lang w:val="en-US" w:eastAsia="zh-CN"/>
              </w:rPr>
            </w:pPr>
            <w:r>
              <w:rPr>
                <w:rFonts w:hint="eastAsia"/>
                <w:sz w:val="24"/>
                <w:szCs w:val="24"/>
                <w:lang w:val="en-US" w:eastAsia="zh-CN"/>
              </w:rPr>
              <w:t>管道安装前，应完成管道支架的安装，支架的位置应正确、牢固，坡度符合设计规定，支架支撑表面的标高可采用在其上部加设金属垫板的方式进行调整。</w:t>
            </w:r>
            <w:r>
              <w:rPr>
                <w:rFonts w:hint="eastAsia"/>
                <w:sz w:val="24"/>
                <w:szCs w:val="24"/>
                <w:lang w:val="en-US" w:eastAsia="zh-CN"/>
              </w:rPr>
              <w:br w:type="textWrapping"/>
            </w:r>
            <w:r>
              <w:rPr>
                <w:rFonts w:hint="eastAsia"/>
                <w:sz w:val="24"/>
                <w:szCs w:val="24"/>
                <w:lang w:val="en-US" w:eastAsia="zh-CN"/>
              </w:rPr>
              <w:t xml:space="preserve">    ③管道焊接施工</w:t>
            </w:r>
            <w:r>
              <w:rPr>
                <w:rFonts w:hint="eastAsia"/>
                <w:sz w:val="24"/>
                <w:szCs w:val="24"/>
                <w:lang w:val="en-US" w:eastAsia="zh-CN"/>
              </w:rPr>
              <w:br w:type="textWrapping"/>
            </w:r>
            <w:r>
              <w:rPr>
                <w:rFonts w:hint="eastAsia"/>
                <w:sz w:val="24"/>
                <w:szCs w:val="24"/>
                <w:lang w:val="en-US" w:eastAsia="zh-CN"/>
              </w:rPr>
              <w:t xml:space="preserve">    焊工应按指定的焊接作业指导书进行施焊，承插焊时最少要焊两遍，不合格的焊缝应进行返修，返修次数不超过三次。</w:t>
            </w:r>
          </w:p>
          <w:p w14:paraId="3292B044">
            <w:pPr>
              <w:numPr>
                <w:ilvl w:val="0"/>
                <w:numId w:val="0"/>
              </w:numPr>
              <w:bidi w:val="0"/>
              <w:spacing w:line="360" w:lineRule="auto"/>
              <w:ind w:left="479" w:leftChars="228" w:firstLine="0" w:firstLineChars="0"/>
              <w:rPr>
                <w:rFonts w:hint="eastAsia"/>
                <w:sz w:val="24"/>
                <w:szCs w:val="24"/>
                <w:lang w:val="en-US" w:eastAsia="zh-CN"/>
              </w:rPr>
            </w:pPr>
            <w:r>
              <w:rPr>
                <w:rFonts w:hint="eastAsia"/>
                <w:sz w:val="24"/>
                <w:szCs w:val="24"/>
                <w:lang w:val="en-US" w:eastAsia="zh-CN"/>
              </w:rPr>
              <w:t>④试压、试运行</w:t>
            </w:r>
            <w:r>
              <w:rPr>
                <w:rFonts w:hint="eastAsia"/>
                <w:sz w:val="24"/>
                <w:szCs w:val="24"/>
                <w:lang w:val="en-US" w:eastAsia="zh-CN"/>
              </w:rPr>
              <w:br w:type="textWrapping"/>
            </w:r>
            <w:r>
              <w:rPr>
                <w:rFonts w:hint="eastAsia"/>
                <w:sz w:val="24"/>
                <w:szCs w:val="24"/>
                <w:lang w:val="en-US" w:eastAsia="zh-CN"/>
              </w:rPr>
              <w:t>管道敷设完工后应进行试压，管道内的压力升至压力并趋于稳定后，详细检</w:t>
            </w:r>
          </w:p>
          <w:p w14:paraId="351D76E2">
            <w:pPr>
              <w:numPr>
                <w:ilvl w:val="0"/>
                <w:numId w:val="0"/>
              </w:numPr>
              <w:bidi w:val="0"/>
              <w:spacing w:line="360" w:lineRule="auto"/>
              <w:rPr>
                <w:rFonts w:hint="eastAsia"/>
                <w:sz w:val="24"/>
                <w:szCs w:val="24"/>
                <w:lang w:val="en-US" w:eastAsia="zh-CN"/>
              </w:rPr>
            </w:pPr>
            <w:r>
              <w:rPr>
                <w:rFonts w:hint="eastAsia"/>
                <w:sz w:val="24"/>
                <w:szCs w:val="24"/>
                <w:lang w:val="en-US" w:eastAsia="zh-CN"/>
              </w:rPr>
              <w:t>查管道焊口、管件等有无渗漏，周定的支架有无明显的位移等。试压合格后，用水进行清洗。</w:t>
            </w:r>
          </w:p>
          <w:p w14:paraId="3A981C38">
            <w:pPr>
              <w:pStyle w:val="3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479" w:leftChars="228" w:right="0" w:rightChars="0" w:firstLine="0" w:firstLineChars="0"/>
              <w:textAlignment w:val="auto"/>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本项目尾矿砂浆输送系统和溢流水自流系统、充填站、搅拌系统、充填料</w:t>
            </w:r>
          </w:p>
          <w:p w14:paraId="51607AE9">
            <w:pPr>
              <w:numPr>
                <w:ilvl w:val="0"/>
                <w:numId w:val="0"/>
              </w:numPr>
              <w:bidi w:val="0"/>
              <w:spacing w:line="360" w:lineRule="auto"/>
              <w:rPr>
                <w:rFonts w:hint="eastAsia" w:ascii="宋体" w:hAnsi="宋体" w:eastAsia="宋体" w:cs="宋体"/>
                <w:b/>
                <w:bCs/>
                <w:sz w:val="24"/>
                <w:lang w:val="en-US" w:eastAsia="zh-CN"/>
              </w:rPr>
            </w:pPr>
            <w:r>
              <w:rPr>
                <w:rFonts w:hint="eastAsia" w:ascii="Times New Roman" w:hAnsi="Times New Roman" w:eastAsia="宋体" w:cs="Times New Roman"/>
                <w:color w:val="auto"/>
                <w:sz w:val="24"/>
                <w:szCs w:val="24"/>
                <w:u w:val="single"/>
                <w:lang w:val="en-US" w:eastAsia="zh-CN"/>
              </w:rPr>
              <w:t>浆输送管线等主体工程已经建设完成</w:t>
            </w:r>
            <w:r>
              <w:rPr>
                <w:rFonts w:hint="eastAsia" w:cs="Times New Roman"/>
                <w:color w:val="auto"/>
                <w:sz w:val="24"/>
                <w:szCs w:val="24"/>
                <w:u w:val="single"/>
                <w:lang w:val="en-US" w:eastAsia="zh-CN"/>
              </w:rPr>
              <w:t>，生活用房主体结构已经完工，</w:t>
            </w:r>
            <w:r>
              <w:rPr>
                <w:rFonts w:hint="eastAsia" w:ascii="Times New Roman" w:hAnsi="Times New Roman" w:eastAsia="宋体" w:cs="Times New Roman"/>
                <w:color w:val="auto"/>
                <w:sz w:val="24"/>
                <w:szCs w:val="24"/>
                <w:u w:val="single"/>
                <w:lang w:val="en-US" w:eastAsia="zh-CN"/>
              </w:rPr>
              <w:t>后期只进行场地清理及生活房</w:t>
            </w:r>
            <w:r>
              <w:rPr>
                <w:rFonts w:hint="eastAsia" w:cs="Times New Roman"/>
                <w:color w:val="auto"/>
                <w:sz w:val="24"/>
                <w:szCs w:val="24"/>
                <w:u w:val="single"/>
                <w:lang w:val="en-US" w:eastAsia="zh-CN"/>
              </w:rPr>
              <w:t>装修</w:t>
            </w:r>
            <w:r>
              <w:rPr>
                <w:rFonts w:hint="eastAsia" w:ascii="Times New Roman" w:hAnsi="Times New Roman" w:eastAsia="宋体" w:cs="Times New Roman"/>
                <w:color w:val="auto"/>
                <w:sz w:val="24"/>
                <w:szCs w:val="24"/>
                <w:u w:val="single"/>
                <w:lang w:val="en-US" w:eastAsia="zh-CN"/>
              </w:rPr>
              <w:t>，在</w:t>
            </w:r>
            <w:r>
              <w:rPr>
                <w:rFonts w:hint="eastAsia" w:cs="Times New Roman"/>
                <w:color w:val="auto"/>
                <w:sz w:val="24"/>
                <w:szCs w:val="24"/>
                <w:u w:val="single"/>
                <w:lang w:val="en-US" w:eastAsia="zh-CN"/>
              </w:rPr>
              <w:t>房屋装修</w:t>
            </w:r>
            <w:r>
              <w:rPr>
                <w:rFonts w:hint="eastAsia" w:ascii="Times New Roman" w:hAnsi="Times New Roman" w:eastAsia="宋体" w:cs="Times New Roman"/>
                <w:color w:val="auto"/>
                <w:sz w:val="24"/>
                <w:szCs w:val="24"/>
                <w:u w:val="single"/>
                <w:lang w:val="en-US" w:eastAsia="zh-CN"/>
              </w:rPr>
              <w:t>时会产生少量的金属废弃物、建筑垃圾及施工人员生活垃圾等。</w:t>
            </w:r>
          </w:p>
          <w:p w14:paraId="719E0D6B">
            <w:pPr>
              <w:numPr>
                <w:ilvl w:val="0"/>
                <w:numId w:val="0"/>
              </w:numPr>
              <w:bidi w:val="0"/>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二、运营期</w:t>
            </w:r>
          </w:p>
          <w:p w14:paraId="7ACFF3AF">
            <w:pPr>
              <w:numPr>
                <w:ilvl w:val="0"/>
                <w:numId w:val="0"/>
              </w:numPr>
              <w:bidi w:val="0"/>
              <w:spacing w:line="360" w:lineRule="auto"/>
              <w:ind w:left="479" w:leftChars="228" w:firstLine="0" w:firstLineChars="0"/>
              <w:rPr>
                <w:rFonts w:hint="eastAsia"/>
                <w:b/>
                <w:bCs/>
                <w:sz w:val="24"/>
                <w:szCs w:val="24"/>
                <w:lang w:val="en-US" w:eastAsia="zh-CN"/>
              </w:rPr>
            </w:pPr>
            <w:r>
              <w:rPr>
                <w:rFonts w:hint="eastAsia"/>
                <w:b/>
                <w:bCs/>
                <w:sz w:val="24"/>
                <w:szCs w:val="24"/>
                <w:lang w:val="en-US" w:eastAsia="zh-CN"/>
              </w:rPr>
              <w:t>①项目生产工艺流程</w:t>
            </w:r>
          </w:p>
          <w:p w14:paraId="69D4186B">
            <w:pPr>
              <w:spacing w:line="360" w:lineRule="auto"/>
              <w:ind w:firstLine="480" w:firstLineChars="200"/>
              <w:contextualSpacing/>
              <w:rPr>
                <w:rFonts w:hint="eastAsia"/>
                <w:sz w:val="24"/>
                <w:lang w:val="en-US" w:eastAsia="zh-CN"/>
              </w:rPr>
            </w:pPr>
            <w:r>
              <w:rPr>
                <w:rFonts w:hint="eastAsia"/>
                <w:sz w:val="24"/>
              </w:rPr>
              <w:t>工艺流程简述：</w:t>
            </w:r>
          </w:p>
          <w:p w14:paraId="40670543">
            <w:pPr>
              <w:spacing w:line="360" w:lineRule="auto"/>
              <w:contextualSpacing/>
              <w:rPr>
                <w:rFonts w:hint="eastAsia"/>
                <w:sz w:val="24"/>
                <w:lang w:val="en-US" w:eastAsia="zh-CN"/>
              </w:rPr>
            </w:pPr>
            <w:r>
              <w:rPr>
                <w:rFonts w:hint="eastAsia"/>
                <w:sz w:val="24"/>
                <w:lang w:val="en-US" w:eastAsia="zh-CN"/>
              </w:rPr>
              <w:t xml:space="preserve">   （1）尾砂输送及浓密系统</w:t>
            </w:r>
            <w:r>
              <w:rPr>
                <w:rFonts w:hint="eastAsia"/>
                <w:sz w:val="24"/>
                <w:lang w:val="en-US" w:eastAsia="zh-CN"/>
              </w:rPr>
              <w:br w:type="textWrapping"/>
            </w:r>
            <w:r>
              <w:rPr>
                <w:rFonts w:hint="eastAsia"/>
                <w:sz w:val="24"/>
                <w:lang w:val="en-US" w:eastAsia="zh-CN"/>
              </w:rPr>
              <w:t xml:space="preserve">    本项目以选厂尾矿砂作为充填料浆生产的骨料，选厂尾矿浆浓度约28%，通过管道输送至膏体仓储浓密机，将低浓度的尾砂浓缩成高浓度的尾砂，通过絮凝剂添加系统添加一定量的聚丙烯酰胺，以提高尾砂浆的沉降速度，尾矿浆浓密沉降后的溢流水进入设置的溢流水池，通过溢流水回水管线回用至选厂，循环使用，浓密后约72%高浓度料浆通过底部输送系统进入搅拌机内。</w:t>
            </w:r>
            <w:r>
              <w:rPr>
                <w:rFonts w:hint="eastAsia"/>
                <w:sz w:val="24"/>
                <w:lang w:val="en-US" w:eastAsia="zh-CN"/>
              </w:rPr>
              <w:br w:type="textWrapping"/>
            </w:r>
            <w:r>
              <w:rPr>
                <w:rFonts w:hint="eastAsia"/>
                <w:sz w:val="24"/>
                <w:lang w:val="en-US" w:eastAsia="zh-CN"/>
              </w:rPr>
              <w:t xml:space="preserve">   （2）水泥供给系统</w:t>
            </w:r>
            <w:r>
              <w:rPr>
                <w:rFonts w:hint="eastAsia"/>
                <w:sz w:val="24"/>
                <w:lang w:val="en-US" w:eastAsia="zh-CN"/>
              </w:rPr>
              <w:br w:type="textWrapping"/>
            </w:r>
            <w:r>
              <w:rPr>
                <w:rFonts w:hint="eastAsia"/>
                <w:sz w:val="24"/>
                <w:lang w:val="en-US" w:eastAsia="zh-CN"/>
              </w:rPr>
              <w:t xml:space="preserve">   作为填充胶结材料的水泥采用罐车进行输送，经罐车自带的空压机压气吹入</w:t>
            </w:r>
          </w:p>
          <w:p w14:paraId="1009B4B9">
            <w:pPr>
              <w:spacing w:line="360" w:lineRule="auto"/>
              <w:ind w:left="480" w:hanging="480" w:hangingChars="200"/>
              <w:contextualSpacing/>
              <w:rPr>
                <w:rFonts w:hint="eastAsia"/>
                <w:sz w:val="24"/>
                <w:lang w:val="en-US" w:eastAsia="zh-CN"/>
              </w:rPr>
            </w:pPr>
            <w:r>
              <w:rPr>
                <w:rFonts w:hint="eastAsia"/>
                <w:sz w:val="24"/>
                <w:lang w:val="en-US" w:eastAsia="zh-CN"/>
              </w:rPr>
              <w:t>水泥仓内进行储存，当填充需要水泥时，打开水泥仓底部</w:t>
            </w:r>
            <w:r>
              <w:rPr>
                <w:rFonts w:hint="eastAsia" w:ascii="Times New Roman" w:hAnsi="Times New Roman" w:eastAsia="宋体" w:cs="黑体"/>
                <w:sz w:val="24"/>
              </w:rPr>
              <w:t>电液闸门</w:t>
            </w:r>
            <w:r>
              <w:rPr>
                <w:rFonts w:hint="eastAsia"/>
                <w:sz w:val="24"/>
                <w:lang w:val="en-US" w:eastAsia="zh-CN"/>
              </w:rPr>
              <w:t>，启动螺旋输</w:t>
            </w:r>
          </w:p>
          <w:p w14:paraId="1059BB43">
            <w:pPr>
              <w:spacing w:line="360" w:lineRule="auto"/>
              <w:ind w:left="480" w:hanging="480" w:hangingChars="200"/>
              <w:contextualSpacing/>
              <w:rPr>
                <w:rFonts w:hint="eastAsia"/>
                <w:sz w:val="24"/>
                <w:lang w:val="en-US" w:eastAsia="zh-CN"/>
              </w:rPr>
            </w:pPr>
            <w:r>
              <w:rPr>
                <w:rFonts w:hint="eastAsia"/>
                <w:sz w:val="24"/>
                <w:lang w:val="en-US" w:eastAsia="zh-CN"/>
              </w:rPr>
              <w:t>送给料机向搅拌机定量供给水泥，水泥给料量由螺旋计量秤检测，螺旋输送机</w:t>
            </w:r>
          </w:p>
          <w:p w14:paraId="1D211AB8">
            <w:pPr>
              <w:spacing w:line="360" w:lineRule="auto"/>
              <w:ind w:left="480" w:hanging="480" w:hangingChars="200"/>
              <w:contextualSpacing/>
              <w:rPr>
                <w:rFonts w:hint="eastAsia"/>
                <w:sz w:val="24"/>
                <w:lang w:val="en-US" w:eastAsia="zh-CN"/>
              </w:rPr>
            </w:pPr>
            <w:r>
              <w:rPr>
                <w:rFonts w:hint="eastAsia"/>
                <w:sz w:val="24"/>
                <w:lang w:val="en-US" w:eastAsia="zh-CN"/>
              </w:rPr>
              <w:t>采用变频调速，改变螺旋输送机转速即可改变水泥给料量，将水泥给料至搅拌机</w:t>
            </w:r>
          </w:p>
          <w:p w14:paraId="46F22759">
            <w:pPr>
              <w:spacing w:line="360" w:lineRule="auto"/>
              <w:ind w:left="480" w:hanging="480" w:hangingChars="200"/>
              <w:contextualSpacing/>
              <w:rPr>
                <w:rFonts w:hint="eastAsia"/>
                <w:sz w:val="24"/>
                <w:lang w:val="en-US" w:eastAsia="zh-CN"/>
              </w:rPr>
            </w:pPr>
            <w:r>
              <w:rPr>
                <w:rFonts w:hint="eastAsia"/>
                <w:sz w:val="24"/>
                <w:lang w:val="en-US" w:eastAsia="zh-CN"/>
              </w:rPr>
              <w:t>内。水泥顶部设有袋式除尘器，满足上料时除尘需要。</w:t>
            </w:r>
            <w:r>
              <w:rPr>
                <w:rFonts w:hint="eastAsia"/>
                <w:sz w:val="24"/>
                <w:lang w:val="en-US" w:eastAsia="zh-CN"/>
              </w:rPr>
              <w:br w:type="textWrapping"/>
            </w:r>
            <w:r>
              <w:rPr>
                <w:rFonts w:hint="eastAsia"/>
                <w:sz w:val="24"/>
                <w:lang w:val="en-US" w:eastAsia="zh-CN"/>
              </w:rPr>
              <w:t>（3）填充料浆搅拌系统和泵送系统</w:t>
            </w:r>
            <w:r>
              <w:rPr>
                <w:rFonts w:hint="eastAsia"/>
                <w:sz w:val="24"/>
                <w:lang w:val="en-US" w:eastAsia="zh-CN"/>
              </w:rPr>
              <w:br w:type="textWrapping"/>
            </w:r>
            <w:r>
              <w:rPr>
                <w:rFonts w:hint="eastAsia"/>
                <w:sz w:val="24"/>
                <w:lang w:val="en-US" w:eastAsia="zh-CN"/>
              </w:rPr>
              <w:t>经浓密后的尾砂浆、水泥在高速搅拌机内进行混合搅拌，制备成高浓度的填</w:t>
            </w:r>
          </w:p>
          <w:p w14:paraId="23E179F9">
            <w:pPr>
              <w:spacing w:line="360" w:lineRule="auto"/>
              <w:ind w:left="480" w:hanging="480" w:hangingChars="200"/>
              <w:contextualSpacing/>
              <w:rPr>
                <w:rFonts w:hint="eastAsia" w:ascii="Times New Roman" w:hAnsi="Times New Roman" w:eastAsia="宋体" w:cs="黑体"/>
                <w:sz w:val="24"/>
              </w:rPr>
            </w:pPr>
            <w:r>
              <w:rPr>
                <w:rFonts w:hint="eastAsia"/>
                <w:sz w:val="24"/>
                <w:lang w:val="en-US" w:eastAsia="zh-CN"/>
              </w:rPr>
              <w:t>充料浆通过填充工业泵，经填充管道输送至井下采空区区域。</w:t>
            </w:r>
            <w:r>
              <w:rPr>
                <w:rFonts w:hint="eastAsia"/>
                <w:sz w:val="24"/>
                <w:lang w:val="en-US" w:eastAsia="zh-CN"/>
              </w:rPr>
              <w:br w:type="textWrapping"/>
            </w:r>
            <w:r>
              <w:rPr>
                <w:rFonts w:hint="eastAsia"/>
                <w:sz w:val="24"/>
                <w:lang w:val="en-US" w:eastAsia="zh-CN"/>
              </w:rPr>
              <w:t>（4）自动控制系统</w:t>
            </w:r>
            <w:r>
              <w:rPr>
                <w:rFonts w:hint="eastAsia"/>
                <w:sz w:val="24"/>
                <w:lang w:val="en-US" w:eastAsia="zh-CN"/>
              </w:rPr>
              <w:br w:type="textWrapping"/>
            </w:r>
            <w:r>
              <w:rPr>
                <w:rFonts w:hint="eastAsia" w:ascii="Times New Roman" w:hAnsi="Times New Roman" w:eastAsia="宋体" w:cs="黑体"/>
                <w:sz w:val="24"/>
              </w:rPr>
              <w:t>充填系统设立较完善的自控系统，以对充填系统各运行参数进行检测和调</w:t>
            </w:r>
          </w:p>
          <w:p w14:paraId="1AFF34DA">
            <w:pPr>
              <w:spacing w:line="360" w:lineRule="auto"/>
              <w:ind w:left="480" w:hanging="480" w:hangingChars="200"/>
              <w:contextualSpacing/>
              <w:rPr>
                <w:rFonts w:hint="eastAsia"/>
                <w:sz w:val="24"/>
                <w:szCs w:val="24"/>
                <w:lang w:val="en-US" w:eastAsia="zh-CN"/>
              </w:rPr>
            </w:pPr>
            <w:r>
              <w:rPr>
                <w:rFonts w:hint="eastAsia" w:ascii="Times New Roman" w:hAnsi="Times New Roman" w:eastAsia="宋体" w:cs="黑体"/>
                <w:sz w:val="24"/>
              </w:rPr>
              <w:t>节，保证充填料浆制备浓度、流量及配比的准确及稳定，实现料浆的顺利输送</w:t>
            </w:r>
            <w:r>
              <w:rPr>
                <w:rFonts w:hint="eastAsia" w:ascii="Times New Roman" w:hAnsi="Times New Roman" w:eastAsia="宋体" w:cs="黑体"/>
                <w:sz w:val="24"/>
                <w:lang w:eastAsia="zh-CN"/>
              </w:rPr>
              <w:t>。</w:t>
            </w:r>
          </w:p>
          <w:p w14:paraId="1C9EDE03">
            <w:pPr>
              <w:numPr>
                <w:ilvl w:val="0"/>
                <w:numId w:val="0"/>
              </w:numPr>
              <w:bidi w:val="0"/>
              <w:spacing w:line="360" w:lineRule="auto"/>
              <w:ind w:left="479" w:leftChars="228" w:firstLine="0" w:firstLineChars="0"/>
              <w:rPr>
                <w:rFonts w:hint="eastAsia"/>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1172210</wp:posOffset>
                      </wp:positionH>
                      <wp:positionV relativeFrom="paragraph">
                        <wp:posOffset>462280</wp:posOffset>
                      </wp:positionV>
                      <wp:extent cx="1788160" cy="335915"/>
                      <wp:effectExtent l="0" t="0" r="0" b="0"/>
                      <wp:wrapNone/>
                      <wp:docPr id="15" name="文本框 15"/>
                      <wp:cNvGraphicFramePr/>
                      <a:graphic xmlns:a="http://schemas.openxmlformats.org/drawingml/2006/main">
                        <a:graphicData uri="http://schemas.microsoft.com/office/word/2010/wordprocessingShape">
                          <wps:wsp>
                            <wps:cNvSpPr txBox="1"/>
                            <wps:spPr>
                              <a:xfrm>
                                <a:off x="2846705" y="1842135"/>
                                <a:ext cx="178816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8E8FC">
                                  <w:pPr>
                                    <w:rPr>
                                      <w:rFonts w:hint="default" w:eastAsia="宋体"/>
                                      <w:lang w:val="en-US" w:eastAsia="zh-CN"/>
                                    </w:rPr>
                                  </w:pPr>
                                  <w:r>
                                    <w:rPr>
                                      <w:rFonts w:hint="eastAsia"/>
                                      <w:lang w:val="en-US" w:eastAsia="zh-CN"/>
                                    </w:rPr>
                                    <w:t>选厂低浓度尾砂（28%）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pt;margin-top:36.4pt;height:26.45pt;width:140.8pt;z-index:251660288;mso-width-relative:page;mso-height-relative:page;" filled="f" stroked="f" coordsize="21600,21600" o:gfxdata="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ziwcTaAAAACgEAAA8AAAAAAAAA&#10;AQAgAAAAIgAAAGRycy9kb3ducmV2LnhtbFBLAQIUABQAAAAIAIdO4kBcxXRZSAIAAHQEAAAOAAAA&#10;AAAAAAEAIAAAACkBAABkcnMvZTJvRG9jLnhtbFBLBQYAAAAABgAGAFkBAADjBQAAAAA=&#10;">
                      <v:fill on="f" focussize="0,0"/>
                      <v:stroke on="f" weight="0.5pt"/>
                      <v:imagedata o:title=""/>
                      <o:lock v:ext="edit" aspectratio="f"/>
                      <v:textbox>
                        <w:txbxContent>
                          <w:p w14:paraId="1D18E8FC">
                            <w:pPr>
                              <w:rPr>
                                <w:rFonts w:hint="default" w:eastAsia="宋体"/>
                                <w:lang w:val="en-US" w:eastAsia="zh-CN"/>
                              </w:rPr>
                            </w:pPr>
                            <w:r>
                              <w:rPr>
                                <w:rFonts w:hint="eastAsia"/>
                                <w:lang w:val="en-US" w:eastAsia="zh-CN"/>
                              </w:rPr>
                              <w:t>选厂低浓度尾砂（28%）</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92710</wp:posOffset>
                      </wp:positionH>
                      <wp:positionV relativeFrom="paragraph">
                        <wp:posOffset>462280</wp:posOffset>
                      </wp:positionV>
                      <wp:extent cx="990600" cy="304800"/>
                      <wp:effectExtent l="0" t="0" r="0" b="0"/>
                      <wp:wrapNone/>
                      <wp:docPr id="26" name="文本框 26"/>
                      <wp:cNvGraphicFramePr/>
                      <a:graphic xmlns:a="http://schemas.openxmlformats.org/drawingml/2006/main">
                        <a:graphicData uri="http://schemas.microsoft.com/office/word/2010/wordprocessingShape">
                          <wps:wsp>
                            <wps:cNvSpPr txBox="1"/>
                            <wps:spPr>
                              <a:xfrm>
                                <a:off x="1768475" y="1864995"/>
                                <a:ext cx="99060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2B5D0">
                                  <w:pPr>
                                    <w:rPr>
                                      <w:rFonts w:hint="default" w:eastAsia="宋体"/>
                                      <w:lang w:val="en-US" w:eastAsia="zh-CN"/>
                                    </w:rPr>
                                  </w:pPr>
                                  <w:r>
                                    <w:rPr>
                                      <w:rFonts w:hint="eastAsia"/>
                                      <w:lang w:val="en-US" w:eastAsia="zh-CN"/>
                                    </w:rPr>
                                    <w:t>选厂高位水池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36.4pt;height:24pt;width:78pt;z-index:251669504;mso-width-relative:page;mso-height-relative:page;" filled="f" stroked="f" coordsize="21600,21600" o:gfxdata="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Q+zfdcAAAAJAQAADwAAAAAAAAABACAA&#10;AAAiAAAAZHJzL2Rvd25yZXYueG1sUEsBAhQAFAAAAAgAh07iQHRC7aZHAgAAcwQAAA4AAAAAAAAA&#10;AQAgAAAAJgEAAGRycy9lMm9Eb2MueG1sUEsFBgAAAAAGAAYAWQEAAN8FAAAAAA==&#10;">
                      <v:fill on="f" focussize="0,0"/>
                      <v:stroke on="f" weight="0.5pt"/>
                      <v:imagedata o:title=""/>
                      <o:lock v:ext="edit" aspectratio="f"/>
                      <v:textbox>
                        <w:txbxContent>
                          <w:p w14:paraId="5632B5D0">
                            <w:pPr>
                              <w:rPr>
                                <w:rFonts w:hint="default" w:eastAsia="宋体"/>
                                <w:lang w:val="en-US" w:eastAsia="zh-CN"/>
                              </w:rPr>
                            </w:pPr>
                            <w:r>
                              <w:rPr>
                                <w:rFonts w:hint="eastAsia"/>
                                <w:lang w:val="en-US" w:eastAsia="zh-CN"/>
                              </w:rPr>
                              <w:t>选厂高位水池</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572770</wp:posOffset>
                      </wp:positionH>
                      <wp:positionV relativeFrom="paragraph">
                        <wp:posOffset>736600</wp:posOffset>
                      </wp:positionV>
                      <wp:extent cx="7620" cy="358140"/>
                      <wp:effectExtent l="32385" t="0" r="36195" b="7620"/>
                      <wp:wrapNone/>
                      <wp:docPr id="25" name="直接箭头连接符 25"/>
                      <wp:cNvGraphicFramePr/>
                      <a:graphic xmlns:a="http://schemas.openxmlformats.org/drawingml/2006/main">
                        <a:graphicData uri="http://schemas.microsoft.com/office/word/2010/wordprocessingShape">
                          <wps:wsp>
                            <wps:cNvCnPr/>
                            <wps:spPr>
                              <a:xfrm flipV="1">
                                <a:off x="2073275" y="2192655"/>
                                <a:ext cx="7620" cy="35814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5.1pt;margin-top:58pt;height:28.2pt;width:0.6pt;z-index:251668480;mso-width-relative:page;mso-height-relative:page;" filled="f" stroked="t" coordsize="21600,21600" o:gfxdata="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ceV6jYAAAACQEAAA8AAAAAAAAA&#10;AQAgAAAAIgAAAGRycy9kb3ducmV2LnhtbFBLAQIUABQAAAAIAIdO4kCivR5LEQIAAOQDAAAOAAAA&#10;AAAAAAEAIAAAACcBAABkcnMvZTJvRG9jLnhtbFBLBQYAAAAABgAGAFkBAACqBQAAAAA=&#10;">
                      <v:fill on="f" focussize="0,0"/>
                      <v:stroke color="#000000 [3213]" joinstyle="round" endarrow="block"/>
                      <v:imagedata o:title=""/>
                      <o:lock v:ext="edit" aspectratio="f"/>
                    </v:shape>
                  </w:pict>
                </mc:Fallback>
              </mc:AlternateContent>
            </w:r>
            <w:r>
              <w:rPr>
                <w:rFonts w:hint="eastAsia"/>
                <w:sz w:val="24"/>
                <w:szCs w:val="24"/>
                <w:lang w:val="en-US" w:eastAsia="zh-CN"/>
              </w:rPr>
              <w:t>项目运营期工艺流程及产排污环节见下图。</w:t>
            </w:r>
            <w:r>
              <w:rPr>
                <w:rFonts w:hint="eastAsia"/>
                <w:sz w:val="24"/>
                <w:szCs w:val="24"/>
                <w:lang w:val="en-US" w:eastAsia="zh-CN"/>
              </w:rPr>
              <w:br w:type="textWrapping"/>
            </w:r>
          </w:p>
          <w:p w14:paraId="715BB770">
            <w:pPr>
              <w:numPr>
                <w:ilvl w:val="0"/>
                <w:numId w:val="0"/>
              </w:numPr>
              <w:bidi w:val="0"/>
              <w:spacing w:line="360" w:lineRule="auto"/>
              <w:rPr>
                <w:rFonts w:hint="default"/>
                <w:sz w:val="24"/>
                <w:szCs w:val="24"/>
                <w:lang w:val="en-US" w:eastAsia="zh-CN"/>
              </w:rPr>
            </w:pPr>
            <w:r>
              <w:rPr>
                <w:sz w:val="24"/>
              </w:rPr>
              <mc:AlternateContent>
                <mc:Choice Requires="wps">
                  <w:drawing>
                    <wp:anchor distT="0" distB="0" distL="114300" distR="114300" simplePos="0" relativeHeight="251693056" behindDoc="0" locked="0" layoutInCell="1" allowOverlap="1">
                      <wp:simplePos x="0" y="0"/>
                      <wp:positionH relativeFrom="column">
                        <wp:posOffset>2073910</wp:posOffset>
                      </wp:positionH>
                      <wp:positionV relativeFrom="paragraph">
                        <wp:posOffset>253365</wp:posOffset>
                      </wp:positionV>
                      <wp:extent cx="556260" cy="30607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55626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526A1">
                                  <w:pPr>
                                    <w:rPr>
                                      <w:rFonts w:hint="default" w:eastAsia="宋体"/>
                                      <w:b/>
                                      <w:bCs/>
                                      <w:lang w:val="en-US" w:eastAsia="zh-CN"/>
                                    </w:rPr>
                                  </w:pPr>
                                  <w:r>
                                    <w:rPr>
                                      <w:rFonts w:hint="eastAsia"/>
                                      <w:b/>
                                      <w:bCs/>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3pt;margin-top:19.95pt;height:24.1pt;width:43.8pt;z-index:251693056;mso-width-relative:page;mso-height-relative:page;" filled="f" stroked="f" coordsize="21600,21600" o:gfxdata="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&#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E/7t2wAAAAkBAAAPAAAAAAAAAAEAIAAAACIAAABk&#10;cnMvZG93bnJldi54bWxQSwECFAAUAAAACACHTuJAx8XTMzwCAABnBAAADgAAAAAAAAABACAAAAAq&#10;AQAAZHJzL2Uyb0RvYy54bWxQSwUGAAAAAAYABgBZAQAA2AUAAAAA&#10;">
                      <v:fill on="f" focussize="0,0"/>
                      <v:stroke on="f" weight="0.5pt"/>
                      <v:imagedata o:title=""/>
                      <o:lock v:ext="edit" aspectratio="f"/>
                      <v:textbox>
                        <w:txbxContent>
                          <w:p w14:paraId="059526A1">
                            <w:pPr>
                              <w:rPr>
                                <w:rFonts w:hint="default" w:eastAsia="宋体"/>
                                <w:b/>
                                <w:bCs/>
                                <w:lang w:val="en-US" w:eastAsia="zh-CN"/>
                              </w:rPr>
                            </w:pPr>
                            <w:r>
                              <w:rPr>
                                <w:rFonts w:hint="eastAsia"/>
                                <w:b/>
                                <w:bCs/>
                                <w:lang w:val="en-US" w:eastAsia="zh-CN"/>
                              </w:rPr>
                              <w:t>噪声</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1849120</wp:posOffset>
                      </wp:positionH>
                      <wp:positionV relativeFrom="paragraph">
                        <wp:posOffset>193040</wp:posOffset>
                      </wp:positionV>
                      <wp:extent cx="3810" cy="365125"/>
                      <wp:effectExtent l="37465" t="0" r="34925" b="635"/>
                      <wp:wrapNone/>
                      <wp:docPr id="16" name="直接箭头连接符 16"/>
                      <wp:cNvGraphicFramePr/>
                      <a:graphic xmlns:a="http://schemas.openxmlformats.org/drawingml/2006/main">
                        <a:graphicData uri="http://schemas.microsoft.com/office/word/2010/wordprocessingShape">
                          <wps:wsp>
                            <wps:cNvCnPr/>
                            <wps:spPr>
                              <a:xfrm flipH="1">
                                <a:off x="3303905" y="2086610"/>
                                <a:ext cx="3810" cy="365125"/>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45.6pt;margin-top:15.2pt;height:28.75pt;width:0.3pt;z-index:251661312;mso-width-relative:page;mso-height-relative:page;" filled="f" stroked="t" coordsize="21600,21600" o:gfxdata="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9lzYb2AAAAAkBAAAPAAAAAAAAAAEA&#10;IAAAACIAAABkcnMvZG93bnJldi54bWxQSwECFAAUAAAACACHTuJAcMzvQw8CAADkAwAADgAAAAAA&#10;AAABACAAAAAnAQAAZHJzL2Uyb0RvYy54bWxQSwUGAAAAAAYABgBZAQAAqAUAAAAA&#10;">
                      <v:fill on="f" focussize="0,0"/>
                      <v:stroke color="#000000 [3213]" joinstyle="round" endarrow="block"/>
                      <v:imagedata o:title=""/>
                      <o:lock v:ext="edit" aspectratio="f"/>
                    </v:shape>
                  </w:pict>
                </mc:Fallback>
              </mc:AlternateContent>
            </w:r>
          </w:p>
          <w:p w14:paraId="6ADB0C05">
            <w:pPr>
              <w:numPr>
                <w:ilvl w:val="0"/>
                <w:numId w:val="0"/>
              </w:numPr>
              <w:bidi w:val="0"/>
              <w:spacing w:line="360" w:lineRule="auto"/>
              <w:ind w:left="479" w:leftChars="228" w:firstLine="0" w:firstLineChars="0"/>
              <w:rPr>
                <w:rFonts w:hint="default"/>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872490</wp:posOffset>
                      </wp:positionH>
                      <wp:positionV relativeFrom="paragraph">
                        <wp:posOffset>83185</wp:posOffset>
                      </wp:positionV>
                      <wp:extent cx="876300" cy="312420"/>
                      <wp:effectExtent l="0" t="0" r="0" b="0"/>
                      <wp:wrapNone/>
                      <wp:docPr id="17" name="文本框 17"/>
                      <wp:cNvGraphicFramePr/>
                      <a:graphic xmlns:a="http://schemas.openxmlformats.org/drawingml/2006/main">
                        <a:graphicData uri="http://schemas.microsoft.com/office/word/2010/wordprocessingShape">
                          <wps:wsp>
                            <wps:cNvSpPr txBox="1"/>
                            <wps:spPr>
                              <a:xfrm>
                                <a:off x="2313305" y="2146935"/>
                                <a:ext cx="876300"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2445F">
                                  <w:pPr>
                                    <w:ind w:firstLine="210" w:firstLineChars="100"/>
                                    <w:rPr>
                                      <w:rFonts w:hint="default" w:eastAsia="宋体"/>
                                      <w:lang w:val="en-US" w:eastAsia="zh-CN"/>
                                    </w:rPr>
                                  </w:pPr>
                                  <w:r>
                                    <w:rPr>
                                      <w:rFonts w:hint="eastAsia"/>
                                      <w:lang w:val="en-US" w:eastAsia="zh-CN"/>
                                    </w:rPr>
                                    <w:t>管道输送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7pt;margin-top:6.55pt;height:24.6pt;width:69pt;z-index:251662336;mso-width-relative:page;mso-height-relative:page;" filled="f" stroked="f" coordsize="21600,21600" o:gfxdata="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hn1VU2gAAAAkBAAAPAAAAAAAA&#10;AAEAIAAAACIAAABkcnMvZG93bnJldi54bWxQSwECFAAUAAAACACHTuJAw0bzhUkCAABzBAAADgAA&#10;AAAAAAABACAAAAApAQAAZHJzL2Uyb0RvYy54bWxQSwUGAAAAAAYABgBZAQAA5AUAAAAA&#10;">
                      <v:fill on="f" focussize="0,0"/>
                      <v:stroke on="f" weight="0.5pt"/>
                      <v:imagedata o:title=""/>
                      <o:lock v:ext="edit" aspectratio="f"/>
                      <v:textbox>
                        <w:txbxContent>
                          <w:p w14:paraId="77C2445F">
                            <w:pPr>
                              <w:ind w:firstLine="210" w:firstLineChars="100"/>
                              <w:rPr>
                                <w:rFonts w:hint="default" w:eastAsia="宋体"/>
                                <w:lang w:val="en-US" w:eastAsia="zh-CN"/>
                              </w:rPr>
                            </w:pPr>
                            <w:r>
                              <w:rPr>
                                <w:rFonts w:hint="eastAsia"/>
                                <w:lang w:val="en-US" w:eastAsia="zh-CN"/>
                              </w:rPr>
                              <w:t>管道输送</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946150</wp:posOffset>
                      </wp:positionH>
                      <wp:positionV relativeFrom="paragraph">
                        <wp:posOffset>440055</wp:posOffset>
                      </wp:positionV>
                      <wp:extent cx="495300" cy="635"/>
                      <wp:effectExtent l="0" t="38100" r="7620" b="37465"/>
                      <wp:wrapNone/>
                      <wp:docPr id="23" name="直接箭头连接符 23"/>
                      <wp:cNvGraphicFramePr/>
                      <a:graphic xmlns:a="http://schemas.openxmlformats.org/drawingml/2006/main">
                        <a:graphicData uri="http://schemas.microsoft.com/office/word/2010/wordprocessingShape">
                          <wps:wsp>
                            <wps:cNvCnPr/>
                            <wps:spPr>
                              <a:xfrm flipH="1" flipV="1">
                                <a:off x="2477135" y="2619375"/>
                                <a:ext cx="495300" cy="635"/>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74.5pt;margin-top:34.65pt;height:0.05pt;width:39pt;z-index:251666432;mso-width-relative:page;mso-height-relative:page;" filled="f" stroked="t" coordsize="21600,21600" o:gfxdata="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JkTMfXAAAACQEAAA8AAAAA&#10;AAAAAQAgAAAAIgAAAGRycy9kb3ducmV2LnhtbFBLAQIUABQAAAAIAIdO4kC5c1cNFQIAAO0DAAAO&#10;AAAAAAAAAAEAIAAAACYBAABkcnMvZTJvRG9jLnhtbFBLBQYAAAAABgAGAFkBAACtBQAAAAA=&#10;">
                      <v:fill on="f" focussize="0,0"/>
                      <v:stroke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2112010</wp:posOffset>
                      </wp:positionH>
                      <wp:positionV relativeFrom="paragraph">
                        <wp:posOffset>440055</wp:posOffset>
                      </wp:positionV>
                      <wp:extent cx="533400" cy="635"/>
                      <wp:effectExtent l="0" t="38100" r="0" b="37465"/>
                      <wp:wrapNone/>
                      <wp:docPr id="21" name="直接箭头连接符 21"/>
                      <wp:cNvGraphicFramePr/>
                      <a:graphic xmlns:a="http://schemas.openxmlformats.org/drawingml/2006/main">
                        <a:graphicData uri="http://schemas.microsoft.com/office/word/2010/wordprocessingShape">
                          <wps:wsp>
                            <wps:cNvCnPr>
                              <a:endCxn id="7" idx="1"/>
                            </wps:cNvCnPr>
                            <wps:spPr>
                              <a:xfrm>
                                <a:off x="3651250" y="2581275"/>
                                <a:ext cx="533400" cy="635"/>
                              </a:xfrm>
                              <a:prstGeom prst="straightConnector1">
                                <a:avLst/>
                              </a:prstGeom>
                              <a:ln w="9525">
                                <a:solidFill>
                                  <a:schemeClr val="tx1"/>
                                </a:solidFill>
                                <a:miter lim="800000"/>
                                <a:headEnd type="triangl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6.3pt;margin-top:34.65pt;height:0.05pt;width:42pt;z-index:251664384;mso-width-relative:page;mso-height-relative:page;" filled="f" stroked="t" coordsize="21600,21600" o:gfxdata="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M0Ju2AAAAAkBAAAPAAAAAAAAAAEAIAAAACIAAABkcnMvZG93bnJldi54bWxQ&#10;SwECFAAUAAAACACHTuJA6BYbcDACAAAvBAAADgAAAAAAAAABACAAAAAnAQAAZHJzL2Uyb0RvYy54&#10;bWxQSwUGAAAAAAYABgBZAQAAyQUAAAAA&#10;">
                      <v:fill on="f" focussize="0,0"/>
                      <v:stroke color="#000000 [3213]" miterlimit="8" joinstyle="miter" startarrow="block"/>
                      <v:imagedata o:title=""/>
                      <o:lock v:ext="edit" aspectratio="f"/>
                    </v:shap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4123690</wp:posOffset>
                      </wp:positionH>
                      <wp:positionV relativeFrom="paragraph">
                        <wp:posOffset>424815</wp:posOffset>
                      </wp:positionV>
                      <wp:extent cx="491490" cy="0"/>
                      <wp:effectExtent l="0" t="38100" r="11430" b="38100"/>
                      <wp:wrapNone/>
                      <wp:docPr id="8" name="直接箭头连接符 8"/>
                      <wp:cNvGraphicFramePr/>
                      <a:graphic xmlns:a="http://schemas.openxmlformats.org/drawingml/2006/main">
                        <a:graphicData uri="http://schemas.microsoft.com/office/word/2010/wordprocessingShape">
                          <wps:wsp>
                            <wps:cNvCnPr/>
                            <wps:spPr>
                              <a:xfrm>
                                <a:off x="0" y="0"/>
                                <a:ext cx="491490" cy="0"/>
                              </a:xfrm>
                              <a:prstGeom prst="straightConnector1">
                                <a:avLst/>
                              </a:prstGeom>
                              <a:ln w="9525">
                                <a:solidFill>
                                  <a:schemeClr val="tx1"/>
                                </a:solidFill>
                                <a:miter lim="800000"/>
                                <a:headEnd type="triangl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4.7pt;margin-top:33.45pt;height:0pt;width:38.7pt;z-index:251699200;mso-width-relative:page;mso-height-relative:page;" filled="f" stroked="t" coordsize="21600,21600" o:gfxdata="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d7wX2AAAAAkBAAAPAAAAAAAAAAEAIAAA&#10;ACIAAABkcnMvZG93bnJldi54bWxQSwECFAAUAAAACACHTuJAya0EvgwCAAD4AwAADgAAAAAAAAAB&#10;ACAAAAAnAQAAZHJzL2Uyb0RvYy54bWxQSwUGAAAAAAYABgBZAQAApQUAAAAA&#10;">
                      <v:fill on="f" focussize="0,0"/>
                      <v:stroke color="#000000 [3213]" miterlimit="8" joinstyle="miter" startarrow="block"/>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4611370</wp:posOffset>
                      </wp:positionH>
                      <wp:positionV relativeFrom="paragraph">
                        <wp:posOffset>264795</wp:posOffset>
                      </wp:positionV>
                      <wp:extent cx="656590" cy="342265"/>
                      <wp:effectExtent l="6350" t="6350" r="7620" b="17145"/>
                      <wp:wrapNone/>
                      <wp:docPr id="22" name="文本框 22"/>
                      <wp:cNvGraphicFramePr/>
                      <a:graphic xmlns:a="http://schemas.openxmlformats.org/drawingml/2006/main">
                        <a:graphicData uri="http://schemas.microsoft.com/office/word/2010/wordprocessingShape">
                          <wps:wsp>
                            <wps:cNvSpPr txBox="1"/>
                            <wps:spPr>
                              <a:xfrm>
                                <a:off x="4229735" y="2444115"/>
                                <a:ext cx="656590" cy="342265"/>
                              </a:xfrm>
                              <a:prstGeom prst="rect">
                                <a:avLst/>
                              </a:prstGeom>
                              <a:no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4B18F16">
                                  <w:pPr>
                                    <w:rPr>
                                      <w:rFonts w:hint="eastAsia" w:eastAsia="宋体"/>
                                      <w:lang w:val="en-US" w:eastAsia="zh-CN"/>
                                    </w:rPr>
                                  </w:pPr>
                                  <w:r>
                                    <w:rPr>
                                      <w:rFonts w:hint="eastAsia"/>
                                      <w:lang w:val="en-US" w:eastAsia="zh-CN"/>
                                    </w:rPr>
                                    <w:t>絮凝剂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1pt;margin-top:20.85pt;height:26.95pt;width:51.7pt;z-index:251665408;mso-width-relative:page;mso-height-relative:page;" filled="f" stroked="t" coordsize="21600,21600" o:gfxdata="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LY&#10;QTTXAAAACQEAAA8AAAAAAAAAAQAgAAAAIgAAAGRycy9kb3ducmV2LnhtbFBLAQIUABQAAAAIAIdO&#10;4kDNPmufXQIAAJ0EAAAOAAAAAAAAAAEAIAAAACYBAABkcnMvZTJvRG9jLnhtbFBLBQYAAAAABgAG&#10;AFkBAAD1BQAAAAA=&#10;">
                      <v:fill on="f" focussize="0,0"/>
                      <v:stroke weight="1pt" color="#000000 [3213]" joinstyle="round"/>
                      <v:imagedata o:title=""/>
                      <o:lock v:ext="edit" aspectratio="f"/>
                      <v:textbox>
                        <w:txbxContent>
                          <w:p w14:paraId="44B18F16">
                            <w:pPr>
                              <w:rPr>
                                <w:rFonts w:hint="eastAsia" w:eastAsia="宋体"/>
                                <w:lang w:val="en-US" w:eastAsia="zh-CN"/>
                              </w:rPr>
                            </w:pPr>
                            <w:r>
                              <w:rPr>
                                <w:rFonts w:hint="eastAsia"/>
                                <w:lang w:val="en-US" w:eastAsia="zh-CN"/>
                              </w:rPr>
                              <w:t>絮凝剂</w:t>
                            </w:r>
                          </w:p>
                        </w:txbxContent>
                      </v:textbox>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2645410</wp:posOffset>
                      </wp:positionH>
                      <wp:positionV relativeFrom="paragraph">
                        <wp:posOffset>264795</wp:posOffset>
                      </wp:positionV>
                      <wp:extent cx="1470025" cy="351790"/>
                      <wp:effectExtent l="6350" t="6350" r="17145" b="7620"/>
                      <wp:wrapNone/>
                      <wp:docPr id="7" name="文本框 7"/>
                      <wp:cNvGraphicFramePr/>
                      <a:graphic xmlns:a="http://schemas.openxmlformats.org/drawingml/2006/main">
                        <a:graphicData uri="http://schemas.microsoft.com/office/word/2010/wordprocessingShape">
                          <wps:wsp>
                            <wps:cNvSpPr txBox="1"/>
                            <wps:spPr>
                              <a:xfrm>
                                <a:off x="0" y="0"/>
                                <a:ext cx="1470025" cy="35179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E8268F">
                                  <w:pPr>
                                    <w:rPr>
                                      <w:rFonts w:hint="default" w:eastAsia="宋体"/>
                                      <w:lang w:val="en-US" w:eastAsia="zh-CN"/>
                                    </w:rPr>
                                  </w:pPr>
                                  <w:r>
                                    <w:rPr>
                                      <w:rFonts w:hint="eastAsia"/>
                                      <w:lang w:val="en-US" w:eastAsia="zh-CN"/>
                                    </w:rPr>
                                    <w:t>絮凝剂自动添加系统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3pt;margin-top:20.85pt;height:27.7pt;width:115.75pt;z-index:251698176;mso-width-relative:page;mso-height-relative:page;" filled="f" stroked="t" coordsize="21600,21600" o:gfxdata="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Er11NYAAAAJAQAADwAA&#10;AAAAAAABACAAAAAiAAAAZHJzL2Rvd25yZXYueG1sUEsBAhQAFAAAAAgAh07iQLn2tlhRAgAAjwQA&#10;AA4AAAAAAAAAAQAgAAAAJQEAAGRycy9lMm9Eb2MueG1sUEsFBgAAAAAGAAYAWQEAAOgFAAAAAA==&#10;">
                      <v:fill on="f" focussize="0,0"/>
                      <v:stroke weight="1pt" color="#000000 [3204]" joinstyle="round"/>
                      <v:imagedata o:title=""/>
                      <o:lock v:ext="edit" aspectratio="f"/>
                      <v:textbox>
                        <w:txbxContent>
                          <w:p w14:paraId="2BE8268F">
                            <w:pPr>
                              <w:rPr>
                                <w:rFonts w:hint="default" w:eastAsia="宋体"/>
                                <w:lang w:val="en-US" w:eastAsia="zh-CN"/>
                              </w:rPr>
                            </w:pPr>
                            <w:r>
                              <w:rPr>
                                <w:rFonts w:hint="eastAsia"/>
                                <w:lang w:val="en-US" w:eastAsia="zh-CN"/>
                              </w:rPr>
                              <w:t>絮凝剂自动添加系统</w:t>
                            </w:r>
                          </w:p>
                        </w:txbxContent>
                      </v:textbox>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2012950</wp:posOffset>
                      </wp:positionH>
                      <wp:positionV relativeFrom="paragraph">
                        <wp:posOffset>196215</wp:posOffset>
                      </wp:positionV>
                      <wp:extent cx="163830" cy="99060"/>
                      <wp:effectExtent l="2540" t="0" r="1270" b="7620"/>
                      <wp:wrapNone/>
                      <wp:docPr id="50" name="直接箭头连接符 50"/>
                      <wp:cNvGraphicFramePr/>
                      <a:graphic xmlns:a="http://schemas.openxmlformats.org/drawingml/2006/main">
                        <a:graphicData uri="http://schemas.microsoft.com/office/word/2010/wordprocessingShape">
                          <wps:wsp>
                            <wps:cNvCnPr/>
                            <wps:spPr>
                              <a:xfrm flipV="1">
                                <a:off x="0" y="0"/>
                                <a:ext cx="163830" cy="99060"/>
                              </a:xfrm>
                              <a:prstGeom prst="straightConnector1">
                                <a:avLst/>
                              </a:prstGeom>
                              <a:ln w="9525">
                                <a:solidFill>
                                  <a:schemeClr val="tx1"/>
                                </a:solidFill>
                                <a:prstDash val="dash"/>
                                <a:beve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58.5pt;margin-top:15.45pt;height:7.8pt;width:12.9pt;z-index:251692032;mso-width-relative:page;mso-height-relative:page;" filled="f" stroked="t" coordsize="21600,21600" o:gfxdata="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5iLM2gAAAAkBAAAPAAAAAAAAAAEAIAAA&#10;ACIAAABkcnMvZG93bnJldi54bWxQSwECFAAUAAAACACHTuJASvYQzQoCAADiAwAADgAAAAAAAAAB&#10;ACAAAAApAQAAZHJzL2Uyb0RvYy54bWxQSwUGAAAAAAYABgBZAQAApQUAAAAA&#10;">
                      <v:fill on="f" focussize="0,0"/>
                      <v:stroke color="#000000 [3213]" joinstyle="bevel" dashstyle="dash" endarrow="block"/>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154305</wp:posOffset>
                      </wp:positionH>
                      <wp:positionV relativeFrom="paragraph">
                        <wp:posOffset>280035</wp:posOffset>
                      </wp:positionV>
                      <wp:extent cx="792480" cy="358775"/>
                      <wp:effectExtent l="6350" t="6350" r="8890" b="15875"/>
                      <wp:wrapNone/>
                      <wp:docPr id="24" name="文本框 24"/>
                      <wp:cNvGraphicFramePr/>
                      <a:graphic xmlns:a="http://schemas.openxmlformats.org/drawingml/2006/main">
                        <a:graphicData uri="http://schemas.microsoft.com/office/word/2010/wordprocessingShape">
                          <wps:wsp>
                            <wps:cNvSpPr txBox="1"/>
                            <wps:spPr>
                              <a:xfrm>
                                <a:off x="0" y="0"/>
                                <a:ext cx="792480" cy="35877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8477AB">
                                  <w:pPr>
                                    <w:rPr>
                                      <w:rFonts w:hint="default" w:eastAsia="宋体"/>
                                      <w:lang w:val="en-US" w:eastAsia="zh-CN"/>
                                    </w:rPr>
                                  </w:pPr>
                                  <w:r>
                                    <w:rPr>
                                      <w:rFonts w:hint="eastAsia"/>
                                      <w:lang w:val="en-US" w:eastAsia="zh-CN"/>
                                    </w:rPr>
                                    <w:t>溢流水池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2.05pt;height:28.25pt;width:62.4pt;z-index:251667456;mso-width-relative:page;mso-height-relative:page;" filled="f" stroked="t" coordsize="21600,21600" o:gfxdata="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eAYnfUAAAACQEAAA8AAAAA&#10;AAAAAQAgAAAAIgAAAGRycy9kb3ducmV2LnhtbFBLAQIUABQAAAAIAIdO4kD/0C3cUQIAAJAEAAAO&#10;AAAAAAAAAAEAIAAAACMBAABkcnMvZTJvRG9jLnhtbFBLBQYAAAAABgAGAFkBAADmBQAAAAA=&#10;">
                      <v:fill on="f" focussize="0,0"/>
                      <v:stroke weight="1pt" color="#000000 [3204]" joinstyle="round"/>
                      <v:imagedata o:title=""/>
                      <o:lock v:ext="edit" aspectratio="f"/>
                      <v:textbox>
                        <w:txbxContent>
                          <w:p w14:paraId="4F8477AB">
                            <w:pPr>
                              <w:rPr>
                                <w:rFonts w:hint="default" w:eastAsia="宋体"/>
                                <w:lang w:val="en-US" w:eastAsia="zh-CN"/>
                              </w:rPr>
                            </w:pPr>
                            <w:r>
                              <w:rPr>
                                <w:rFonts w:hint="eastAsia"/>
                                <w:lang w:val="en-US" w:eastAsia="zh-CN"/>
                              </w:rPr>
                              <w:t>溢流水池</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1441450</wp:posOffset>
                      </wp:positionH>
                      <wp:positionV relativeFrom="paragraph">
                        <wp:posOffset>310515</wp:posOffset>
                      </wp:positionV>
                      <wp:extent cx="678815" cy="335915"/>
                      <wp:effectExtent l="6350" t="6350" r="15875" b="8255"/>
                      <wp:wrapNone/>
                      <wp:docPr id="18" name="文本框 18"/>
                      <wp:cNvGraphicFramePr/>
                      <a:graphic xmlns:a="http://schemas.openxmlformats.org/drawingml/2006/main">
                        <a:graphicData uri="http://schemas.microsoft.com/office/word/2010/wordprocessingShape">
                          <wps:wsp>
                            <wps:cNvSpPr txBox="1"/>
                            <wps:spPr>
                              <a:xfrm>
                                <a:off x="2941955" y="2543175"/>
                                <a:ext cx="678815" cy="33591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B88334">
                                  <w:pPr>
                                    <w:rPr>
                                      <w:rFonts w:hint="eastAsia" w:eastAsia="宋体"/>
                                      <w:lang w:val="en-US" w:eastAsia="zh-CN"/>
                                    </w:rPr>
                                  </w:pPr>
                                  <w:r>
                                    <w:rPr>
                                      <w:rFonts w:hint="eastAsia"/>
                                      <w:lang w:val="en-US" w:eastAsia="zh-CN"/>
                                    </w:rPr>
                                    <w:t>浓密机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5pt;margin-top:24.45pt;height:26.45pt;width:53.45pt;z-index:251663360;mso-width-relative:page;mso-height-relative:page;" filled="f" stroked="t" coordsize="21600,21600" o:gfxdata="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91b&#10;v9cAAAAKAQAADwAAAAAAAAABACAAAAAiAAAAZHJzL2Rvd25yZXYueG1sUEsBAhQAFAAAAAgAh07i&#10;QIMTqN5cAgAAnAQAAA4AAAAAAAAAAQAgAAAAJgEAAGRycy9lMm9Eb2MueG1sUEsFBgAAAAAGAAYA&#10;WQEAAPQFAAAAAA==&#10;">
                      <v:fill on="f" focussize="0,0"/>
                      <v:stroke weight="1pt" color="#000000 [3204]" joinstyle="round"/>
                      <v:imagedata o:title=""/>
                      <o:lock v:ext="edit" aspectratio="f"/>
                      <v:textbox>
                        <w:txbxContent>
                          <w:p w14:paraId="77B88334">
                            <w:pPr>
                              <w:rPr>
                                <w:rFonts w:hint="eastAsia" w:eastAsia="宋体"/>
                                <w:lang w:val="en-US" w:eastAsia="zh-CN"/>
                              </w:rPr>
                            </w:pPr>
                            <w:r>
                              <w:rPr>
                                <w:rFonts w:hint="eastAsia"/>
                                <w:lang w:val="en-US" w:eastAsia="zh-CN"/>
                              </w:rPr>
                              <w:t>浓密机</w:t>
                            </w:r>
                          </w:p>
                        </w:txbxContent>
                      </v:textbox>
                    </v:shape>
                  </w:pict>
                </mc:Fallback>
              </mc:AlternateContent>
            </w:r>
            <w:r>
              <w:rPr>
                <w:rFonts w:hint="eastAsia"/>
                <w:sz w:val="24"/>
                <w:szCs w:val="24"/>
                <w:lang w:val="en-US" w:eastAsia="zh-CN"/>
              </w:rPr>
              <w:br w:type="textWrapping"/>
            </w:r>
          </w:p>
          <w:p w14:paraId="40E9F025">
            <w:pPr>
              <w:spacing w:line="360" w:lineRule="auto"/>
              <w:contextualSpacing/>
              <w:jc w:val="center"/>
              <w:rPr>
                <w:rFonts w:eastAsia="黑体"/>
                <w:sz w:val="24"/>
              </w:rPr>
            </w:pPr>
            <w:r>
              <w:rPr>
                <w:sz w:val="24"/>
              </w:rPr>
              <mc:AlternateContent>
                <mc:Choice Requires="wps">
                  <w:drawing>
                    <wp:anchor distT="0" distB="0" distL="114300" distR="114300" simplePos="0" relativeHeight="251695104" behindDoc="0" locked="0" layoutInCell="1" allowOverlap="1">
                      <wp:simplePos x="0" y="0"/>
                      <wp:positionH relativeFrom="column">
                        <wp:posOffset>1997710</wp:posOffset>
                      </wp:positionH>
                      <wp:positionV relativeFrom="paragraph">
                        <wp:posOffset>157480</wp:posOffset>
                      </wp:positionV>
                      <wp:extent cx="807085" cy="30607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807085"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E4283">
                                  <w:pPr>
                                    <w:rPr>
                                      <w:rFonts w:hint="default" w:eastAsia="宋体"/>
                                      <w:b/>
                                      <w:bCs/>
                                      <w:lang w:val="en-US" w:eastAsia="zh-CN"/>
                                    </w:rPr>
                                  </w:pPr>
                                  <w:r>
                                    <w:rPr>
                                      <w:rFonts w:hint="eastAsia"/>
                                      <w:b/>
                                      <w:bCs/>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pt;margin-top:12.4pt;height:24.1pt;width:63.55pt;z-index:251695104;mso-width-relative:page;mso-height-relative:page;" filled="f" stroked="f" coordsize="21600,21600" o:gfxdata="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XpHTtsAAAAJAQAADwAAAAAAAAABACAAAAAiAAAAZHJz&#10;L2Rvd25yZXYueG1sUEsBAhQAFAAAAAgAh07iQFi//gw6AgAAZwQAAA4AAAAAAAAAAQAgAAAAKgEA&#10;AGRycy9lMm9Eb2MueG1sUEsFBgAAAAAGAAYAWQEAANYFAAAAAA==&#10;">
                      <v:fill on="f" focussize="0,0"/>
                      <v:stroke on="f" weight="0.5pt"/>
                      <v:imagedata o:title=""/>
                      <o:lock v:ext="edit" aspectratio="f"/>
                      <v:textbox>
                        <w:txbxContent>
                          <w:p w14:paraId="0DAE4283">
                            <w:pPr>
                              <w:rPr>
                                <w:rFonts w:hint="default" w:eastAsia="宋体"/>
                                <w:b/>
                                <w:bCs/>
                                <w:lang w:val="en-US" w:eastAsia="zh-CN"/>
                              </w:rPr>
                            </w:pPr>
                            <w:r>
                              <w:rPr>
                                <w:rFonts w:hint="eastAsia"/>
                                <w:b/>
                                <w:bCs/>
                                <w:lang w:val="en-US" w:eastAsia="zh-CN"/>
                              </w:rPr>
                              <w:t>噪声</w:t>
                            </w:r>
                          </w:p>
                        </w:txbxContent>
                      </v:textbox>
                    </v:shap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1921510</wp:posOffset>
                      </wp:positionH>
                      <wp:positionV relativeFrom="paragraph">
                        <wp:posOffset>394335</wp:posOffset>
                      </wp:positionV>
                      <wp:extent cx="209550" cy="114300"/>
                      <wp:effectExtent l="2540" t="0" r="1270" b="7620"/>
                      <wp:wrapNone/>
                      <wp:docPr id="52" name="直接箭头连接符 52"/>
                      <wp:cNvGraphicFramePr/>
                      <a:graphic xmlns:a="http://schemas.openxmlformats.org/drawingml/2006/main">
                        <a:graphicData uri="http://schemas.microsoft.com/office/word/2010/wordprocessingShape">
                          <wps:wsp>
                            <wps:cNvCnPr/>
                            <wps:spPr>
                              <a:xfrm flipV="1">
                                <a:off x="0" y="0"/>
                                <a:ext cx="209550" cy="114300"/>
                              </a:xfrm>
                              <a:prstGeom prst="straightConnector1">
                                <a:avLst/>
                              </a:prstGeom>
                              <a:ln w="9525">
                                <a:solidFill>
                                  <a:schemeClr val="tx1"/>
                                </a:solidFill>
                                <a:prstDash val="dash"/>
                                <a:beve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51.3pt;margin-top:31.05pt;height:9pt;width:16.5pt;z-index:251694080;mso-width-relative:page;mso-height-relative:page;" filled="f" stroked="t" coordsize="21600,21600" o:gfxdata="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Gruh2QAAAAkBAAAPAAAAAAAAAAEAIAAA&#10;ACIAAABkcnMvZG93bnJldi54bWxQSwECFAAUAAAACACHTuJAxGofbwsCAADjAwAADgAAAAAAAAAB&#10;ACAAAAAoAQAAZHJzL2Uyb0RvYy54bWxQSwUGAAAAAAYABgBZAQAApQUAAAAA&#10;">
                      <v:fill on="f" focussize="0,0"/>
                      <v:stroke color="#000000 [3213]" joinstyle="bevel" dashstyle="dash" endarrow="block"/>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3369310</wp:posOffset>
                      </wp:positionH>
                      <wp:positionV relativeFrom="paragraph">
                        <wp:posOffset>104140</wp:posOffset>
                      </wp:positionV>
                      <wp:extent cx="556260" cy="306070"/>
                      <wp:effectExtent l="0" t="0" r="7620" b="13970"/>
                      <wp:wrapNone/>
                      <wp:docPr id="49" name="文本框 49"/>
                      <wp:cNvGraphicFramePr/>
                      <a:graphic xmlns:a="http://schemas.openxmlformats.org/drawingml/2006/main">
                        <a:graphicData uri="http://schemas.microsoft.com/office/word/2010/wordprocessingShape">
                          <wps:wsp>
                            <wps:cNvSpPr txBox="1"/>
                            <wps:spPr>
                              <a:xfrm>
                                <a:off x="5045075" y="2672715"/>
                                <a:ext cx="55626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88D9B">
                                  <w:pPr>
                                    <w:rPr>
                                      <w:rFonts w:hint="eastAsia" w:eastAsia="宋体"/>
                                      <w:b/>
                                      <w:bCs/>
                                      <w:lang w:val="en-US" w:eastAsia="zh-CN"/>
                                    </w:rPr>
                                  </w:pPr>
                                  <w:r>
                                    <w:rPr>
                                      <w:rFonts w:hint="eastAsia"/>
                                      <w:b/>
                                      <w:bCs/>
                                      <w:lang w:val="en-US"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3pt;margin-top:8.2pt;height:24.1pt;width:43.8pt;z-index:251691008;mso-width-relative:page;mso-height-relative:page;" filled="f" stroked="f" coordsize="21600,21600" o:gfxdata="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LMyN2QAAAAkBAAAPAAAAAAAA&#10;AAEAIAAAACIAAABkcnMvZG93bnJldi54bWxQSwECFAAUAAAACACHTuJAqjzQUEoCAABzBAAADgAA&#10;AAAAAAABACAAAAAoAQAAZHJzL2Uyb0RvYy54bWxQSwUGAAAAAAYABgBZAQAA5AUAAAAA&#10;">
                      <v:fill on="f" focussize="0,0"/>
                      <v:stroke on="f" weight="0.5pt"/>
                      <v:imagedata o:title=""/>
                      <o:lock v:ext="edit" aspectratio="f"/>
                      <v:textbox>
                        <w:txbxContent>
                          <w:p w14:paraId="6EE88D9B">
                            <w:pPr>
                              <w:rPr>
                                <w:rFonts w:hint="eastAsia" w:eastAsia="宋体"/>
                                <w:b/>
                                <w:bCs/>
                                <w:lang w:val="en-US" w:eastAsia="zh-CN"/>
                              </w:rPr>
                            </w:pPr>
                            <w:r>
                              <w:rPr>
                                <w:rFonts w:hint="eastAsia"/>
                                <w:b/>
                                <w:bCs/>
                                <w:lang w:val="en-US" w:eastAsia="zh-CN"/>
                              </w:rPr>
                              <w:t>粉尘</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1765300</wp:posOffset>
                      </wp:positionH>
                      <wp:positionV relativeFrom="paragraph">
                        <wp:posOffset>128270</wp:posOffset>
                      </wp:positionV>
                      <wp:extent cx="3810" cy="365125"/>
                      <wp:effectExtent l="37465" t="0" r="34925" b="635"/>
                      <wp:wrapNone/>
                      <wp:docPr id="27" name="直接箭头连接符 27"/>
                      <wp:cNvGraphicFramePr/>
                      <a:graphic xmlns:a="http://schemas.openxmlformats.org/drawingml/2006/main">
                        <a:graphicData uri="http://schemas.microsoft.com/office/word/2010/wordprocessingShape">
                          <wps:wsp>
                            <wps:cNvCnPr/>
                            <wps:spPr>
                              <a:xfrm flipH="1">
                                <a:off x="0" y="0"/>
                                <a:ext cx="3810" cy="365125"/>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9pt;margin-top:10.1pt;height:28.75pt;width:0.3pt;z-index:251670528;mso-width-relative:page;mso-height-relative:page;" filled="f" stroked="t" coordsize="21600,21600" o:gfxdata="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YJILLYAAAACQEAAA8AAAAAAAAAAQAgAAAAIgAAAGRy&#10;cy9kb3ducmV2LnhtbFBLAQIUABQAAAAIAIdO4kBoszACBQIAANgDAAAOAAAAAAAAAAEAIAAAACcB&#10;AABkcnMvZTJvRG9jLnhtbFBLBQYAAAAABgAGAFkBAACeBQAAAAA=&#10;">
                      <v:fill on="f" focussize="0,0"/>
                      <v:stroke color="#000000 [3213]" joinstyle="round" endarrow="block"/>
                      <v:imagedata o:title=""/>
                      <o:lock v:ext="edit" aspectratio="f"/>
                    </v:shape>
                  </w:pict>
                </mc:Fallback>
              </mc:AlternateContent>
            </w:r>
          </w:p>
          <w:p w14:paraId="5B131A96">
            <w:pPr>
              <w:spacing w:line="360" w:lineRule="auto"/>
              <w:contextualSpacing/>
              <w:jc w:val="center"/>
              <w:rPr>
                <w:rFonts w:eastAsia="黑体"/>
                <w:sz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3460750</wp:posOffset>
                      </wp:positionH>
                      <wp:positionV relativeFrom="paragraph">
                        <wp:posOffset>215900</wp:posOffset>
                      </wp:positionV>
                      <wp:extent cx="914400" cy="283210"/>
                      <wp:effectExtent l="0" t="0" r="0" b="0"/>
                      <wp:wrapNone/>
                      <wp:docPr id="33" name="文本框 33"/>
                      <wp:cNvGraphicFramePr/>
                      <a:graphic xmlns:a="http://schemas.openxmlformats.org/drawingml/2006/main">
                        <a:graphicData uri="http://schemas.microsoft.com/office/word/2010/wordprocessingShape">
                          <wps:wsp>
                            <wps:cNvSpPr txBox="1"/>
                            <wps:spPr>
                              <a:xfrm>
                                <a:off x="5235575" y="2977515"/>
                                <a:ext cx="914400"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A56A7">
                                  <w:pPr>
                                    <w:rPr>
                                      <w:rFonts w:hint="default" w:eastAsia="宋体"/>
                                      <w:lang w:val="en-US" w:eastAsia="zh-CN"/>
                                    </w:rPr>
                                  </w:pPr>
                                  <w:r>
                                    <w:rPr>
                                      <w:rFonts w:hint="eastAsia"/>
                                      <w:lang w:val="en-US" w:eastAsia="zh-CN"/>
                                    </w:rPr>
                                    <w:t>散装水泥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5pt;margin-top:17pt;height:22.3pt;width:72pt;z-index:251676672;mso-width-relative:page;mso-height-relative:page;" filled="f" stroked="f" coordsize="21600,21600" o:gfxdata="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h5X6tsAAAAJAQAADwAAAAAA&#10;AAABACAAAAAiAAAAZHJzL2Rvd25yZXYueG1sUEsBAhQAFAAAAAgAh07iQKCsfSpJAgAAcwQAAA4A&#10;AAAAAAAAAQAgAAAAKgEAAGRycy9lMm9Eb2MueG1sUEsFBgAAAAAGAAYAWQEAAOUFAAAAAA==&#10;">
                      <v:fill on="f" focussize="0,0"/>
                      <v:stroke on="f" weight="0.5pt"/>
                      <v:imagedata o:title=""/>
                      <o:lock v:ext="edit" aspectratio="f"/>
                      <v:textbox>
                        <w:txbxContent>
                          <w:p w14:paraId="69CA56A7">
                            <w:pPr>
                              <w:rPr>
                                <w:rFonts w:hint="default" w:eastAsia="宋体"/>
                                <w:lang w:val="en-US" w:eastAsia="zh-CN"/>
                              </w:rPr>
                            </w:pPr>
                            <w:r>
                              <w:rPr>
                                <w:rFonts w:hint="eastAsia"/>
                                <w:lang w:val="en-US" w:eastAsia="zh-CN"/>
                              </w:rPr>
                              <w:t>散装水泥</w:t>
                            </w:r>
                          </w:p>
                        </w:txbxContent>
                      </v:textbox>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3201670</wp:posOffset>
                      </wp:positionH>
                      <wp:positionV relativeFrom="paragraph">
                        <wp:posOffset>85725</wp:posOffset>
                      </wp:positionV>
                      <wp:extent cx="350520" cy="243840"/>
                      <wp:effectExtent l="2540" t="0" r="12700" b="15240"/>
                      <wp:wrapNone/>
                      <wp:docPr id="48" name="直接箭头连接符 48"/>
                      <wp:cNvGraphicFramePr/>
                      <a:graphic xmlns:a="http://schemas.openxmlformats.org/drawingml/2006/main">
                        <a:graphicData uri="http://schemas.microsoft.com/office/word/2010/wordprocessingShape">
                          <wps:wsp>
                            <wps:cNvCnPr/>
                            <wps:spPr>
                              <a:xfrm flipV="1">
                                <a:off x="4732655" y="3000375"/>
                                <a:ext cx="350520" cy="243840"/>
                              </a:xfrm>
                              <a:prstGeom prst="straightConnector1">
                                <a:avLst/>
                              </a:prstGeom>
                              <a:ln w="9525">
                                <a:solidFill>
                                  <a:schemeClr val="tx1"/>
                                </a:solidFill>
                                <a:prstDash val="dash"/>
                                <a:beve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52.1pt;margin-top:6.75pt;height:19.2pt;width:27.6pt;z-index:251689984;mso-width-relative:page;mso-height-relative:page;" filled="f" stroked="t" coordsize="21600,21600" o:gfxdata="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kUZ+2QAAAAkB&#10;AAAPAAAAAAAAAAEAIAAAACIAAABkcnMvZG93bnJldi54bWxQSwECFAAUAAAACACHTuJAehMyzhoC&#10;AADvAwAADgAAAAAAAAABACAAAAAoAQAAZHJzL2Uyb0RvYy54bWxQSwUGAAAAAAYABgBZAQAAtAUA&#10;AAAA&#10;">
                      <v:fill on="f" focussize="0,0"/>
                      <v:stroke color="#000000 [3213]" joinstyle="bevel" dashstyle="dash" endarrow="block"/>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1364615</wp:posOffset>
                      </wp:positionH>
                      <wp:positionV relativeFrom="paragraph">
                        <wp:posOffset>238125</wp:posOffset>
                      </wp:positionV>
                      <wp:extent cx="785495" cy="472440"/>
                      <wp:effectExtent l="6350" t="6350" r="15875" b="8890"/>
                      <wp:wrapNone/>
                      <wp:docPr id="28" name="文本框 28"/>
                      <wp:cNvGraphicFramePr/>
                      <a:graphic xmlns:a="http://schemas.openxmlformats.org/drawingml/2006/main">
                        <a:graphicData uri="http://schemas.microsoft.com/office/word/2010/wordprocessingShape">
                          <wps:wsp>
                            <wps:cNvSpPr txBox="1"/>
                            <wps:spPr>
                              <a:xfrm>
                                <a:off x="3071495" y="3267075"/>
                                <a:ext cx="785495" cy="47244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9DAD24">
                                  <w:pPr>
                                    <w:jc w:val="center"/>
                                    <w:rPr>
                                      <w:rFonts w:hint="eastAsia"/>
                                      <w:lang w:val="en-US" w:eastAsia="zh-CN"/>
                                    </w:rPr>
                                  </w:pPr>
                                  <w:r>
                                    <w:rPr>
                                      <w:rFonts w:hint="eastAsia"/>
                                      <w:lang w:val="en-US" w:eastAsia="zh-CN"/>
                                    </w:rPr>
                                    <w:t>高速柔性</w:t>
                                  </w:r>
                                </w:p>
                                <w:p w14:paraId="4735D094">
                                  <w:pPr>
                                    <w:ind w:firstLine="210" w:firstLineChars="100"/>
                                    <w:jc w:val="both"/>
                                    <w:rPr>
                                      <w:rFonts w:hint="default" w:eastAsia="宋体"/>
                                      <w:lang w:val="en-US" w:eastAsia="zh-CN"/>
                                    </w:rPr>
                                  </w:pPr>
                                  <w:r>
                                    <w:rPr>
                                      <w:rFonts w:hint="eastAsia"/>
                                      <w:lang w:val="en-US" w:eastAsia="zh-CN"/>
                                    </w:rPr>
                                    <w:t>搅拌机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45pt;margin-top:18.75pt;height:37.2pt;width:61.85pt;z-index:251671552;mso-width-relative:page;mso-height-relative:page;" filled="f" stroked="t" coordsize="21600,21600" o:gfxdata="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Guy&#10;UNcAAAAKAQAADwAAAAAAAAABACAAAAAiAAAAZHJzL2Rvd25yZXYueG1sUEsBAhQAFAAAAAgAh07i&#10;QKhrcGdcAgAAnAQAAA4AAAAAAAAAAQAgAAAAJgEAAGRycy9lMm9Eb2MueG1sUEsFBgAAAAAGAAYA&#10;WQEAAPQFAAAAAA==&#10;">
                      <v:fill on="f" focussize="0,0"/>
                      <v:stroke weight="1pt" color="#000000 [3204]" joinstyle="round"/>
                      <v:imagedata o:title=""/>
                      <o:lock v:ext="edit" aspectratio="f"/>
                      <v:textbox>
                        <w:txbxContent>
                          <w:p w14:paraId="549DAD24">
                            <w:pPr>
                              <w:jc w:val="center"/>
                              <w:rPr>
                                <w:rFonts w:hint="eastAsia"/>
                                <w:lang w:val="en-US" w:eastAsia="zh-CN"/>
                              </w:rPr>
                            </w:pPr>
                            <w:r>
                              <w:rPr>
                                <w:rFonts w:hint="eastAsia"/>
                                <w:lang w:val="en-US" w:eastAsia="zh-CN"/>
                              </w:rPr>
                              <w:t>高速柔性</w:t>
                            </w:r>
                          </w:p>
                          <w:p w14:paraId="4735D094">
                            <w:pPr>
                              <w:ind w:firstLine="210" w:firstLineChars="100"/>
                              <w:jc w:val="both"/>
                              <w:rPr>
                                <w:rFonts w:hint="default" w:eastAsia="宋体"/>
                                <w:lang w:val="en-US" w:eastAsia="zh-CN"/>
                              </w:rPr>
                            </w:pPr>
                            <w:r>
                              <w:rPr>
                                <w:rFonts w:hint="eastAsia"/>
                                <w:lang w:val="en-US" w:eastAsia="zh-CN"/>
                              </w:rPr>
                              <w:t>搅拌机</w:t>
                            </w:r>
                          </w:p>
                        </w:txbxContent>
                      </v:textbox>
                    </v:shape>
                  </w:pict>
                </mc:Fallback>
              </mc:AlternateContent>
            </w:r>
          </w:p>
          <w:p w14:paraId="06513A39">
            <w:pPr>
              <w:spacing w:line="360" w:lineRule="auto"/>
              <w:contextualSpacing/>
              <w:jc w:val="center"/>
              <w:rPr>
                <w:rFonts w:eastAsia="黑体"/>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3971290</wp:posOffset>
                      </wp:positionH>
                      <wp:positionV relativeFrom="paragraph">
                        <wp:posOffset>74295</wp:posOffset>
                      </wp:positionV>
                      <wp:extent cx="793115" cy="34226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93115" cy="342265"/>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14:paraId="217F04FA">
                                  <w:pPr>
                                    <w:rPr>
                                      <w:rFonts w:hint="default" w:eastAsia="宋体"/>
                                      <w:lang w:val="en-US" w:eastAsia="zh-CN"/>
                                    </w:rPr>
                                  </w:pPr>
                                  <w:r>
                                    <w:rPr>
                                      <w:rFonts w:hint="eastAsia"/>
                                      <w:lang w:val="en-US" w:eastAsia="zh-CN"/>
                                    </w:rPr>
                                    <w:t>水泥罐车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7pt;margin-top:5.85pt;height:26.95pt;width:62.45pt;z-index:251675648;mso-width-relative:page;mso-height-relative:page;" filled="f" stroked="f" coordsize="21600,21600" o:gfxdata="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YUwuM1wAAAAkBAAAPAAAAAAAAAAEAIAAAACIAAABkcnMv&#10;ZG93bnJldi54bWxQSwECFAAUAAAACACHTuJAwq6lnj0CAABoBAAADgAAAAAAAAABACAAAAAmAQAA&#10;ZHJzL2Uyb0RvYy54bWxQSwUGAAAAAAYABgBZAQAA1QUAAAAA&#10;">
                      <v:fill on="f" focussize="0,0"/>
                      <v:stroke on="f" weight="1pt"/>
                      <v:imagedata o:title=""/>
                      <o:lock v:ext="edit" aspectratio="f"/>
                      <v:textbox>
                        <w:txbxContent>
                          <w:p w14:paraId="217F04FA">
                            <w:pPr>
                              <w:rPr>
                                <w:rFonts w:hint="default" w:eastAsia="宋体"/>
                                <w:lang w:val="en-US" w:eastAsia="zh-CN"/>
                              </w:rPr>
                            </w:pPr>
                            <w:r>
                              <w:rPr>
                                <w:rFonts w:hint="eastAsia"/>
                                <w:lang w:val="en-US" w:eastAsia="zh-CN"/>
                              </w:rPr>
                              <w:t>水泥罐车</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3430270</wp:posOffset>
                      </wp:positionH>
                      <wp:positionV relativeFrom="paragraph">
                        <wp:posOffset>211455</wp:posOffset>
                      </wp:positionV>
                      <wp:extent cx="533400" cy="7620"/>
                      <wp:effectExtent l="0" t="36830" r="0" b="31750"/>
                      <wp:wrapNone/>
                      <wp:docPr id="31" name="直接箭头连接符 31"/>
                      <wp:cNvGraphicFramePr/>
                      <a:graphic xmlns:a="http://schemas.openxmlformats.org/drawingml/2006/main">
                        <a:graphicData uri="http://schemas.microsoft.com/office/word/2010/wordprocessingShape">
                          <wps:wsp>
                            <wps:cNvCnPr/>
                            <wps:spPr>
                              <a:xfrm>
                                <a:off x="0" y="0"/>
                                <a:ext cx="533400" cy="7620"/>
                              </a:xfrm>
                              <a:prstGeom prst="straightConnector1">
                                <a:avLst/>
                              </a:prstGeom>
                              <a:ln w="9525">
                                <a:solidFill>
                                  <a:schemeClr val="tx1"/>
                                </a:solidFill>
                                <a:miter lim="800000"/>
                                <a:headEnd type="triangl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0.1pt;margin-top:16.65pt;height:0.6pt;width:42pt;z-index:251674624;mso-width-relative:page;mso-height-relative:page;" filled="f" stroked="t" coordsize="21600,21600" o:gfxdata="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cWp0dkAAAAJAQAADwAAAAAA&#10;AAABACAAAAAiAAAAZHJzL2Rvd25yZXYueG1sUEsBAhQAFAAAAAgAh07iQP/4Ut0SAgAA/QMAAA4A&#10;AAAAAAAAAQAgAAAAKAEAAGRycy9lMm9Eb2MueG1sUEsFBgAAAAAGAAYAWQEAAKwFAAAAAA==&#10;">
                      <v:fill on="f" focussize="0,0"/>
                      <v:stroke color="#000000 [3213]" miterlimit="8" joinstyle="miter" startarrow="block"/>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2150110</wp:posOffset>
                      </wp:positionH>
                      <wp:positionV relativeFrom="paragraph">
                        <wp:posOffset>196215</wp:posOffset>
                      </wp:positionV>
                      <wp:extent cx="533400" cy="7620"/>
                      <wp:effectExtent l="0" t="36830" r="0" b="31750"/>
                      <wp:wrapNone/>
                      <wp:docPr id="29" name="直接箭头连接符 29"/>
                      <wp:cNvGraphicFramePr/>
                      <a:graphic xmlns:a="http://schemas.openxmlformats.org/drawingml/2006/main">
                        <a:graphicData uri="http://schemas.microsoft.com/office/word/2010/wordprocessingShape">
                          <wps:wsp>
                            <wps:cNvCnPr/>
                            <wps:spPr>
                              <a:xfrm>
                                <a:off x="0" y="0"/>
                                <a:ext cx="533400" cy="7620"/>
                              </a:xfrm>
                              <a:prstGeom prst="straightConnector1">
                                <a:avLst/>
                              </a:prstGeom>
                              <a:ln w="9525">
                                <a:solidFill>
                                  <a:schemeClr val="tx1"/>
                                </a:solidFill>
                                <a:miter lim="800000"/>
                                <a:headEnd type="triangl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9.3pt;margin-top:15.45pt;height:0.6pt;width:42pt;z-index:251672576;mso-width-relative:page;mso-height-relative:page;" filled="f" stroked="t" coordsize="21600,21600" o:gfxdata="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6jx9gAAAAJAQAADwAAAAAA&#10;AAABACAAAAAiAAAAZHJzL2Rvd25yZXYueG1sUEsBAhQAFAAAAAgAh07iQDFrmDATAgAA/QMAAA4A&#10;AAAAAAAAAQAgAAAAJwEAAGRycy9lMm9Eb2MueG1sUEsFBgAAAAAGAAYAWQEAAKwFAAAAAA==&#10;">
                      <v:fill on="f" focussize="0,0"/>
                      <v:stroke color="#000000 [3213]" miterlimit="8" joinstyle="miter" startarrow="block"/>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2691130</wp:posOffset>
                      </wp:positionH>
                      <wp:positionV relativeFrom="paragraph">
                        <wp:posOffset>74295</wp:posOffset>
                      </wp:positionV>
                      <wp:extent cx="747395" cy="342265"/>
                      <wp:effectExtent l="6350" t="6350" r="8255" b="17145"/>
                      <wp:wrapNone/>
                      <wp:docPr id="30" name="文本框 30"/>
                      <wp:cNvGraphicFramePr/>
                      <a:graphic xmlns:a="http://schemas.openxmlformats.org/drawingml/2006/main">
                        <a:graphicData uri="http://schemas.microsoft.com/office/word/2010/wordprocessingShape">
                          <wps:wsp>
                            <wps:cNvSpPr txBox="1"/>
                            <wps:spPr>
                              <a:xfrm>
                                <a:off x="0" y="0"/>
                                <a:ext cx="747395" cy="342265"/>
                              </a:xfrm>
                              <a:prstGeom prst="rect">
                                <a:avLst/>
                              </a:prstGeom>
                              <a:no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D2DC75B">
                                  <w:pPr>
                                    <w:rPr>
                                      <w:rFonts w:hint="default" w:eastAsia="宋体"/>
                                      <w:lang w:val="en-US" w:eastAsia="zh-CN"/>
                                    </w:rPr>
                                  </w:pPr>
                                  <w:r>
                                    <w:rPr>
                                      <w:rFonts w:hint="eastAsia"/>
                                      <w:lang w:val="en-US" w:eastAsia="zh-CN"/>
                                    </w:rPr>
                                    <w:t>水泥筒仓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9pt;margin-top:5.85pt;height:26.95pt;width:58.85pt;z-index:251673600;mso-width-relative:page;mso-height-relative:page;" filled="f" stroked="t" coordsize="21600,21600" o:gfxdata="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sYFVHWAAAACQEAAA8A&#10;AAAAAAAAAQAgAAAAIgAAAGRycy9kb3ducmV2LnhtbFBLAQIUABQAAAAIAIdO4kA/EZRKUgIAAJEE&#10;AAAOAAAAAAAAAAEAIAAAACUBAABkcnMvZTJvRG9jLnhtbFBLBQYAAAAABgAGAFkBAADpBQAAAAA=&#10;">
                      <v:fill on="f" focussize="0,0"/>
                      <v:stroke weight="1pt" color="#000000 [3213]" joinstyle="round"/>
                      <v:imagedata o:title=""/>
                      <o:lock v:ext="edit" aspectratio="f"/>
                      <v:textbox>
                        <w:txbxContent>
                          <w:p w14:paraId="5D2DC75B">
                            <w:pPr>
                              <w:rPr>
                                <w:rFonts w:hint="default" w:eastAsia="宋体"/>
                                <w:lang w:val="en-US" w:eastAsia="zh-CN"/>
                              </w:rPr>
                            </w:pPr>
                            <w:r>
                              <w:rPr>
                                <w:rFonts w:hint="eastAsia"/>
                                <w:lang w:val="en-US" w:eastAsia="zh-CN"/>
                              </w:rPr>
                              <w:t>水泥筒仓</w:t>
                            </w:r>
                          </w:p>
                        </w:txbxContent>
                      </v:textbox>
                    </v:shape>
                  </w:pict>
                </mc:Fallback>
              </mc:AlternateContent>
            </w:r>
          </w:p>
          <w:p w14:paraId="1901B44D">
            <w:pPr>
              <w:spacing w:line="360" w:lineRule="auto"/>
              <w:contextualSpacing/>
              <w:jc w:val="center"/>
              <w:rPr>
                <w:rFonts w:eastAsia="黑体"/>
                <w:sz w:val="24"/>
              </w:rPr>
            </w:pPr>
            <w:r>
              <w:rPr>
                <w:sz w:val="24"/>
              </w:rPr>
              <mc:AlternateContent>
                <mc:Choice Requires="wps">
                  <w:drawing>
                    <wp:anchor distT="0" distB="0" distL="114300" distR="114300" simplePos="0" relativeHeight="251682816" behindDoc="0" locked="0" layoutInCell="1" allowOverlap="1">
                      <wp:simplePos x="0" y="0"/>
                      <wp:positionH relativeFrom="column">
                        <wp:posOffset>1502410</wp:posOffset>
                      </wp:positionH>
                      <wp:positionV relativeFrom="paragraph">
                        <wp:posOffset>169545</wp:posOffset>
                      </wp:positionV>
                      <wp:extent cx="0" cy="236220"/>
                      <wp:effectExtent l="6350" t="0" r="8890" b="7620"/>
                      <wp:wrapNone/>
                      <wp:docPr id="41" name="直接连接符 41"/>
                      <wp:cNvGraphicFramePr/>
                      <a:graphic xmlns:a="http://schemas.openxmlformats.org/drawingml/2006/main">
                        <a:graphicData uri="http://schemas.microsoft.com/office/word/2010/wordprocessingShape">
                          <wps:wsp>
                            <wps:cNvCnPr/>
                            <wps:spPr>
                              <a:xfrm>
                                <a:off x="2987675" y="3648075"/>
                                <a:ext cx="0" cy="2362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8.3pt;margin-top:13.35pt;height:18.6pt;width:0pt;z-index:251682816;mso-width-relative:page;mso-height-relative:page;" filled="f" stroked="t" coordsize="21600,21600" o:gfxdata="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CujgPX&#10;AAAACQEAAA8AAAAAAAAAAQAgAAAAIgAAAGRycy9kb3ducmV2LnhtbFBLAQIUABQAAAAIAIdO4kDC&#10;NUVf6AEAAKgDAAAOAAAAAAAAAAEAIAAAACYBAABkcnMvZTJvRG9jLnhtbFBLBQYAAAAABgAGAFkB&#10;AACABQAAAAA=&#10;">
                      <v:fill on="f" focussize="0,0"/>
                      <v:stroke weight="1pt" color="#000000 [3213]" joinstyle="round"/>
                      <v:imagedata o:title=""/>
                      <o:lock v:ext="edit" aspectratio="f"/>
                    </v:lin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1731010</wp:posOffset>
                      </wp:positionH>
                      <wp:positionV relativeFrom="paragraph">
                        <wp:posOffset>200025</wp:posOffset>
                      </wp:positionV>
                      <wp:extent cx="635" cy="472440"/>
                      <wp:effectExtent l="37465" t="0" r="38100" b="0"/>
                      <wp:wrapNone/>
                      <wp:docPr id="34" name="直接箭头连接符 34"/>
                      <wp:cNvGraphicFramePr/>
                      <a:graphic xmlns:a="http://schemas.openxmlformats.org/drawingml/2006/main">
                        <a:graphicData uri="http://schemas.microsoft.com/office/word/2010/wordprocessingShape">
                          <wps:wsp>
                            <wps:cNvCnPr>
                              <a:endCxn id="35" idx="0"/>
                            </wps:cNvCnPr>
                            <wps:spPr>
                              <a:xfrm>
                                <a:off x="0" y="0"/>
                                <a:ext cx="635" cy="47244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6.3pt;margin-top:15.75pt;height:37.2pt;width:0.05pt;z-index:251677696;mso-width-relative:page;mso-height-relative:page;" filled="f" stroked="t" coordsize="21600,21600" o:gfxdata="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aQaU2gAAAAoBAAAPAAAAAAAAAAEA&#10;IAAAACIAAABkcnMvZG93bnJldi54bWxQSwECFAAUAAAACACHTuJAkMllwg0CAAD1AwAADgAAAAAA&#10;AAABACAAAAApAQAAZHJzL2Uyb0RvYy54bWxQSwUGAAAAAAYABgBZAQAAqAUAAAAA&#10;">
                      <v:fill on="f" focussize="0,0"/>
                      <v:stroke color="#000000 [3213]" joinstyle="round" endarrow="block"/>
                      <v:imagedata o:title=""/>
                      <o:lock v:ext="edit" aspectratio="f"/>
                    </v:shape>
                  </w:pict>
                </mc:Fallback>
              </mc:AlternateContent>
            </w:r>
          </w:p>
          <w:p w14:paraId="0E67009A">
            <w:pPr>
              <w:spacing w:line="360" w:lineRule="auto"/>
              <w:contextualSpacing/>
              <w:jc w:val="center"/>
              <w:rPr>
                <w:rFonts w:eastAsia="黑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1685290</wp:posOffset>
                      </wp:positionH>
                      <wp:positionV relativeFrom="paragraph">
                        <wp:posOffset>52070</wp:posOffset>
                      </wp:positionV>
                      <wp:extent cx="1477645" cy="303530"/>
                      <wp:effectExtent l="0" t="0" r="0" b="0"/>
                      <wp:wrapNone/>
                      <wp:docPr id="38" name="文本框 38"/>
                      <wp:cNvGraphicFramePr/>
                      <a:graphic xmlns:a="http://schemas.openxmlformats.org/drawingml/2006/main">
                        <a:graphicData uri="http://schemas.microsoft.com/office/word/2010/wordprocessingShape">
                          <wps:wsp>
                            <wps:cNvSpPr txBox="1"/>
                            <wps:spPr>
                              <a:xfrm>
                                <a:off x="3376295" y="3785235"/>
                                <a:ext cx="1477645"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4EC7D">
                                  <w:pPr>
                                    <w:rPr>
                                      <w:rFonts w:hint="default" w:eastAsia="宋体"/>
                                      <w:lang w:val="en-US" w:eastAsia="zh-CN"/>
                                    </w:rPr>
                                  </w:pPr>
                                  <w:r>
                                    <w:rPr>
                                      <w:rFonts w:hint="eastAsia"/>
                                      <w:lang w:val="en-US" w:eastAsia="zh-CN"/>
                                    </w:rPr>
                                    <w:t>约72%浓度填充料浆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pt;margin-top:4.1pt;height:23.9pt;width:116.35pt;z-index:251681792;mso-width-relative:page;mso-height-relative:page;" filled="f" stroked="f" coordsize="21600,21600" o:gfxdata="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P36eS2gAAAAgBAAAPAAAAAAAA&#10;AAEAIAAAACIAAABkcnMvZG93bnJldi54bWxQSwECFAAUAAAACACHTuJAtrkPkEkCAAB0BAAADgAA&#10;AAAAAAABACAAAAApAQAAZHJzL2Uyb0RvYy54bWxQSwUGAAAAAAYABgBZAQAA5AUAAAAA&#10;">
                      <v:fill on="f" focussize="0,0"/>
                      <v:stroke on="f" weight="0.5pt"/>
                      <v:imagedata o:title=""/>
                      <o:lock v:ext="edit" aspectratio="f"/>
                      <v:textbox>
                        <w:txbxContent>
                          <w:p w14:paraId="5574EC7D">
                            <w:pPr>
                              <w:rPr>
                                <w:rFonts w:hint="default" w:eastAsia="宋体"/>
                                <w:lang w:val="en-US" w:eastAsia="zh-CN"/>
                              </w:rPr>
                            </w:pPr>
                            <w:r>
                              <w:rPr>
                                <w:rFonts w:hint="eastAsia"/>
                                <w:lang w:val="en-US" w:eastAsia="zh-CN"/>
                              </w:rPr>
                              <w:t>约72%浓度填充料浆</w:t>
                            </w: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999490</wp:posOffset>
                      </wp:positionH>
                      <wp:positionV relativeFrom="paragraph">
                        <wp:posOffset>135255</wp:posOffset>
                      </wp:positionV>
                      <wp:extent cx="7620" cy="403860"/>
                      <wp:effectExtent l="6350" t="0" r="16510" b="7620"/>
                      <wp:wrapNone/>
                      <wp:docPr id="43" name="直接连接符 43"/>
                      <wp:cNvGraphicFramePr/>
                      <a:graphic xmlns:a="http://schemas.openxmlformats.org/drawingml/2006/main">
                        <a:graphicData uri="http://schemas.microsoft.com/office/word/2010/wordprocessingShape">
                          <wps:wsp>
                            <wps:cNvCnPr/>
                            <wps:spPr>
                              <a:xfrm>
                                <a:off x="2530475" y="3853815"/>
                                <a:ext cx="7620" cy="40386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8.7pt;margin-top:10.65pt;height:31.8pt;width:0.6pt;z-index:251684864;mso-width-relative:page;mso-height-relative:page;" filled="f" stroked="t" coordsize="21600,21600" o:gfxdata="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PD132QAAAAkBAAAPAAAAAAAAAAEAIAAAACIAAABkcnMvZG93bnJldi54bWxQSwECFAAUAAAACACH&#10;TuJADq5roeoBAACrAwAADgAAAAAAAAABACAAAAAoAQAAZHJzL2Uyb0RvYy54bWxQSwUGAAAAAAYA&#10;BgBZAQAAhAUAAAAA&#10;">
                      <v:fill on="f" focussize="0,0"/>
                      <v:stroke weight="1pt" color="#000000 [3213]"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1014730</wp:posOffset>
                      </wp:positionH>
                      <wp:positionV relativeFrom="paragraph">
                        <wp:posOffset>142875</wp:posOffset>
                      </wp:positionV>
                      <wp:extent cx="495300" cy="0"/>
                      <wp:effectExtent l="0" t="6350" r="0" b="6350"/>
                      <wp:wrapNone/>
                      <wp:docPr id="42" name="直接连接符 42"/>
                      <wp:cNvGraphicFramePr/>
                      <a:graphic xmlns:a="http://schemas.openxmlformats.org/drawingml/2006/main">
                        <a:graphicData uri="http://schemas.microsoft.com/office/word/2010/wordprocessingShape">
                          <wps:wsp>
                            <wps:cNvCnPr/>
                            <wps:spPr>
                              <a:xfrm flipH="1">
                                <a:off x="2538095" y="3983355"/>
                                <a:ext cx="49530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79.9pt;margin-top:11.25pt;height:0pt;width:39pt;z-index:251683840;mso-width-relative:page;mso-height-relative:page;" filled="f" stroked="t" coordsize="21600,21600" o:gfxdata="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3NfVB1gAAAAkBAAAPAAAAAAAAAAEAIAAAACIAAABkcnMvZG93bnJldi54bWxQSwECFAAUAAAA&#10;CACHTuJAMrECUfABAACyAwAADgAAAAAAAAABACAAAAAlAQAAZHJzL2Uyb0RvYy54bWxQSwUGAAAA&#10;AAYABgBZAQAAhwUAAAAA&#10;">
                      <v:fill on="f" focussize="0,0"/>
                      <v:stroke weight="1pt" color="#000000 [3213]" joinstyle="round"/>
                      <v:imagedata o:title=""/>
                      <o:lock v:ext="edit" aspectratio="f"/>
                    </v:line>
                  </w:pict>
                </mc:Fallback>
              </mc:AlternateContent>
            </w:r>
          </w:p>
          <w:p w14:paraId="6E0CC081">
            <w:pPr>
              <w:spacing w:line="360" w:lineRule="auto"/>
              <w:contextualSpacing/>
              <w:jc w:val="center"/>
              <w:rPr>
                <w:rFonts w:eastAsia="黑体"/>
                <w:sz w:val="24"/>
              </w:rPr>
            </w:pPr>
            <w:r>
              <w:rPr>
                <w:sz w:val="24"/>
              </w:rPr>
              <mc:AlternateContent>
                <mc:Choice Requires="wps">
                  <w:drawing>
                    <wp:anchor distT="0" distB="0" distL="114300" distR="114300" simplePos="0" relativeHeight="251697152" behindDoc="0" locked="0" layoutInCell="1" allowOverlap="1">
                      <wp:simplePos x="0" y="0"/>
                      <wp:positionH relativeFrom="column">
                        <wp:posOffset>2683510</wp:posOffset>
                      </wp:positionH>
                      <wp:positionV relativeFrom="paragraph">
                        <wp:posOffset>168910</wp:posOffset>
                      </wp:positionV>
                      <wp:extent cx="670560" cy="3060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67056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5CC4D">
                                  <w:pPr>
                                    <w:rPr>
                                      <w:rFonts w:hint="default" w:eastAsia="宋体"/>
                                      <w:b/>
                                      <w:bCs/>
                                      <w:lang w:val="en-US" w:eastAsia="zh-CN"/>
                                    </w:rPr>
                                  </w:pPr>
                                  <w:r>
                                    <w:rPr>
                                      <w:rFonts w:hint="eastAsia"/>
                                      <w:b/>
                                      <w:bCs/>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3pt;margin-top:13.3pt;height:24.1pt;width:52.8pt;z-index:251697152;mso-width-relative:page;mso-height-relative:page;" filled="f" stroked="f" coordsize="21600,21600" o:gfxdata="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eV1HaAAAACQEAAA8AAAAAAAAAAQAgAAAAIgAAAGRy&#10;cy9kb3ducmV2LnhtbFBLAQIUABQAAAAIAIdO4kDlskEIPAIAAGcEAAAOAAAAAAAAAAEAIAAAACkB&#10;AABkcnMvZTJvRG9jLnhtbFBLBQYAAAAABgAGAFkBAADXBQAAAAA=&#10;">
                      <v:fill on="f" focussize="0,0"/>
                      <v:stroke on="f" weight="0.5pt"/>
                      <v:imagedata o:title=""/>
                      <o:lock v:ext="edit" aspectratio="f"/>
                      <v:textbox>
                        <w:txbxContent>
                          <w:p w14:paraId="5335CC4D">
                            <w:pPr>
                              <w:rPr>
                                <w:rFonts w:hint="default" w:eastAsia="宋体"/>
                                <w:b/>
                                <w:bCs/>
                                <w:lang w:val="en-US" w:eastAsia="zh-CN"/>
                              </w:rPr>
                            </w:pPr>
                            <w:r>
                              <w:rPr>
                                <w:rFonts w:hint="eastAsia"/>
                                <w:b/>
                                <w:bCs/>
                                <w:lang w:val="en-US" w:eastAsia="zh-CN"/>
                              </w:rPr>
                              <w:t>噪声</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709930</wp:posOffset>
                      </wp:positionH>
                      <wp:positionV relativeFrom="paragraph">
                        <wp:posOffset>253365</wp:posOffset>
                      </wp:positionV>
                      <wp:extent cx="0" cy="419100"/>
                      <wp:effectExtent l="38100" t="0" r="38100" b="7620"/>
                      <wp:wrapNone/>
                      <wp:docPr id="45" name="直接箭头连接符 45"/>
                      <wp:cNvGraphicFramePr/>
                      <a:graphic xmlns:a="http://schemas.openxmlformats.org/drawingml/2006/main">
                        <a:graphicData uri="http://schemas.microsoft.com/office/word/2010/wordprocessingShape">
                          <wps:wsp>
                            <wps:cNvCnPr/>
                            <wps:spPr>
                              <a:xfrm>
                                <a:off x="2218055" y="4242435"/>
                                <a:ext cx="0" cy="419100"/>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5.9pt;margin-top:19.95pt;height:33pt;width:0pt;z-index:251686912;mso-width-relative:page;mso-height-relative:page;" filled="f" stroked="t" coordsize="21600,21600" o:gfxdata="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8bgV9UAAAAKAQAADwAAAAAAAAABACAAAAAiAAAAZHJz&#10;L2Rvd25yZXYueG1sUEsBAhQAFAAAAAgAh07iQKQg8PEHAgAA2AMAAA4AAAAAAAAAAQAgAAAAJAEA&#10;AGRycy9lMm9Eb2MueG1sUEsFBgAAAAAGAAYAWQEAAJ0FAAAAAA==&#10;">
                      <v:fill on="f" focussize="0,0"/>
                      <v:stroke weight="1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709930</wp:posOffset>
                      </wp:positionH>
                      <wp:positionV relativeFrom="paragraph">
                        <wp:posOffset>260985</wp:posOffset>
                      </wp:positionV>
                      <wp:extent cx="304800" cy="0"/>
                      <wp:effectExtent l="0" t="6350" r="0" b="6350"/>
                      <wp:wrapNone/>
                      <wp:docPr id="44" name="直接连接符 44"/>
                      <wp:cNvGraphicFramePr/>
                      <a:graphic xmlns:a="http://schemas.openxmlformats.org/drawingml/2006/main">
                        <a:graphicData uri="http://schemas.microsoft.com/office/word/2010/wordprocessingShape">
                          <wps:wsp>
                            <wps:cNvCnPr/>
                            <wps:spPr>
                              <a:xfrm flipH="1">
                                <a:off x="2225675" y="4242435"/>
                                <a:ext cx="30480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5.9pt;margin-top:20.55pt;height:0pt;width:24pt;z-index:251685888;mso-width-relative:page;mso-height-relative:page;" filled="f" stroked="t" coordsize="21600,21600" o:gfxdata="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PYrt1QAAAAkBAAAPAAAAAAAAAAEAIAAAACIAAABkcnMvZG93bnJldi54bWxQSwECFAAUAAAACACH&#10;TuJATA9yYO4BAACyAwAADgAAAAAAAAABACAAAAAkAQAAZHJzL2Uyb0RvYy54bWxQSwUGAAAAAAYA&#10;BgBZAQAAhAUAAAAA&#10;">
                      <v:fill on="f" focussize="0,0"/>
                      <v:stroke weight="1pt" color="#000000 [3213]" joinstyle="round"/>
                      <v:imagedata o:title=""/>
                      <o:lock v:ext="edit" aspectratio="f"/>
                    </v:lin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1259205</wp:posOffset>
                      </wp:positionH>
                      <wp:positionV relativeFrom="paragraph">
                        <wp:posOffset>146685</wp:posOffset>
                      </wp:positionV>
                      <wp:extent cx="944880" cy="342265"/>
                      <wp:effectExtent l="6350" t="6350" r="8890" b="17145"/>
                      <wp:wrapNone/>
                      <wp:docPr id="35" name="文本框 35"/>
                      <wp:cNvGraphicFramePr/>
                      <a:graphic xmlns:a="http://schemas.openxmlformats.org/drawingml/2006/main">
                        <a:graphicData uri="http://schemas.microsoft.com/office/word/2010/wordprocessingShape">
                          <wps:wsp>
                            <wps:cNvSpPr txBox="1"/>
                            <wps:spPr>
                              <a:xfrm>
                                <a:off x="0" y="0"/>
                                <a:ext cx="944880" cy="342265"/>
                              </a:xfrm>
                              <a:prstGeom prst="rect">
                                <a:avLst/>
                              </a:prstGeom>
                              <a:no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A232979">
                                  <w:pPr>
                                    <w:rPr>
                                      <w:rFonts w:hint="default" w:eastAsia="宋体"/>
                                      <w:lang w:val="en-US" w:eastAsia="zh-CN"/>
                                    </w:rPr>
                                  </w:pPr>
                                  <w:r>
                                    <w:rPr>
                                      <w:rFonts w:hint="eastAsia"/>
                                      <w:lang w:val="en-US" w:eastAsia="zh-CN"/>
                                    </w:rPr>
                                    <w:t>填充输送泵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15pt;margin-top:11.55pt;height:26.95pt;width:74.4pt;z-index:251678720;mso-width-relative:page;mso-height-relative:page;" filled="f" stroked="t" coordsize="21600,21600" o:gfxdata="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imItUAAAAJAQAADwAA&#10;AAAAAAABACAAAAAiAAAAZHJzL2Rvd25yZXYueG1sUEsBAhQAFAAAAAgAh07iQFQixOxSAgAAkQQA&#10;AA4AAAAAAAAAAQAgAAAAJAEAAGRycy9lMm9Eb2MueG1sUEsFBgAAAAAGAAYAWQEAAOgFAAAAAA==&#10;">
                      <v:fill on="f" focussize="0,0"/>
                      <v:stroke weight="1pt" color="#000000 [3213]" joinstyle="round"/>
                      <v:imagedata o:title=""/>
                      <o:lock v:ext="edit" aspectratio="f"/>
                      <v:textbox>
                        <w:txbxContent>
                          <w:p w14:paraId="4A232979">
                            <w:pPr>
                              <w:rPr>
                                <w:rFonts w:hint="default" w:eastAsia="宋体"/>
                                <w:lang w:val="en-US" w:eastAsia="zh-CN"/>
                              </w:rPr>
                            </w:pPr>
                            <w:r>
                              <w:rPr>
                                <w:rFonts w:hint="eastAsia"/>
                                <w:lang w:val="en-US" w:eastAsia="zh-CN"/>
                              </w:rPr>
                              <w:t>填充输送泵</w:t>
                            </w:r>
                          </w:p>
                        </w:txbxContent>
                      </v:textbox>
                    </v:shape>
                  </w:pict>
                </mc:Fallback>
              </mc:AlternateContent>
            </w:r>
          </w:p>
          <w:p w14:paraId="24878EEA">
            <w:pPr>
              <w:spacing w:line="360" w:lineRule="auto"/>
              <w:contextualSpacing/>
              <w:jc w:val="center"/>
              <w:rPr>
                <w:rFonts w:eastAsia="黑体"/>
                <w:sz w:val="24"/>
              </w:rPr>
            </w:pPr>
            <w:r>
              <w:rPr>
                <w:sz w:val="24"/>
              </w:rPr>
              <mc:AlternateContent>
                <mc:Choice Requires="wps">
                  <w:drawing>
                    <wp:anchor distT="0" distB="0" distL="114300" distR="114300" simplePos="0" relativeHeight="251696128" behindDoc="0" locked="0" layoutInCell="1" allowOverlap="1">
                      <wp:simplePos x="0" y="0"/>
                      <wp:positionH relativeFrom="column">
                        <wp:posOffset>2226310</wp:posOffset>
                      </wp:positionH>
                      <wp:positionV relativeFrom="paragraph">
                        <wp:posOffset>20955</wp:posOffset>
                      </wp:positionV>
                      <wp:extent cx="472440" cy="7620"/>
                      <wp:effectExtent l="0" t="36830" r="0" b="31750"/>
                      <wp:wrapNone/>
                      <wp:docPr id="54" name="直接箭头连接符 54"/>
                      <wp:cNvGraphicFramePr/>
                      <a:graphic xmlns:a="http://schemas.openxmlformats.org/drawingml/2006/main">
                        <a:graphicData uri="http://schemas.microsoft.com/office/word/2010/wordprocessingShape">
                          <wps:wsp>
                            <wps:cNvCnPr/>
                            <wps:spPr>
                              <a:xfrm flipV="1">
                                <a:off x="0" y="0"/>
                                <a:ext cx="472440" cy="7620"/>
                              </a:xfrm>
                              <a:prstGeom prst="straightConnector1">
                                <a:avLst/>
                              </a:prstGeom>
                              <a:ln w="9525">
                                <a:solidFill>
                                  <a:schemeClr val="tx1"/>
                                </a:solidFill>
                                <a:prstDash val="dash"/>
                                <a:beve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75.3pt;margin-top:1.65pt;height:0.6pt;width:37.2pt;z-index:251696128;mso-width-relative:page;mso-height-relative:page;" filled="f" stroked="t" coordsize="21600,21600" o:gfxdata="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raJ89gAAAAHAQAADwAAAAAAAAABACAAAAAi&#10;AAAAZHJzL2Rvd25yZXYueG1sUEsBAhQAFAAAAAgAh07iQIt8NR4KAgAA4QMAAA4AAAAAAAAAAQAg&#10;AAAAJwEAAGRycy9lMm9Eb2MueG1sUEsFBgAAAAAGAAYAWQEAAKMFAAAAAA==&#10;">
                      <v:fill on="f" focussize="0,0"/>
                      <v:stroke color="#000000 [3213]" joinstyle="bevel" dashstyle="dash" endarrow="block"/>
                      <v:imagedata o:title=""/>
                      <o:lock v:ext="edit" aspectratio="f"/>
                    </v:shape>
                  </w:pict>
                </mc:Fallback>
              </mc:AlternateContent>
            </w:r>
          </w:p>
          <w:p w14:paraId="1E85AA57">
            <w:pPr>
              <w:spacing w:line="360" w:lineRule="auto"/>
              <w:contextualSpacing/>
              <w:jc w:val="center"/>
              <w:rPr>
                <w:rFonts w:eastAsia="黑体"/>
                <w:sz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344170</wp:posOffset>
                      </wp:positionH>
                      <wp:positionV relativeFrom="paragraph">
                        <wp:posOffset>161925</wp:posOffset>
                      </wp:positionV>
                      <wp:extent cx="685800" cy="320675"/>
                      <wp:effectExtent l="6350" t="6350" r="8890" b="8255"/>
                      <wp:wrapNone/>
                      <wp:docPr id="46" name="文本框 46"/>
                      <wp:cNvGraphicFramePr/>
                      <a:graphic xmlns:a="http://schemas.openxmlformats.org/drawingml/2006/main">
                        <a:graphicData uri="http://schemas.microsoft.com/office/word/2010/wordprocessingShape">
                          <wps:wsp>
                            <wps:cNvSpPr txBox="1"/>
                            <wps:spPr>
                              <a:xfrm>
                                <a:off x="1966595" y="4692015"/>
                                <a:ext cx="685800" cy="32067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F00F00">
                                  <w:pPr>
                                    <w:rPr>
                                      <w:rFonts w:hint="default" w:eastAsia="宋体"/>
                                      <w:lang w:val="en-US" w:eastAsia="zh-CN"/>
                                    </w:rPr>
                                  </w:pPr>
                                  <w:r>
                                    <w:rPr>
                                      <w:rFonts w:hint="eastAsia"/>
                                      <w:lang w:val="en-US" w:eastAsia="zh-CN"/>
                                    </w:rPr>
                                    <w:t>备用泵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pt;margin-top:12.75pt;height:25.25pt;width:54pt;z-index:251687936;mso-width-relative:page;mso-height-relative:page;" filled="f" stroked="t" coordsize="21600,21600" o:gfxdata="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ij2CbV&#10;AAAACAEAAA8AAAAAAAAAAQAgAAAAIgAAAGRycy9kb3ducmV2LnhtbFBLAQIUABQAAAAIAIdO4kAF&#10;jKGCXAIAAJwEAAAOAAAAAAAAAAEAIAAAACQBAABkcnMvZTJvRG9jLnhtbFBLBQYAAAAABgAGAFkB&#10;AADyBQAAAAA=&#10;">
                      <v:fill on="f" focussize="0,0"/>
                      <v:stroke weight="1pt" color="#000000 [3204]" joinstyle="round"/>
                      <v:imagedata o:title=""/>
                      <o:lock v:ext="edit" aspectratio="f"/>
                      <v:textbox>
                        <w:txbxContent>
                          <w:p w14:paraId="55F00F00">
                            <w:pPr>
                              <w:rPr>
                                <w:rFonts w:hint="default" w:eastAsia="宋体"/>
                                <w:lang w:val="en-US" w:eastAsia="zh-CN"/>
                              </w:rPr>
                            </w:pPr>
                            <w:r>
                              <w:rPr>
                                <w:rFonts w:hint="eastAsia"/>
                                <w:lang w:val="en-US" w:eastAsia="zh-CN"/>
                              </w:rPr>
                              <w:t>备用泵</w:t>
                            </w: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1716405</wp:posOffset>
                      </wp:positionH>
                      <wp:positionV relativeFrom="paragraph">
                        <wp:posOffset>-5715</wp:posOffset>
                      </wp:positionV>
                      <wp:extent cx="3175" cy="708660"/>
                      <wp:effectExtent l="37465" t="0" r="35560" b="7620"/>
                      <wp:wrapNone/>
                      <wp:docPr id="36" name="直接箭头连接符 36"/>
                      <wp:cNvGraphicFramePr/>
                      <a:graphic xmlns:a="http://schemas.openxmlformats.org/drawingml/2006/main">
                        <a:graphicData uri="http://schemas.microsoft.com/office/word/2010/wordprocessingShape">
                          <wps:wsp>
                            <wps:cNvCnPr/>
                            <wps:spPr>
                              <a:xfrm flipH="1">
                                <a:off x="0" y="0"/>
                                <a:ext cx="3175" cy="70866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5.15pt;margin-top:-0.45pt;height:55.8pt;width:0.25pt;z-index:251679744;mso-width-relative:page;mso-height-relative:page;" filled="f" stroked="t" coordsize="21600,21600" o:gfxdata="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rvCJtcAAAAJAQAADwAAAAAAAAABACAAAAAiAAAAZHJz&#10;L2Rvd25yZXYueG1sUEsBAhQAFAAAAAgAh07iQIzdu+MFAgAA2AMAAA4AAAAAAAAAAQAgAAAAJgEA&#10;AGRycy9lMm9Eb2MueG1sUEsFBgAAAAAGAAYAWQEAAJ0FAAAAAA==&#10;">
                      <v:fill on="f" focussize="0,0"/>
                      <v:stroke color="#000000 [3213]" joinstyle="round" endarrow="block"/>
                      <v:imagedata o:title=""/>
                      <o:lock v:ext="edit" aspectratio="f"/>
                    </v:shape>
                  </w:pict>
                </mc:Fallback>
              </mc:AlternateContent>
            </w:r>
          </w:p>
          <w:p w14:paraId="4337EC17">
            <w:pPr>
              <w:spacing w:line="360" w:lineRule="auto"/>
              <w:contextualSpacing/>
              <w:jc w:val="center"/>
              <w:rPr>
                <w:rFonts w:eastAsia="黑体"/>
                <w:sz w:val="24"/>
              </w:rPr>
            </w:pPr>
            <w:r>
              <w:rPr>
                <w:sz w:val="24"/>
              </w:rPr>
              <mc:AlternateContent>
                <mc:Choice Requires="wps">
                  <w:drawing>
                    <wp:anchor distT="0" distB="0" distL="114300" distR="114300" simplePos="0" relativeHeight="251688960" behindDoc="0" locked="0" layoutInCell="1" allowOverlap="1">
                      <wp:simplePos x="0" y="0"/>
                      <wp:positionH relativeFrom="column">
                        <wp:posOffset>1045210</wp:posOffset>
                      </wp:positionH>
                      <wp:positionV relativeFrom="paragraph">
                        <wp:posOffset>28575</wp:posOffset>
                      </wp:positionV>
                      <wp:extent cx="685800" cy="635"/>
                      <wp:effectExtent l="0" t="38100" r="0" b="37465"/>
                      <wp:wrapNone/>
                      <wp:docPr id="47" name="直接箭头连接符 47"/>
                      <wp:cNvGraphicFramePr/>
                      <a:graphic xmlns:a="http://schemas.openxmlformats.org/drawingml/2006/main">
                        <a:graphicData uri="http://schemas.microsoft.com/office/word/2010/wordprocessingShape">
                          <wps:wsp>
                            <wps:cNvCnPr/>
                            <wps:spPr>
                              <a:xfrm flipV="1">
                                <a:off x="2530475" y="4791075"/>
                                <a:ext cx="685800" cy="635"/>
                              </a:xfrm>
                              <a:prstGeom prst="straightConnector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2.3pt;margin-top:2.25pt;height:0.05pt;width:54pt;z-index:251688960;mso-width-relative:page;mso-height-relative:page;" filled="f" stroked="t" coordsize="21600,21600" o:gfxdata="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YCENbXAAAABwEAAA8AAAAAAAAAAQAg&#10;AAAAIgAAAGRycy9kb3ducmV2LnhtbFBLAQIUABQAAAAIAIdO4kBP3xJODwIAAOQDAAAOAAAAAAAA&#10;AAEAIAAAACYBAABkcnMvZTJvRG9jLnhtbFBLBQYAAAAABgAGAFkBAACnBQAAAAA=&#10;">
                      <v:fill on="f" focussize="0,0"/>
                      <v:stroke weight="1pt" color="#000000 [3213]" joinstyle="round" endarrow="block"/>
                      <v:imagedata o:title=""/>
                      <o:lock v:ext="edit" aspectratio="f"/>
                    </v:shape>
                  </w:pict>
                </mc:Fallback>
              </mc:AlternateContent>
            </w:r>
          </w:p>
          <w:p w14:paraId="0715ACCA">
            <w:pPr>
              <w:spacing w:line="360" w:lineRule="auto"/>
              <w:contextualSpacing/>
              <w:jc w:val="center"/>
              <w:rPr>
                <w:rFonts w:eastAsia="黑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1335405</wp:posOffset>
                      </wp:positionH>
                      <wp:positionV relativeFrom="paragraph">
                        <wp:posOffset>200660</wp:posOffset>
                      </wp:positionV>
                      <wp:extent cx="914400" cy="31178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14400" cy="311785"/>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14:paraId="49FDFBC4">
                                  <w:pPr>
                                    <w:rPr>
                                      <w:rFonts w:hint="default" w:eastAsia="宋体"/>
                                      <w:lang w:val="en-US" w:eastAsia="zh-CN"/>
                                    </w:rPr>
                                  </w:pPr>
                                  <w:r>
                                    <w:rPr>
                                      <w:rFonts w:hint="eastAsia"/>
                                      <w:lang w:val="en-US" w:eastAsia="zh-CN"/>
                                    </w:rPr>
                                    <w:t>填充料浆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15pt;margin-top:15.8pt;height:24.55pt;width:72pt;z-index:251680768;mso-width-relative:page;mso-height-relative:page;" filled="f" stroked="f" coordsize="21600,21600" o:gfxdata="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rzomnXAAAACQEAAA8AAAAAAAAAAQAgAAAAIgAAAGRycy9kb3du&#10;cmV2LnhtbFBLAQIUABQAAAAIAIdO4kDLsz3ZOQIAAGgEAAAOAAAAAAAAAAEAIAAAACYBAABkcnMv&#10;ZTJvRG9jLnhtbFBLBQYAAAAABgAGAFkBAADRBQAAAAA=&#10;">
                      <v:fill on="f" focussize="0,0"/>
                      <v:stroke on="f" weight="1pt"/>
                      <v:imagedata o:title=""/>
                      <o:lock v:ext="edit" aspectratio="f"/>
                      <v:textbox>
                        <w:txbxContent>
                          <w:p w14:paraId="49FDFBC4">
                            <w:pPr>
                              <w:rPr>
                                <w:rFonts w:hint="default" w:eastAsia="宋体"/>
                                <w:lang w:val="en-US" w:eastAsia="zh-CN"/>
                              </w:rPr>
                            </w:pPr>
                            <w:r>
                              <w:rPr>
                                <w:rFonts w:hint="eastAsia"/>
                                <w:lang w:val="en-US" w:eastAsia="zh-CN"/>
                              </w:rPr>
                              <w:t>填充料浆</w:t>
                            </w:r>
                          </w:p>
                        </w:txbxContent>
                      </v:textbox>
                    </v:shape>
                  </w:pict>
                </mc:Fallback>
              </mc:AlternateContent>
            </w:r>
          </w:p>
          <w:p w14:paraId="7BB06F98">
            <w:pPr>
              <w:spacing w:line="360" w:lineRule="auto"/>
              <w:contextualSpacing/>
              <w:jc w:val="both"/>
              <w:rPr>
                <w:rFonts w:eastAsia="黑体"/>
                <w:sz w:val="24"/>
              </w:rPr>
            </w:pPr>
          </w:p>
          <w:p w14:paraId="6EDA6B84">
            <w:pPr>
              <w:spacing w:line="360" w:lineRule="auto"/>
              <w:contextualSpacing/>
              <w:jc w:val="center"/>
              <w:rPr>
                <w:szCs w:val="21"/>
              </w:rPr>
            </w:pPr>
            <w:r>
              <w:rPr>
                <w:rFonts w:eastAsia="黑体"/>
                <w:sz w:val="24"/>
              </w:rPr>
              <w:t>图</w:t>
            </w:r>
            <w:r>
              <w:rPr>
                <w:rFonts w:hint="eastAsia" w:eastAsia="黑体"/>
                <w:sz w:val="24"/>
                <w:lang w:val="en-US" w:eastAsia="zh-CN"/>
              </w:rPr>
              <w:t>2-3</w:t>
            </w:r>
            <w:r>
              <w:rPr>
                <w:rFonts w:hint="eastAsia" w:eastAsia="黑体"/>
                <w:sz w:val="24"/>
              </w:rPr>
              <w:t xml:space="preserve">  </w:t>
            </w:r>
            <w:r>
              <w:rPr>
                <w:rFonts w:eastAsia="黑体"/>
                <w:sz w:val="24"/>
              </w:rPr>
              <w:t xml:space="preserve"> </w:t>
            </w:r>
            <w:r>
              <w:rPr>
                <w:rFonts w:hint="eastAsia" w:eastAsia="黑体"/>
                <w:sz w:val="24"/>
                <w:lang w:val="en-US" w:eastAsia="zh-CN"/>
              </w:rPr>
              <w:t>运营期</w:t>
            </w:r>
            <w:r>
              <w:rPr>
                <w:rFonts w:hint="eastAsia" w:eastAsia="黑体"/>
                <w:sz w:val="24"/>
                <w:lang w:eastAsia="zh-CN"/>
              </w:rPr>
              <w:t>工艺流程及产污环节</w:t>
            </w:r>
            <w:r>
              <w:rPr>
                <w:rFonts w:eastAsia="黑体"/>
                <w:sz w:val="24"/>
              </w:rPr>
              <w:t>图</w:t>
            </w:r>
          </w:p>
          <w:p w14:paraId="60A5021C">
            <w:pPr>
              <w:spacing w:line="360" w:lineRule="auto"/>
              <w:ind w:firstLine="482" w:firstLineChars="200"/>
              <w:contextualSpacing/>
              <w:rPr>
                <w:b/>
                <w:sz w:val="24"/>
              </w:rPr>
            </w:pPr>
            <w:r>
              <w:rPr>
                <w:rFonts w:hint="eastAsia"/>
                <w:b/>
                <w:sz w:val="24"/>
                <w:lang w:val="en-US" w:eastAsia="zh-CN"/>
              </w:rPr>
              <w:t>②</w:t>
            </w:r>
            <w:r>
              <w:rPr>
                <w:b/>
                <w:sz w:val="24"/>
              </w:rPr>
              <w:t>产污环节及污染因子</w:t>
            </w:r>
          </w:p>
          <w:p w14:paraId="2EFD0D0D">
            <w:pPr>
              <w:pStyle w:val="2"/>
              <w:snapToGrid/>
              <w:spacing w:before="0" w:after="0" w:line="360" w:lineRule="auto"/>
              <w:ind w:left="433" w:leftChars="202" w:hanging="9" w:hangingChars="4"/>
              <w:contextualSpacing/>
              <w:rPr>
                <w:rFonts w:hint="eastAsia" w:eastAsia="宋体"/>
                <w:b w:val="0"/>
                <w:bCs w:val="0"/>
                <w:color w:val="auto"/>
                <w:kern w:val="2"/>
                <w:sz w:val="24"/>
                <w:szCs w:val="24"/>
                <w:lang w:eastAsia="zh-CN"/>
              </w:rPr>
            </w:pPr>
            <w:r>
              <w:rPr>
                <w:rFonts w:eastAsia="宋体"/>
                <w:b w:val="0"/>
                <w:bCs w:val="0"/>
                <w:color w:val="auto"/>
                <w:kern w:val="2"/>
                <w:sz w:val="24"/>
                <w:szCs w:val="24"/>
              </w:rPr>
              <w:t>本项目</w:t>
            </w:r>
            <w:r>
              <w:rPr>
                <w:rFonts w:hint="eastAsia" w:eastAsia="宋体"/>
                <w:b w:val="0"/>
                <w:bCs w:val="0"/>
                <w:color w:val="auto"/>
                <w:kern w:val="2"/>
                <w:sz w:val="24"/>
                <w:szCs w:val="24"/>
                <w:lang w:val="en-US" w:eastAsia="zh-CN"/>
              </w:rPr>
              <w:t>运营期</w:t>
            </w:r>
            <w:r>
              <w:rPr>
                <w:rFonts w:eastAsia="宋体"/>
                <w:b w:val="0"/>
                <w:bCs w:val="0"/>
                <w:color w:val="auto"/>
                <w:kern w:val="2"/>
                <w:sz w:val="24"/>
                <w:szCs w:val="24"/>
              </w:rPr>
              <w:t>产污环节及污染因子见下表。</w:t>
            </w:r>
          </w:p>
          <w:p w14:paraId="5835B927">
            <w:pPr>
              <w:pStyle w:val="119"/>
              <w:numPr>
                <w:ilvl w:val="0"/>
                <w:numId w:val="0"/>
              </w:numPr>
              <w:ind w:leftChars="0"/>
              <w:jc w:val="center"/>
              <w:rPr>
                <w:kern w:val="0"/>
              </w:rPr>
            </w:pPr>
            <w:r>
              <w:rPr>
                <w:rFonts w:hint="eastAsia"/>
                <w:kern w:val="0"/>
                <w:lang w:eastAsia="zh-CN"/>
              </w:rPr>
              <w:t>表</w:t>
            </w:r>
            <w:r>
              <w:rPr>
                <w:rFonts w:hint="eastAsia"/>
                <w:kern w:val="0"/>
                <w:lang w:val="en-US" w:eastAsia="zh-CN"/>
              </w:rPr>
              <w:t>2-9</w:t>
            </w:r>
            <w:r>
              <w:rPr>
                <w:rFonts w:hint="eastAsia"/>
                <w:kern w:val="0"/>
              </w:rPr>
              <w:t xml:space="preserve">   </w:t>
            </w:r>
            <w:r>
              <w:rPr>
                <w:kern w:val="0"/>
              </w:rPr>
              <w:t>本项目</w:t>
            </w:r>
            <w:r>
              <w:rPr>
                <w:rFonts w:hint="eastAsia"/>
                <w:kern w:val="0"/>
                <w:lang w:val="en-US" w:eastAsia="zh-CN"/>
              </w:rPr>
              <w:t>运营期</w:t>
            </w:r>
            <w:r>
              <w:rPr>
                <w:rFonts w:hint="eastAsia"/>
                <w:kern w:val="0"/>
              </w:rPr>
              <w:t>产污环节及污染因子</w:t>
            </w:r>
            <w:r>
              <w:rPr>
                <w:kern w:val="0"/>
              </w:rPr>
              <w:t>一览表</w:t>
            </w:r>
          </w:p>
          <w:tbl>
            <w:tblPr>
              <w:tblStyle w:val="31"/>
              <w:tblW w:w="83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2236"/>
              <w:gridCol w:w="2982"/>
              <w:gridCol w:w="2028"/>
            </w:tblGrid>
            <w:tr w14:paraId="374620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2" w:type="dxa"/>
                  <w:tcBorders>
                    <w:tl2br w:val="nil"/>
                    <w:tr2bl w:val="nil"/>
                  </w:tcBorders>
                  <w:noWrap w:val="0"/>
                  <w:vAlign w:val="center"/>
                </w:tcPr>
                <w:p w14:paraId="20B8DE7F">
                  <w:pPr>
                    <w:snapToGrid w:val="0"/>
                    <w:jc w:val="center"/>
                    <w:rPr>
                      <w:rFonts w:hint="eastAsia"/>
                      <w:spacing w:val="-2"/>
                      <w:sz w:val="21"/>
                      <w:szCs w:val="21"/>
                    </w:rPr>
                  </w:pPr>
                  <w:r>
                    <w:rPr>
                      <w:rFonts w:hint="eastAsia"/>
                      <w:spacing w:val="-2"/>
                      <w:sz w:val="21"/>
                      <w:szCs w:val="21"/>
                    </w:rPr>
                    <w:t>污染类别</w:t>
                  </w:r>
                </w:p>
              </w:tc>
              <w:tc>
                <w:tcPr>
                  <w:tcW w:w="2236" w:type="dxa"/>
                  <w:tcBorders>
                    <w:tl2br w:val="nil"/>
                    <w:tr2bl w:val="nil"/>
                  </w:tcBorders>
                  <w:noWrap w:val="0"/>
                  <w:vAlign w:val="center"/>
                </w:tcPr>
                <w:p w14:paraId="11DBEDBF">
                  <w:pPr>
                    <w:snapToGrid w:val="0"/>
                    <w:jc w:val="center"/>
                    <w:rPr>
                      <w:spacing w:val="-2"/>
                      <w:sz w:val="21"/>
                      <w:szCs w:val="21"/>
                    </w:rPr>
                  </w:pPr>
                  <w:r>
                    <w:rPr>
                      <w:rFonts w:hint="eastAsia"/>
                      <w:spacing w:val="-2"/>
                      <w:sz w:val="21"/>
                      <w:szCs w:val="21"/>
                    </w:rPr>
                    <w:t>污染源</w:t>
                  </w:r>
                </w:p>
              </w:tc>
              <w:tc>
                <w:tcPr>
                  <w:tcW w:w="2982" w:type="dxa"/>
                  <w:tcBorders>
                    <w:tl2br w:val="nil"/>
                    <w:tr2bl w:val="nil"/>
                  </w:tcBorders>
                  <w:noWrap w:val="0"/>
                  <w:vAlign w:val="center"/>
                </w:tcPr>
                <w:p w14:paraId="0A4361E4">
                  <w:pPr>
                    <w:snapToGrid w:val="0"/>
                    <w:jc w:val="center"/>
                    <w:rPr>
                      <w:spacing w:val="-2"/>
                      <w:sz w:val="21"/>
                      <w:szCs w:val="21"/>
                    </w:rPr>
                  </w:pPr>
                  <w:r>
                    <w:rPr>
                      <w:rFonts w:hint="eastAsia"/>
                      <w:spacing w:val="-2"/>
                      <w:sz w:val="21"/>
                      <w:szCs w:val="21"/>
                    </w:rPr>
                    <w:t>产生环节</w:t>
                  </w:r>
                </w:p>
              </w:tc>
              <w:tc>
                <w:tcPr>
                  <w:tcW w:w="2028" w:type="dxa"/>
                  <w:tcBorders>
                    <w:tl2br w:val="nil"/>
                    <w:tr2bl w:val="nil"/>
                  </w:tcBorders>
                  <w:noWrap w:val="0"/>
                  <w:vAlign w:val="center"/>
                </w:tcPr>
                <w:p w14:paraId="7C31A964">
                  <w:pPr>
                    <w:snapToGrid w:val="0"/>
                    <w:jc w:val="center"/>
                    <w:rPr>
                      <w:spacing w:val="-2"/>
                      <w:sz w:val="21"/>
                      <w:szCs w:val="21"/>
                    </w:rPr>
                  </w:pPr>
                  <w:r>
                    <w:rPr>
                      <w:rFonts w:hint="eastAsia"/>
                      <w:spacing w:val="-2"/>
                      <w:sz w:val="21"/>
                      <w:szCs w:val="21"/>
                    </w:rPr>
                    <w:t>污染因子</w:t>
                  </w:r>
                </w:p>
              </w:tc>
            </w:tr>
            <w:tr w14:paraId="0270EA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72" w:type="dxa"/>
                  <w:tcBorders>
                    <w:tl2br w:val="nil"/>
                    <w:tr2bl w:val="nil"/>
                  </w:tcBorders>
                  <w:noWrap w:val="0"/>
                  <w:vAlign w:val="center"/>
                </w:tcPr>
                <w:p w14:paraId="2DE35105">
                  <w:pPr>
                    <w:snapToGrid w:val="0"/>
                    <w:jc w:val="center"/>
                    <w:rPr>
                      <w:spacing w:val="-2"/>
                      <w:sz w:val="21"/>
                      <w:szCs w:val="21"/>
                    </w:rPr>
                  </w:pPr>
                  <w:r>
                    <w:rPr>
                      <w:rFonts w:hint="eastAsia"/>
                      <w:spacing w:val="-2"/>
                      <w:sz w:val="21"/>
                      <w:szCs w:val="21"/>
                    </w:rPr>
                    <w:t>废气</w:t>
                  </w:r>
                </w:p>
              </w:tc>
              <w:tc>
                <w:tcPr>
                  <w:tcW w:w="2236" w:type="dxa"/>
                  <w:tcBorders>
                    <w:tl2br w:val="nil"/>
                    <w:tr2bl w:val="nil"/>
                  </w:tcBorders>
                  <w:noWrap w:val="0"/>
                  <w:vAlign w:val="center"/>
                </w:tcPr>
                <w:p w14:paraId="2FE1AFF1">
                  <w:pPr>
                    <w:jc w:val="center"/>
                    <w:rPr>
                      <w:rFonts w:hint="default"/>
                      <w:sz w:val="21"/>
                      <w:szCs w:val="21"/>
                      <w:lang w:val="en-US"/>
                    </w:rPr>
                  </w:pPr>
                  <w:r>
                    <w:rPr>
                      <w:rFonts w:hint="eastAsia"/>
                      <w:lang w:val="en-US" w:eastAsia="zh-CN"/>
                    </w:rPr>
                    <w:t>水泥储罐</w:t>
                  </w:r>
                </w:p>
              </w:tc>
              <w:tc>
                <w:tcPr>
                  <w:tcW w:w="2982" w:type="dxa"/>
                  <w:tcBorders>
                    <w:tl2br w:val="nil"/>
                    <w:tr2bl w:val="nil"/>
                  </w:tcBorders>
                  <w:noWrap w:val="0"/>
                  <w:vAlign w:val="center"/>
                </w:tcPr>
                <w:p w14:paraId="1E6BE760">
                  <w:pPr>
                    <w:snapToGrid w:val="0"/>
                    <w:spacing w:line="240" w:lineRule="atLeast"/>
                    <w:jc w:val="center"/>
                    <w:rPr>
                      <w:rFonts w:hint="default" w:eastAsia="宋体"/>
                      <w:sz w:val="21"/>
                      <w:szCs w:val="21"/>
                      <w:lang w:val="en-US" w:eastAsia="zh-CN"/>
                    </w:rPr>
                  </w:pPr>
                  <w:r>
                    <w:rPr>
                      <w:rFonts w:hint="eastAsia"/>
                      <w:sz w:val="21"/>
                      <w:szCs w:val="21"/>
                      <w:lang w:val="en-US" w:eastAsia="zh-CN"/>
                    </w:rPr>
                    <w:t>水泥入料</w:t>
                  </w:r>
                </w:p>
              </w:tc>
              <w:tc>
                <w:tcPr>
                  <w:tcW w:w="2028" w:type="dxa"/>
                  <w:tcBorders>
                    <w:tl2br w:val="nil"/>
                    <w:tr2bl w:val="nil"/>
                  </w:tcBorders>
                  <w:noWrap w:val="0"/>
                  <w:vAlign w:val="center"/>
                </w:tcPr>
                <w:p w14:paraId="1B4D8A20">
                  <w:pPr>
                    <w:snapToGrid w:val="0"/>
                    <w:spacing w:line="240" w:lineRule="atLeast"/>
                    <w:jc w:val="center"/>
                    <w:rPr>
                      <w:rFonts w:hint="eastAsia" w:eastAsia="宋体"/>
                      <w:spacing w:val="-2"/>
                      <w:sz w:val="21"/>
                      <w:szCs w:val="21"/>
                      <w:u w:val="single"/>
                      <w:lang w:eastAsia="zh-CN"/>
                    </w:rPr>
                  </w:pPr>
                  <w:r>
                    <w:rPr>
                      <w:rFonts w:hint="eastAsia"/>
                      <w:spacing w:val="-2"/>
                      <w:sz w:val="21"/>
                      <w:szCs w:val="21"/>
                      <w:u w:val="none"/>
                      <w:lang w:eastAsia="zh-CN"/>
                    </w:rPr>
                    <w:t>颗粒物</w:t>
                  </w:r>
                </w:p>
              </w:tc>
            </w:tr>
            <w:tr w14:paraId="5F73A0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2" w:type="dxa"/>
                  <w:vMerge w:val="restart"/>
                  <w:tcBorders>
                    <w:tl2br w:val="nil"/>
                    <w:tr2bl w:val="nil"/>
                  </w:tcBorders>
                  <w:noWrap w:val="0"/>
                  <w:vAlign w:val="center"/>
                </w:tcPr>
                <w:p w14:paraId="5BC52C81">
                  <w:pPr>
                    <w:snapToGrid w:val="0"/>
                    <w:jc w:val="center"/>
                    <w:rPr>
                      <w:spacing w:val="-2"/>
                      <w:sz w:val="21"/>
                      <w:szCs w:val="21"/>
                    </w:rPr>
                  </w:pPr>
                  <w:r>
                    <w:rPr>
                      <w:rFonts w:hint="eastAsia"/>
                      <w:spacing w:val="-2"/>
                      <w:sz w:val="21"/>
                      <w:szCs w:val="21"/>
                    </w:rPr>
                    <w:t>废水</w:t>
                  </w:r>
                </w:p>
              </w:tc>
              <w:tc>
                <w:tcPr>
                  <w:tcW w:w="2236" w:type="dxa"/>
                  <w:tcBorders>
                    <w:tl2br w:val="nil"/>
                    <w:tr2bl w:val="nil"/>
                  </w:tcBorders>
                  <w:noWrap w:val="0"/>
                  <w:vAlign w:val="center"/>
                </w:tcPr>
                <w:p w14:paraId="08EFDC4C">
                  <w:pPr>
                    <w:jc w:val="center"/>
                    <w:rPr>
                      <w:rFonts w:hint="eastAsia"/>
                      <w:bCs/>
                      <w:sz w:val="21"/>
                      <w:szCs w:val="21"/>
                    </w:rPr>
                  </w:pPr>
                  <w:r>
                    <w:rPr>
                      <w:rFonts w:hint="eastAsia"/>
                      <w:bCs/>
                      <w:sz w:val="21"/>
                      <w:szCs w:val="21"/>
                    </w:rPr>
                    <w:t>职工生活污水</w:t>
                  </w:r>
                </w:p>
              </w:tc>
              <w:tc>
                <w:tcPr>
                  <w:tcW w:w="2982" w:type="dxa"/>
                  <w:tcBorders>
                    <w:tl2br w:val="nil"/>
                    <w:tr2bl w:val="nil"/>
                  </w:tcBorders>
                  <w:noWrap w:val="0"/>
                  <w:vAlign w:val="center"/>
                </w:tcPr>
                <w:p w14:paraId="6DE2D9D4">
                  <w:pPr>
                    <w:jc w:val="center"/>
                    <w:rPr>
                      <w:rFonts w:hint="eastAsia"/>
                      <w:bCs/>
                      <w:sz w:val="21"/>
                      <w:szCs w:val="21"/>
                    </w:rPr>
                  </w:pPr>
                  <w:r>
                    <w:rPr>
                      <w:rFonts w:hint="eastAsia"/>
                      <w:bCs/>
                      <w:sz w:val="21"/>
                      <w:szCs w:val="21"/>
                    </w:rPr>
                    <w:t>职工生活</w:t>
                  </w:r>
                </w:p>
              </w:tc>
              <w:tc>
                <w:tcPr>
                  <w:tcW w:w="2028" w:type="dxa"/>
                  <w:tcBorders>
                    <w:tl2br w:val="nil"/>
                    <w:tr2bl w:val="nil"/>
                  </w:tcBorders>
                  <w:noWrap w:val="0"/>
                  <w:vAlign w:val="center"/>
                </w:tcPr>
                <w:p w14:paraId="2AEBD312">
                  <w:pPr>
                    <w:jc w:val="center"/>
                    <w:rPr>
                      <w:bCs/>
                      <w:sz w:val="21"/>
                      <w:szCs w:val="21"/>
                    </w:rPr>
                  </w:pPr>
                  <w:r>
                    <w:rPr>
                      <w:rFonts w:hint="eastAsia"/>
                      <w:bCs/>
                      <w:sz w:val="21"/>
                      <w:szCs w:val="21"/>
                    </w:rPr>
                    <w:t>COD、氨氮</w:t>
                  </w:r>
                </w:p>
              </w:tc>
            </w:tr>
            <w:tr w14:paraId="5DA7A4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2" w:type="dxa"/>
                  <w:vMerge w:val="continue"/>
                  <w:tcBorders>
                    <w:tl2br w:val="nil"/>
                    <w:tr2bl w:val="nil"/>
                  </w:tcBorders>
                  <w:noWrap w:val="0"/>
                  <w:vAlign w:val="center"/>
                </w:tcPr>
                <w:p w14:paraId="665EAEC0">
                  <w:pPr>
                    <w:snapToGrid w:val="0"/>
                    <w:jc w:val="center"/>
                    <w:rPr>
                      <w:rFonts w:hint="eastAsia"/>
                      <w:spacing w:val="-2"/>
                      <w:sz w:val="21"/>
                      <w:szCs w:val="21"/>
                    </w:rPr>
                  </w:pPr>
                </w:p>
              </w:tc>
              <w:tc>
                <w:tcPr>
                  <w:tcW w:w="2236" w:type="dxa"/>
                  <w:tcBorders>
                    <w:tl2br w:val="nil"/>
                    <w:tr2bl w:val="nil"/>
                  </w:tcBorders>
                  <w:noWrap w:val="0"/>
                  <w:vAlign w:val="center"/>
                </w:tcPr>
                <w:p w14:paraId="06F0264C">
                  <w:pPr>
                    <w:jc w:val="center"/>
                    <w:rPr>
                      <w:rFonts w:hint="eastAsia" w:eastAsia="宋体"/>
                      <w:bCs/>
                      <w:sz w:val="21"/>
                      <w:szCs w:val="21"/>
                      <w:lang w:val="en-US" w:eastAsia="zh-CN"/>
                    </w:rPr>
                  </w:pPr>
                  <w:r>
                    <w:rPr>
                      <w:rFonts w:hint="eastAsia"/>
                      <w:bCs/>
                      <w:sz w:val="21"/>
                      <w:szCs w:val="21"/>
                      <w:lang w:val="en-US" w:eastAsia="zh-CN"/>
                    </w:rPr>
                    <w:t>溢流水</w:t>
                  </w:r>
                </w:p>
              </w:tc>
              <w:tc>
                <w:tcPr>
                  <w:tcW w:w="2982" w:type="dxa"/>
                  <w:tcBorders>
                    <w:tl2br w:val="nil"/>
                    <w:tr2bl w:val="nil"/>
                  </w:tcBorders>
                  <w:noWrap w:val="0"/>
                  <w:vAlign w:val="center"/>
                </w:tcPr>
                <w:p w14:paraId="67D1B21C">
                  <w:pPr>
                    <w:jc w:val="center"/>
                    <w:rPr>
                      <w:rFonts w:hint="default" w:eastAsia="宋体"/>
                      <w:bCs/>
                      <w:sz w:val="21"/>
                      <w:szCs w:val="21"/>
                      <w:lang w:val="en-US" w:eastAsia="zh-CN"/>
                    </w:rPr>
                  </w:pPr>
                  <w:r>
                    <w:rPr>
                      <w:rFonts w:hint="eastAsia"/>
                      <w:bCs/>
                      <w:sz w:val="21"/>
                      <w:szCs w:val="21"/>
                      <w:lang w:val="en-US" w:eastAsia="zh-CN"/>
                    </w:rPr>
                    <w:t>浓密机浓密过程</w:t>
                  </w:r>
                </w:p>
              </w:tc>
              <w:tc>
                <w:tcPr>
                  <w:tcW w:w="2028" w:type="dxa"/>
                  <w:tcBorders>
                    <w:tl2br w:val="nil"/>
                    <w:tr2bl w:val="nil"/>
                  </w:tcBorders>
                  <w:noWrap w:val="0"/>
                  <w:vAlign w:val="center"/>
                </w:tcPr>
                <w:p w14:paraId="1644199F">
                  <w:pPr>
                    <w:jc w:val="center"/>
                    <w:rPr>
                      <w:rFonts w:hint="default" w:eastAsia="宋体"/>
                      <w:bCs/>
                      <w:sz w:val="21"/>
                      <w:szCs w:val="21"/>
                      <w:lang w:val="en-US" w:eastAsia="zh-CN"/>
                    </w:rPr>
                  </w:pPr>
                  <w:r>
                    <w:rPr>
                      <w:rFonts w:hint="eastAsia"/>
                      <w:bCs/>
                      <w:sz w:val="21"/>
                      <w:szCs w:val="21"/>
                      <w:lang w:val="en-US" w:eastAsia="zh-CN"/>
                    </w:rPr>
                    <w:t>SS</w:t>
                  </w:r>
                </w:p>
              </w:tc>
            </w:tr>
            <w:tr w14:paraId="6249E1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2" w:type="dxa"/>
                  <w:vMerge w:val="continue"/>
                  <w:tcBorders>
                    <w:tl2br w:val="nil"/>
                    <w:tr2bl w:val="nil"/>
                  </w:tcBorders>
                  <w:noWrap w:val="0"/>
                  <w:vAlign w:val="center"/>
                </w:tcPr>
                <w:p w14:paraId="677CD0EE">
                  <w:pPr>
                    <w:snapToGrid w:val="0"/>
                    <w:jc w:val="center"/>
                    <w:rPr>
                      <w:rFonts w:hint="eastAsia"/>
                      <w:spacing w:val="-2"/>
                      <w:sz w:val="21"/>
                      <w:szCs w:val="21"/>
                    </w:rPr>
                  </w:pPr>
                </w:p>
              </w:tc>
              <w:tc>
                <w:tcPr>
                  <w:tcW w:w="2236" w:type="dxa"/>
                  <w:tcBorders>
                    <w:tl2br w:val="nil"/>
                    <w:tr2bl w:val="nil"/>
                  </w:tcBorders>
                  <w:noWrap w:val="0"/>
                  <w:vAlign w:val="center"/>
                </w:tcPr>
                <w:p w14:paraId="6A2CD30F">
                  <w:pPr>
                    <w:jc w:val="center"/>
                    <w:rPr>
                      <w:rFonts w:hint="default"/>
                      <w:bCs/>
                      <w:sz w:val="21"/>
                      <w:szCs w:val="21"/>
                      <w:lang w:val="en-US" w:eastAsia="zh-CN"/>
                    </w:rPr>
                  </w:pPr>
                  <w:r>
                    <w:rPr>
                      <w:rFonts w:hint="eastAsia"/>
                      <w:bCs/>
                      <w:sz w:val="21"/>
                      <w:szCs w:val="21"/>
                      <w:lang w:val="en-US" w:eastAsia="zh-CN"/>
                    </w:rPr>
                    <w:t>管道冲洗水</w:t>
                  </w:r>
                </w:p>
              </w:tc>
              <w:tc>
                <w:tcPr>
                  <w:tcW w:w="2982" w:type="dxa"/>
                  <w:tcBorders>
                    <w:tl2br w:val="nil"/>
                    <w:tr2bl w:val="nil"/>
                  </w:tcBorders>
                  <w:noWrap w:val="0"/>
                  <w:vAlign w:val="center"/>
                </w:tcPr>
                <w:p w14:paraId="5F817D3C">
                  <w:pPr>
                    <w:jc w:val="center"/>
                    <w:rPr>
                      <w:rFonts w:hint="default"/>
                      <w:bCs/>
                      <w:sz w:val="21"/>
                      <w:szCs w:val="21"/>
                      <w:lang w:val="en-US" w:eastAsia="zh-CN"/>
                    </w:rPr>
                  </w:pPr>
                  <w:r>
                    <w:rPr>
                      <w:rFonts w:hint="eastAsia"/>
                      <w:bCs/>
                      <w:sz w:val="21"/>
                      <w:szCs w:val="21"/>
                      <w:lang w:val="en-US" w:eastAsia="zh-CN"/>
                    </w:rPr>
                    <w:t>管道冲洗过程</w:t>
                  </w:r>
                </w:p>
              </w:tc>
              <w:tc>
                <w:tcPr>
                  <w:tcW w:w="2028" w:type="dxa"/>
                  <w:tcBorders>
                    <w:tl2br w:val="nil"/>
                    <w:tr2bl w:val="nil"/>
                  </w:tcBorders>
                  <w:noWrap w:val="0"/>
                  <w:vAlign w:val="center"/>
                </w:tcPr>
                <w:p w14:paraId="4372EBBF">
                  <w:pPr>
                    <w:jc w:val="center"/>
                    <w:rPr>
                      <w:rFonts w:hint="default"/>
                      <w:bCs/>
                      <w:sz w:val="21"/>
                      <w:szCs w:val="21"/>
                      <w:lang w:val="en-US" w:eastAsia="zh-CN"/>
                    </w:rPr>
                  </w:pPr>
                  <w:r>
                    <w:rPr>
                      <w:rFonts w:hint="eastAsia"/>
                      <w:bCs/>
                      <w:sz w:val="21"/>
                      <w:szCs w:val="21"/>
                      <w:lang w:val="en-US" w:eastAsia="zh-CN"/>
                    </w:rPr>
                    <w:t>SS</w:t>
                  </w:r>
                </w:p>
              </w:tc>
            </w:tr>
            <w:tr w14:paraId="0A6532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2" w:type="dxa"/>
                  <w:tcBorders>
                    <w:tl2br w:val="nil"/>
                    <w:tr2bl w:val="nil"/>
                  </w:tcBorders>
                  <w:noWrap w:val="0"/>
                  <w:vAlign w:val="center"/>
                </w:tcPr>
                <w:p w14:paraId="6E8B2611">
                  <w:pPr>
                    <w:snapToGrid w:val="0"/>
                    <w:jc w:val="center"/>
                    <w:rPr>
                      <w:rFonts w:hint="eastAsia"/>
                      <w:spacing w:val="-2"/>
                      <w:sz w:val="21"/>
                      <w:szCs w:val="21"/>
                    </w:rPr>
                  </w:pPr>
                </w:p>
              </w:tc>
              <w:tc>
                <w:tcPr>
                  <w:tcW w:w="2236" w:type="dxa"/>
                  <w:tcBorders>
                    <w:tl2br w:val="nil"/>
                    <w:tr2bl w:val="nil"/>
                  </w:tcBorders>
                  <w:noWrap w:val="0"/>
                  <w:vAlign w:val="center"/>
                </w:tcPr>
                <w:p w14:paraId="29A58FD2">
                  <w:pPr>
                    <w:jc w:val="center"/>
                    <w:rPr>
                      <w:rFonts w:hint="default"/>
                      <w:bCs/>
                      <w:sz w:val="21"/>
                      <w:szCs w:val="21"/>
                      <w:lang w:val="en-US" w:eastAsia="zh-CN"/>
                    </w:rPr>
                  </w:pPr>
                  <w:r>
                    <w:rPr>
                      <w:rFonts w:hint="eastAsia"/>
                      <w:bCs/>
                      <w:sz w:val="21"/>
                      <w:szCs w:val="21"/>
                      <w:lang w:val="en-US" w:eastAsia="zh-CN"/>
                    </w:rPr>
                    <w:t>地面冲洗水</w:t>
                  </w:r>
                </w:p>
              </w:tc>
              <w:tc>
                <w:tcPr>
                  <w:tcW w:w="2982" w:type="dxa"/>
                  <w:tcBorders>
                    <w:tl2br w:val="nil"/>
                    <w:tr2bl w:val="nil"/>
                  </w:tcBorders>
                  <w:noWrap w:val="0"/>
                  <w:vAlign w:val="center"/>
                </w:tcPr>
                <w:p w14:paraId="00EAF1BA">
                  <w:pPr>
                    <w:jc w:val="center"/>
                    <w:rPr>
                      <w:rFonts w:hint="default"/>
                      <w:bCs/>
                      <w:sz w:val="21"/>
                      <w:szCs w:val="21"/>
                      <w:lang w:val="en-US" w:eastAsia="zh-CN"/>
                    </w:rPr>
                  </w:pPr>
                  <w:r>
                    <w:rPr>
                      <w:rFonts w:hint="eastAsia"/>
                      <w:bCs/>
                      <w:sz w:val="21"/>
                      <w:szCs w:val="21"/>
                      <w:lang w:val="en-US" w:eastAsia="zh-CN"/>
                    </w:rPr>
                    <w:t>地面冲洗过程</w:t>
                  </w:r>
                </w:p>
              </w:tc>
              <w:tc>
                <w:tcPr>
                  <w:tcW w:w="2028" w:type="dxa"/>
                  <w:tcBorders>
                    <w:tl2br w:val="nil"/>
                    <w:tr2bl w:val="nil"/>
                  </w:tcBorders>
                  <w:noWrap w:val="0"/>
                  <w:vAlign w:val="center"/>
                </w:tcPr>
                <w:p w14:paraId="62D71652">
                  <w:pPr>
                    <w:jc w:val="center"/>
                    <w:rPr>
                      <w:rFonts w:hint="default"/>
                      <w:bCs/>
                      <w:sz w:val="21"/>
                      <w:szCs w:val="21"/>
                      <w:lang w:val="en-US" w:eastAsia="zh-CN"/>
                    </w:rPr>
                  </w:pPr>
                  <w:r>
                    <w:rPr>
                      <w:rFonts w:hint="eastAsia"/>
                      <w:bCs/>
                      <w:sz w:val="21"/>
                      <w:szCs w:val="21"/>
                      <w:lang w:val="en-US" w:eastAsia="zh-CN"/>
                    </w:rPr>
                    <w:t>SS</w:t>
                  </w:r>
                </w:p>
              </w:tc>
            </w:tr>
            <w:tr w14:paraId="5C637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2" w:type="dxa"/>
                  <w:tcBorders>
                    <w:tl2br w:val="nil"/>
                    <w:tr2bl w:val="nil"/>
                  </w:tcBorders>
                  <w:noWrap w:val="0"/>
                  <w:vAlign w:val="center"/>
                </w:tcPr>
                <w:p w14:paraId="23FF8D55">
                  <w:pPr>
                    <w:snapToGrid w:val="0"/>
                    <w:jc w:val="center"/>
                    <w:rPr>
                      <w:spacing w:val="-2"/>
                      <w:sz w:val="21"/>
                      <w:szCs w:val="21"/>
                    </w:rPr>
                  </w:pPr>
                  <w:r>
                    <w:rPr>
                      <w:rFonts w:hint="eastAsia"/>
                      <w:spacing w:val="-2"/>
                      <w:sz w:val="21"/>
                      <w:szCs w:val="21"/>
                    </w:rPr>
                    <w:t>噪声</w:t>
                  </w:r>
                </w:p>
              </w:tc>
              <w:tc>
                <w:tcPr>
                  <w:tcW w:w="2236" w:type="dxa"/>
                  <w:tcBorders>
                    <w:tl2br w:val="nil"/>
                    <w:tr2bl w:val="nil"/>
                  </w:tcBorders>
                  <w:noWrap w:val="0"/>
                  <w:vAlign w:val="center"/>
                </w:tcPr>
                <w:p w14:paraId="25DC88ED">
                  <w:pPr>
                    <w:snapToGrid w:val="0"/>
                    <w:spacing w:line="240" w:lineRule="atLeast"/>
                    <w:jc w:val="center"/>
                    <w:rPr>
                      <w:bCs/>
                      <w:sz w:val="21"/>
                      <w:szCs w:val="21"/>
                    </w:rPr>
                  </w:pPr>
                  <w:r>
                    <w:rPr>
                      <w:rFonts w:hint="eastAsia"/>
                      <w:spacing w:val="-2"/>
                      <w:sz w:val="21"/>
                      <w:szCs w:val="21"/>
                    </w:rPr>
                    <w:t>设备噪声</w:t>
                  </w:r>
                </w:p>
              </w:tc>
              <w:tc>
                <w:tcPr>
                  <w:tcW w:w="2982" w:type="dxa"/>
                  <w:tcBorders>
                    <w:tl2br w:val="nil"/>
                    <w:tr2bl w:val="nil"/>
                  </w:tcBorders>
                  <w:noWrap w:val="0"/>
                  <w:vAlign w:val="center"/>
                </w:tcPr>
                <w:p w14:paraId="0D63D1E9">
                  <w:pPr>
                    <w:snapToGrid w:val="0"/>
                    <w:spacing w:line="240" w:lineRule="atLeast"/>
                    <w:jc w:val="center"/>
                    <w:rPr>
                      <w:rFonts w:hint="default" w:eastAsia="宋体"/>
                      <w:bCs/>
                      <w:sz w:val="21"/>
                      <w:szCs w:val="21"/>
                      <w:lang w:val="en-US" w:eastAsia="zh-CN"/>
                    </w:rPr>
                  </w:pPr>
                  <w:r>
                    <w:rPr>
                      <w:rFonts w:hint="eastAsia"/>
                      <w:spacing w:val="-2"/>
                      <w:sz w:val="21"/>
                      <w:szCs w:val="21"/>
                      <w:lang w:val="en-US" w:eastAsia="zh-CN"/>
                    </w:rPr>
                    <w:t>浓密机、搅拌机、填充泵等</w:t>
                  </w:r>
                </w:p>
              </w:tc>
              <w:tc>
                <w:tcPr>
                  <w:tcW w:w="2028" w:type="dxa"/>
                  <w:tcBorders>
                    <w:tl2br w:val="nil"/>
                    <w:tr2bl w:val="nil"/>
                  </w:tcBorders>
                  <w:noWrap w:val="0"/>
                  <w:vAlign w:val="center"/>
                </w:tcPr>
                <w:p w14:paraId="13B54EB0">
                  <w:pPr>
                    <w:jc w:val="center"/>
                    <w:rPr>
                      <w:bCs/>
                      <w:sz w:val="21"/>
                      <w:szCs w:val="21"/>
                    </w:rPr>
                  </w:pPr>
                  <w:r>
                    <w:rPr>
                      <w:rFonts w:hint="eastAsia"/>
                      <w:sz w:val="21"/>
                      <w:szCs w:val="21"/>
                    </w:rPr>
                    <w:t>等效声级</w:t>
                  </w:r>
                </w:p>
              </w:tc>
            </w:tr>
            <w:tr w14:paraId="6ED640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2" w:type="dxa"/>
                  <w:tcBorders>
                    <w:tl2br w:val="nil"/>
                    <w:tr2bl w:val="nil"/>
                  </w:tcBorders>
                  <w:noWrap w:val="0"/>
                  <w:vAlign w:val="center"/>
                </w:tcPr>
                <w:p w14:paraId="5F55FCDD">
                  <w:pPr>
                    <w:snapToGrid w:val="0"/>
                    <w:jc w:val="center"/>
                    <w:rPr>
                      <w:spacing w:val="-2"/>
                      <w:sz w:val="21"/>
                      <w:szCs w:val="21"/>
                    </w:rPr>
                  </w:pPr>
                  <w:r>
                    <w:rPr>
                      <w:rFonts w:hint="eastAsia"/>
                      <w:spacing w:val="-2"/>
                      <w:sz w:val="21"/>
                      <w:szCs w:val="21"/>
                    </w:rPr>
                    <w:t>固体废物</w:t>
                  </w:r>
                </w:p>
              </w:tc>
              <w:tc>
                <w:tcPr>
                  <w:tcW w:w="2236" w:type="dxa"/>
                  <w:tcBorders>
                    <w:tl2br w:val="nil"/>
                    <w:tr2bl w:val="nil"/>
                  </w:tcBorders>
                  <w:noWrap w:val="0"/>
                  <w:vAlign w:val="center"/>
                </w:tcPr>
                <w:p w14:paraId="5187F9FF">
                  <w:pPr>
                    <w:jc w:val="center"/>
                    <w:rPr>
                      <w:bCs/>
                      <w:sz w:val="21"/>
                      <w:szCs w:val="21"/>
                    </w:rPr>
                  </w:pPr>
                  <w:r>
                    <w:rPr>
                      <w:rFonts w:hint="eastAsia"/>
                      <w:bCs/>
                      <w:sz w:val="21"/>
                      <w:szCs w:val="21"/>
                    </w:rPr>
                    <w:t>职工生活垃圾</w:t>
                  </w:r>
                </w:p>
              </w:tc>
              <w:tc>
                <w:tcPr>
                  <w:tcW w:w="2982" w:type="dxa"/>
                  <w:tcBorders>
                    <w:tl2br w:val="nil"/>
                    <w:tr2bl w:val="nil"/>
                  </w:tcBorders>
                  <w:noWrap w:val="0"/>
                  <w:vAlign w:val="center"/>
                </w:tcPr>
                <w:p w14:paraId="22C692BC">
                  <w:pPr>
                    <w:jc w:val="center"/>
                    <w:rPr>
                      <w:bCs/>
                      <w:sz w:val="21"/>
                      <w:szCs w:val="21"/>
                    </w:rPr>
                  </w:pPr>
                  <w:r>
                    <w:rPr>
                      <w:rFonts w:hint="eastAsia"/>
                      <w:bCs/>
                      <w:sz w:val="21"/>
                      <w:szCs w:val="21"/>
                    </w:rPr>
                    <w:t>职工生活</w:t>
                  </w:r>
                </w:p>
              </w:tc>
              <w:tc>
                <w:tcPr>
                  <w:tcW w:w="2028" w:type="dxa"/>
                  <w:tcBorders>
                    <w:tl2br w:val="nil"/>
                    <w:tr2bl w:val="nil"/>
                  </w:tcBorders>
                  <w:noWrap w:val="0"/>
                  <w:vAlign w:val="center"/>
                </w:tcPr>
                <w:p w14:paraId="696C8FDA">
                  <w:pPr>
                    <w:jc w:val="center"/>
                    <w:rPr>
                      <w:bCs/>
                      <w:sz w:val="21"/>
                      <w:szCs w:val="21"/>
                    </w:rPr>
                  </w:pPr>
                  <w:r>
                    <w:rPr>
                      <w:rFonts w:hint="eastAsia"/>
                      <w:bCs/>
                      <w:sz w:val="21"/>
                      <w:szCs w:val="21"/>
                    </w:rPr>
                    <w:t>生活垃圾</w:t>
                  </w:r>
                </w:p>
              </w:tc>
            </w:tr>
          </w:tbl>
          <w:p w14:paraId="2635341E">
            <w:pPr>
              <w:pStyle w:val="20"/>
              <w:numPr>
                <w:ilvl w:val="0"/>
                <w:numId w:val="0"/>
              </w:numPr>
              <w:ind w:leftChars="0"/>
            </w:pPr>
          </w:p>
        </w:tc>
      </w:tr>
      <w:tr w14:paraId="134B0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9" w:hRule="atLeast"/>
          <w:jc w:val="center"/>
        </w:trPr>
        <w:tc>
          <w:tcPr>
            <w:tcW w:w="1271" w:type="dxa"/>
            <w:noWrap w:val="0"/>
            <w:vAlign w:val="center"/>
          </w:tcPr>
          <w:p w14:paraId="4D3308A8">
            <w:pPr>
              <w:pStyle w:val="28"/>
              <w:adjustRightInd w:val="0"/>
              <w:snapToGrid w:val="0"/>
              <w:spacing w:before="0" w:beforeAutospacing="0" w:after="0" w:afterAutospacing="0"/>
              <w:jc w:val="center"/>
              <w:rPr>
                <w:rFonts w:cs="宋体"/>
                <w:b/>
                <w:sz w:val="21"/>
                <w:szCs w:val="21"/>
              </w:rPr>
            </w:pPr>
            <w:r>
              <w:rPr>
                <w:rFonts w:hint="eastAsia" w:cs="宋体"/>
                <w:b/>
                <w:bCs/>
                <w:kern w:val="2"/>
                <w:szCs w:val="24"/>
              </w:rPr>
              <w:t>与项目有关的原有环境污染问题</w:t>
            </w:r>
          </w:p>
        </w:tc>
        <w:tc>
          <w:tcPr>
            <w:tcW w:w="8571" w:type="dxa"/>
            <w:noWrap w:val="0"/>
            <w:vAlign w:val="top"/>
          </w:tcPr>
          <w:p w14:paraId="7752744F">
            <w:pPr>
              <w:spacing w:line="360" w:lineRule="auto"/>
              <w:ind w:firstLine="480" w:firstLineChars="200"/>
              <w:contextualSpacing/>
              <w:rPr>
                <w:rFonts w:hint="default" w:cs="Times New Roman"/>
                <w:color w:val="auto"/>
                <w:sz w:val="24"/>
                <w:u w:val="single"/>
                <w:lang w:val="en-US" w:eastAsia="zh-CN"/>
              </w:rPr>
            </w:pPr>
            <w:r>
              <w:rPr>
                <w:rFonts w:hint="eastAsia"/>
                <w:sz w:val="24"/>
                <w:u w:val="none"/>
                <w:lang w:val="en-US" w:eastAsia="zh-CN"/>
              </w:rPr>
              <w:t>栾川县惠顿矿业有限公司尾矿充填和矿山再利用项目</w:t>
            </w:r>
            <w:r>
              <w:rPr>
                <w:rFonts w:hint="eastAsia" w:cs="Times New Roman"/>
                <w:color w:val="auto"/>
                <w:sz w:val="24"/>
                <w:u w:val="none"/>
                <w:lang w:val="en-US" w:eastAsia="zh-CN"/>
              </w:rPr>
              <w:t>环境影响报告表于2024年6月24日取得洛阳市生态环境局栾川分局批复，文号为栾环审（表）[2024]13号。</w:t>
            </w:r>
            <w:r>
              <w:rPr>
                <w:rFonts w:hint="eastAsia" w:cs="Times New Roman"/>
                <w:color w:val="auto"/>
                <w:sz w:val="24"/>
                <w:u w:val="single"/>
                <w:lang w:val="en-US" w:eastAsia="zh-CN"/>
              </w:rPr>
              <w:t>该项目建成后将配套选厂</w:t>
            </w:r>
            <w:r>
              <w:rPr>
                <w:rFonts w:hint="eastAsia" w:ascii="Times New Roman" w:hAnsi="Times New Roman" w:eastAsia="宋体" w:cs="Times New Roman"/>
                <w:color w:val="auto"/>
                <w:sz w:val="24"/>
                <w:u w:val="single"/>
                <w:lang w:val="en-US" w:eastAsia="zh-CN"/>
              </w:rPr>
              <w:t>500t/d</w:t>
            </w:r>
            <w:r>
              <w:rPr>
                <w:rFonts w:hint="eastAsia" w:cs="Times New Roman"/>
                <w:color w:val="auto"/>
                <w:sz w:val="24"/>
                <w:u w:val="single"/>
                <w:lang w:val="en-US" w:eastAsia="zh-CN"/>
              </w:rPr>
              <w:t>生产规模下的尾矿充填，进行采空区回填。项目建设初期，企业考虑到选厂设备故障率较高，运转率低，浮选时间不足，回收率指标达不到最佳，考虑到目前企业矿产资源现状，企业计划对东沟选矿厂进行改建。栾川县惠顿矿业有限公司火神庙铅钼矿区项目开采规模为钼矿30万t/a，铅矿3万t/a，钼矿开采后部分内销至本企业东沟500t/d选矿厂，剩余部分外售给栾川县富翔矿化有限责任公司。企业考虑到目前钼矿市场行情较好，决定将选矿厂选矿规模扩大到1000吨/天，拟将矿山开采的全部钼矿石供应至自有东沟选厂进行选别，不再外售，钼矿开采规模能够满足本企业扩建1000吨/天生产需要。栾川县惠顿矿业有限公司东沟选矿厂升级改造项目环评手续正在同步办理之中。</w:t>
            </w:r>
          </w:p>
          <w:p w14:paraId="0B184607">
            <w:pPr>
              <w:pStyle w:val="8"/>
              <w:spacing w:after="0" w:line="360" w:lineRule="auto"/>
              <w:ind w:left="0" w:leftChars="0" w:firstLine="480" w:firstLineChars="200"/>
              <w:contextualSpacing/>
              <w:rPr>
                <w:rFonts w:hint="eastAsia" w:ascii="Times New Roman" w:hAnsi="Times New Roman" w:eastAsia="宋体" w:cs="Times New Roman"/>
                <w:color w:val="auto"/>
                <w:sz w:val="24"/>
                <w:u w:val="single"/>
                <w:vertAlign w:val="baseline"/>
                <w:lang w:val="en-US" w:eastAsia="zh-CN"/>
              </w:rPr>
            </w:pPr>
            <w:r>
              <w:rPr>
                <w:rFonts w:hint="eastAsia" w:cs="Times New Roman"/>
                <w:color w:val="auto"/>
                <w:sz w:val="24"/>
                <w:u w:val="single"/>
                <w:lang w:val="en-US" w:eastAsia="zh-CN"/>
              </w:rPr>
              <w:t>为了配合选厂后期1000t/d选矿处理规模下尾砂的充填利用要求，充填站充填规模相应增大，</w:t>
            </w:r>
            <w:r>
              <w:rPr>
                <w:rFonts w:hint="eastAsia"/>
                <w:color w:val="auto"/>
                <w:sz w:val="24"/>
                <w:u w:val="single"/>
                <w:lang w:val="en-US" w:eastAsia="zh-CN"/>
              </w:rPr>
              <w:t>处理规模由原来的</w:t>
            </w:r>
            <w:r>
              <w:rPr>
                <w:rFonts w:hint="eastAsia" w:ascii="Times New Roman" w:hAnsi="Times New Roman" w:eastAsia="宋体" w:cs="Times New Roman"/>
                <w:color w:val="auto"/>
                <w:sz w:val="24"/>
                <w:u w:val="single"/>
                <w:lang w:val="en-US" w:eastAsia="zh-CN"/>
              </w:rPr>
              <w:t>年利用尾矿砂14.975万t（干砂），年制备充填料浆</w:t>
            </w:r>
            <w:r>
              <w:rPr>
                <w:rFonts w:hint="eastAsia" w:cs="Times New Roman"/>
                <w:color w:val="auto"/>
                <w:sz w:val="24"/>
                <w:u w:val="single"/>
                <w:lang w:val="en-US" w:eastAsia="zh-CN"/>
              </w:rPr>
              <w:t>12</w:t>
            </w:r>
            <w:r>
              <w:rPr>
                <w:rFonts w:hint="eastAsia" w:ascii="Times New Roman" w:hAnsi="Times New Roman" w:eastAsia="宋体" w:cs="Times New Roman"/>
                <w:color w:val="auto"/>
                <w:sz w:val="24"/>
                <w:u w:val="single"/>
                <w:lang w:val="en-US" w:eastAsia="zh-CN"/>
              </w:rPr>
              <w:t>万m</w:t>
            </w:r>
            <w:r>
              <w:rPr>
                <w:rFonts w:hint="eastAsia" w:ascii="Times New Roman" w:hAnsi="Times New Roman" w:eastAsia="宋体" w:cs="Times New Roman"/>
                <w:color w:val="auto"/>
                <w:sz w:val="24"/>
                <w:u w:val="single"/>
                <w:vertAlign w:val="superscript"/>
                <w:lang w:val="en-US" w:eastAsia="zh-CN"/>
              </w:rPr>
              <w:t>3</w:t>
            </w:r>
            <w:r>
              <w:rPr>
                <w:rFonts w:hint="eastAsia" w:ascii="Times New Roman" w:hAnsi="Times New Roman" w:eastAsia="宋体" w:cs="Times New Roman"/>
                <w:color w:val="auto"/>
                <w:sz w:val="24"/>
                <w:u w:val="single"/>
                <w:vertAlign w:val="baseline"/>
                <w:lang w:val="en-US" w:eastAsia="zh-CN"/>
              </w:rPr>
              <w:t>，变为</w:t>
            </w:r>
            <w:r>
              <w:rPr>
                <w:rFonts w:hint="eastAsia" w:ascii="Times New Roman" w:hAnsi="Times New Roman" w:eastAsia="宋体" w:cs="Times New Roman"/>
                <w:color w:val="auto"/>
                <w:sz w:val="24"/>
                <w:u w:val="single"/>
                <w:lang w:val="en-US" w:eastAsia="zh-CN"/>
              </w:rPr>
              <w:t>年利用尾矿砂29.3354万t（干砂），年制备充填料浆23.4万m</w:t>
            </w:r>
            <w:r>
              <w:rPr>
                <w:rFonts w:hint="eastAsia" w:ascii="Times New Roman" w:hAnsi="Times New Roman" w:eastAsia="宋体" w:cs="Times New Roman"/>
                <w:color w:val="auto"/>
                <w:sz w:val="24"/>
                <w:u w:val="single"/>
                <w:vertAlign w:val="superscript"/>
                <w:lang w:val="en-US" w:eastAsia="zh-CN"/>
              </w:rPr>
              <w:t>3</w:t>
            </w:r>
            <w:r>
              <w:rPr>
                <w:rFonts w:hint="eastAsia" w:ascii="Times New Roman" w:hAnsi="Times New Roman" w:eastAsia="宋体" w:cs="Times New Roman"/>
                <w:color w:val="auto"/>
                <w:sz w:val="24"/>
                <w:u w:val="single"/>
                <w:vertAlign w:val="baseline"/>
                <w:lang w:val="en-US" w:eastAsia="zh-CN"/>
              </w:rPr>
              <w:t>。</w:t>
            </w:r>
          </w:p>
          <w:p w14:paraId="05CAFDF1">
            <w:pPr>
              <w:pStyle w:val="8"/>
              <w:spacing w:after="0" w:line="360" w:lineRule="auto"/>
              <w:ind w:left="0" w:leftChars="0" w:firstLine="480" w:firstLineChars="200"/>
              <w:contextualSpacing/>
              <w:rPr>
                <w:rFonts w:ascii="宋体" w:hAnsi="宋体"/>
                <w:bCs/>
                <w:szCs w:val="21"/>
              </w:rPr>
            </w:pPr>
            <w:r>
              <w:rPr>
                <w:rFonts w:hint="eastAsia" w:ascii="Times New Roman" w:hAnsi="Times New Roman" w:cs="Times New Roman"/>
                <w:b w:val="0"/>
                <w:bCs w:val="0"/>
                <w:color w:val="auto"/>
                <w:u w:val="single"/>
                <w:lang w:val="en-US" w:eastAsia="zh-CN"/>
              </w:rPr>
              <w:t>充填站利用惠顿矿山原有工业场地进行建设，该场地在充填站建设之前一直为空闲区域</w:t>
            </w:r>
            <w:r>
              <w:rPr>
                <w:rFonts w:hint="eastAsia" w:cs="Times New Roman"/>
                <w:b w:val="0"/>
                <w:bCs w:val="0"/>
                <w:color w:val="auto"/>
                <w:u w:val="single"/>
                <w:lang w:val="en-US" w:eastAsia="zh-CN"/>
              </w:rPr>
              <w:t>。</w:t>
            </w:r>
            <w:r>
              <w:rPr>
                <w:rFonts w:hint="eastAsia" w:ascii="Times New Roman" w:hAnsi="Times New Roman" w:cs="Times New Roman"/>
                <w:b w:val="0"/>
                <w:bCs w:val="0"/>
                <w:color w:val="auto"/>
                <w:u w:val="single"/>
                <w:lang w:val="en-US" w:eastAsia="zh-CN"/>
              </w:rPr>
              <w:t>根据现场</w:t>
            </w:r>
            <w:r>
              <w:rPr>
                <w:rFonts w:hint="eastAsia" w:cs="Times New Roman"/>
                <w:b w:val="0"/>
                <w:bCs w:val="0"/>
                <w:color w:val="auto"/>
                <w:u w:val="single"/>
                <w:lang w:val="en-US" w:eastAsia="zh-CN"/>
              </w:rPr>
              <w:t>踏勘时发现</w:t>
            </w:r>
            <w:r>
              <w:rPr>
                <w:rFonts w:hint="eastAsia" w:ascii="Times New Roman" w:hAnsi="Times New Roman" w:cs="Times New Roman"/>
                <w:b w:val="0"/>
                <w:bCs w:val="0"/>
                <w:color w:val="auto"/>
                <w:u w:val="single"/>
                <w:lang w:val="en-US" w:eastAsia="zh-CN"/>
              </w:rPr>
              <w:t>，项目</w:t>
            </w:r>
            <w:r>
              <w:rPr>
                <w:rFonts w:hint="eastAsia" w:ascii="Times New Roman" w:hAnsi="Times New Roman" w:eastAsia="宋体" w:cs="Times New Roman"/>
                <w:color w:val="auto"/>
                <w:sz w:val="24"/>
                <w:u w:val="single"/>
                <w:lang w:val="en-US" w:eastAsia="zh-CN"/>
              </w:rPr>
              <w:t>尾矿砂浆输送系统和溢流水自流系统</w:t>
            </w:r>
            <w:r>
              <w:rPr>
                <w:rFonts w:hint="eastAsia" w:cs="Times New Roman"/>
                <w:color w:val="auto"/>
                <w:sz w:val="24"/>
                <w:u w:val="single"/>
                <w:lang w:val="en-US" w:eastAsia="zh-CN"/>
              </w:rPr>
              <w:t>、充填站、搅拌系统、充填料浆输送管线等主体工程</w:t>
            </w:r>
            <w:r>
              <w:rPr>
                <w:rFonts w:hint="eastAsia" w:cs="Times New Roman"/>
                <w:color w:val="auto"/>
                <w:sz w:val="24"/>
                <w:szCs w:val="24"/>
                <w:u w:val="single"/>
                <w:lang w:val="en-US" w:eastAsia="zh-CN"/>
              </w:rPr>
              <w:t>已经建设完成，公用工程及配套环保工程也已建设完成，仅办公用房正在建设中，现场堆放少量施工用品及多余的管道配件。</w:t>
            </w:r>
            <w:r>
              <w:rPr>
                <w:rFonts w:hint="eastAsia" w:ascii="宋体" w:hAnsi="宋体" w:cs="宋体"/>
                <w:color w:val="auto"/>
                <w:kern w:val="0"/>
                <w:sz w:val="24"/>
                <w:szCs w:val="24"/>
                <w:u w:val="single"/>
                <w:lang w:val="en-US" w:eastAsia="zh-CN" w:bidi="ar"/>
              </w:rPr>
              <w:t>项目厂区不存在与本项目有关的原有污染物情况。</w:t>
            </w:r>
          </w:p>
        </w:tc>
      </w:tr>
    </w:tbl>
    <w:p w14:paraId="6E820092">
      <w:pPr>
        <w:pStyle w:val="28"/>
        <w:jc w:val="center"/>
        <w:rPr>
          <w:rFonts w:hint="default" w:ascii="Times New Roman" w:hAnsi="Times New Roman" w:eastAsia="宋体" w:cs="Times New Roman"/>
          <w:snapToGrid w:val="0"/>
          <w:color w:val="000000"/>
          <w:sz w:val="36"/>
          <w:szCs w:val="36"/>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1A0663FE">
      <w:pPr>
        <w:pStyle w:val="28"/>
        <w:jc w:val="center"/>
        <w:outlineLvl w:val="0"/>
        <w:rPr>
          <w:rFonts w:hint="default" w:ascii="黑体" w:hAnsi="黑体" w:eastAsia="黑体"/>
          <w:snapToGrid w:val="0"/>
          <w:color w:val="000000"/>
          <w:sz w:val="30"/>
          <w:szCs w:val="30"/>
        </w:rPr>
      </w:pPr>
      <w:r>
        <w:rPr>
          <w:rFonts w:hint="default" w:ascii="黑体" w:hAnsi="黑体" w:eastAsia="黑体"/>
          <w:snapToGrid w:val="0"/>
          <w:color w:val="000000"/>
          <w:sz w:val="30"/>
          <w:szCs w:val="30"/>
        </w:rPr>
        <w:t>三、区域环境质量现状、环境保护目标及评价标准</w:t>
      </w:r>
    </w:p>
    <w:tbl>
      <w:tblPr>
        <w:tblStyle w:val="31"/>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465"/>
      </w:tblGrid>
      <w:tr w14:paraId="5A092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noWrap w:val="0"/>
            <w:vAlign w:val="center"/>
          </w:tcPr>
          <w:p w14:paraId="6F965905">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区域</w:t>
            </w:r>
          </w:p>
          <w:p w14:paraId="1C42E309">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14:paraId="471C9D6F">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质量</w:t>
            </w:r>
          </w:p>
          <w:p w14:paraId="5EBC8F4C">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现状</w:t>
            </w:r>
          </w:p>
        </w:tc>
        <w:tc>
          <w:tcPr>
            <w:tcW w:w="8465" w:type="dxa"/>
            <w:noWrap w:val="0"/>
            <w:vAlign w:val="center"/>
          </w:tcPr>
          <w:p w14:paraId="3FB8793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000000"/>
                <w:sz w:val="24"/>
                <w:szCs w:val="24"/>
                <w:u w:val="none"/>
              </w:rPr>
            </w:pPr>
            <w:r>
              <w:rPr>
                <w:rFonts w:hint="eastAsia" w:cs="Times New Roman"/>
                <w:b w:val="0"/>
                <w:bCs w:val="0"/>
                <w:color w:val="000000"/>
                <w:sz w:val="24"/>
                <w:szCs w:val="24"/>
                <w:u w:val="none"/>
                <w:lang w:val="en-US" w:eastAsia="zh-CN"/>
              </w:rPr>
              <w:t>1、</w:t>
            </w:r>
            <w:r>
              <w:rPr>
                <w:rFonts w:hint="default" w:ascii="Times New Roman" w:hAnsi="Times New Roman" w:eastAsia="宋体" w:cs="Times New Roman"/>
                <w:b w:val="0"/>
                <w:bCs w:val="0"/>
                <w:color w:val="000000"/>
                <w:sz w:val="24"/>
                <w:szCs w:val="24"/>
                <w:u w:val="none"/>
              </w:rPr>
              <w:t>环境空气质量现状</w:t>
            </w:r>
          </w:p>
          <w:p w14:paraId="3EAA100E">
            <w:pPr>
              <w:adjustRightInd w:val="0"/>
              <w:snapToGrid w:val="0"/>
              <w:spacing w:line="360" w:lineRule="auto"/>
              <w:rPr>
                <w:b w:val="0"/>
                <w:bCs w:val="0"/>
                <w:color w:val="000000"/>
                <w:sz w:val="24"/>
              </w:rPr>
            </w:pPr>
            <w:r>
              <w:rPr>
                <w:b w:val="0"/>
                <w:bCs w:val="0"/>
                <w:color w:val="000000"/>
                <w:sz w:val="24"/>
              </w:rPr>
              <w:t>1.1空气质量达标区判定</w:t>
            </w:r>
          </w:p>
          <w:p w14:paraId="3E8A86B2">
            <w:pPr>
              <w:pStyle w:val="5"/>
              <w:pageBreakBefore w:val="0"/>
              <w:widowControl/>
              <w:numPr>
                <w:ilvl w:val="0"/>
                <w:numId w:val="0"/>
              </w:numPr>
              <w:kinsoku/>
              <w:wordWrap/>
              <w:overflowPunct/>
              <w:topLinePunct w:val="0"/>
              <w:autoSpaceDE/>
              <w:autoSpaceDN/>
              <w:bidi w:val="0"/>
              <w:spacing w:line="360" w:lineRule="auto"/>
              <w:ind w:firstLine="480" w:firstLineChars="200"/>
              <w:textAlignment w:val="auto"/>
              <w:rPr>
                <w:rFonts w:hint="eastAsia"/>
                <w:b w:val="0"/>
                <w:bCs w:val="0"/>
                <w:color w:val="000000"/>
                <w:sz w:val="24"/>
                <w:szCs w:val="24"/>
                <w:u w:val="none"/>
                <w:lang w:val="en-US" w:eastAsia="zh-CN"/>
              </w:rPr>
            </w:pPr>
            <w:r>
              <w:rPr>
                <w:rFonts w:hint="eastAsia"/>
                <w:b w:val="0"/>
                <w:bCs w:val="0"/>
                <w:color w:val="000000"/>
                <w:sz w:val="24"/>
                <w:szCs w:val="24"/>
                <w:u w:val="none"/>
                <w:lang w:val="en-US" w:eastAsia="zh-CN"/>
              </w:rPr>
              <w:t>本项目位于洛阳市栾川县，评价选用洛阳市生态环境主管部门公开发布的《2023年洛阳市生态环境状况公报》，2023年洛阳市城区环境空气质量优良天数为246天，较2022年（230天）增加16天，达标率为67.4%，具体情况见下表。</w:t>
            </w:r>
          </w:p>
          <w:p w14:paraId="3E24EFD5">
            <w:pPr>
              <w:pStyle w:val="119"/>
              <w:numPr>
                <w:ilvl w:val="0"/>
                <w:numId w:val="0"/>
              </w:numPr>
              <w:ind w:leftChars="0"/>
              <w:jc w:val="cente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表3-1     洛阳市2023年空气质量现状评价表</w:t>
            </w:r>
          </w:p>
          <w:tbl>
            <w:tblPr>
              <w:tblStyle w:val="31"/>
              <w:tblW w:w="821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15" w:type="dxa"/>
                <w:left w:w="15" w:type="dxa"/>
                <w:bottom w:w="15" w:type="dxa"/>
                <w:right w:w="15" w:type="dxa"/>
              </w:tblCellMar>
            </w:tblPr>
            <w:tblGrid>
              <w:gridCol w:w="526"/>
              <w:gridCol w:w="985"/>
              <w:gridCol w:w="2538"/>
              <w:gridCol w:w="1087"/>
              <w:gridCol w:w="1060"/>
              <w:gridCol w:w="929"/>
              <w:gridCol w:w="1092"/>
            </w:tblGrid>
            <w:tr w14:paraId="707BB1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15" w:type="dxa"/>
                  <w:left w:w="15" w:type="dxa"/>
                  <w:bottom w:w="15" w:type="dxa"/>
                  <w:right w:w="15" w:type="dxa"/>
                </w:tblCellMar>
              </w:tblPrEx>
              <w:trPr>
                <w:trHeight w:val="529" w:hRule="atLeast"/>
                <w:jc w:val="center"/>
              </w:trPr>
              <w:tc>
                <w:tcPr>
                  <w:tcW w:w="526" w:type="dxa"/>
                  <w:tcBorders>
                    <w:tl2br w:val="nil"/>
                    <w:tr2bl w:val="nil"/>
                  </w:tcBorders>
                  <w:noWrap w:val="0"/>
                  <w:vAlign w:val="center"/>
                </w:tcPr>
                <w:p w14:paraId="619CAAC9">
                  <w:pPr>
                    <w:widowControl/>
                    <w:adjustRightInd w:val="0"/>
                    <w:snapToGrid w:val="0"/>
                    <w:spacing w:line="360" w:lineRule="exact"/>
                    <w:jc w:val="center"/>
                    <w:rPr>
                      <w:color w:val="000000"/>
                      <w:szCs w:val="21"/>
                    </w:rPr>
                  </w:pPr>
                  <w:r>
                    <w:rPr>
                      <w:color w:val="000000"/>
                      <w:szCs w:val="21"/>
                    </w:rPr>
                    <w:t>评价区域</w:t>
                  </w:r>
                </w:p>
              </w:tc>
              <w:tc>
                <w:tcPr>
                  <w:tcW w:w="985" w:type="dxa"/>
                  <w:tcBorders>
                    <w:tl2br w:val="nil"/>
                    <w:tr2bl w:val="nil"/>
                  </w:tcBorders>
                  <w:noWrap w:val="0"/>
                  <w:vAlign w:val="center"/>
                </w:tcPr>
                <w:p w14:paraId="23A18EAD">
                  <w:pPr>
                    <w:widowControl/>
                    <w:adjustRightInd w:val="0"/>
                    <w:snapToGrid w:val="0"/>
                    <w:spacing w:line="360" w:lineRule="exact"/>
                    <w:jc w:val="center"/>
                    <w:rPr>
                      <w:color w:val="000000"/>
                      <w:szCs w:val="21"/>
                    </w:rPr>
                  </w:pPr>
                  <w:r>
                    <w:rPr>
                      <w:color w:val="000000"/>
                      <w:szCs w:val="21"/>
                    </w:rPr>
                    <w:t>污染物</w:t>
                  </w:r>
                </w:p>
              </w:tc>
              <w:tc>
                <w:tcPr>
                  <w:tcW w:w="2538" w:type="dxa"/>
                  <w:tcBorders>
                    <w:tl2br w:val="nil"/>
                    <w:tr2bl w:val="nil"/>
                  </w:tcBorders>
                  <w:noWrap w:val="0"/>
                  <w:vAlign w:val="center"/>
                </w:tcPr>
                <w:p w14:paraId="514BF820">
                  <w:pPr>
                    <w:widowControl/>
                    <w:adjustRightInd w:val="0"/>
                    <w:snapToGrid w:val="0"/>
                    <w:spacing w:line="360" w:lineRule="exact"/>
                    <w:jc w:val="center"/>
                    <w:rPr>
                      <w:color w:val="000000"/>
                      <w:szCs w:val="21"/>
                    </w:rPr>
                  </w:pPr>
                  <w:r>
                    <w:rPr>
                      <w:color w:val="000000"/>
                      <w:szCs w:val="21"/>
                    </w:rPr>
                    <w:t>年评价指标</w:t>
                  </w:r>
                </w:p>
              </w:tc>
              <w:tc>
                <w:tcPr>
                  <w:tcW w:w="1087" w:type="dxa"/>
                  <w:tcBorders>
                    <w:tl2br w:val="nil"/>
                    <w:tr2bl w:val="nil"/>
                  </w:tcBorders>
                  <w:noWrap w:val="0"/>
                  <w:vAlign w:val="center"/>
                </w:tcPr>
                <w:p w14:paraId="63A997F1">
                  <w:pPr>
                    <w:widowControl/>
                    <w:adjustRightInd w:val="0"/>
                    <w:snapToGrid w:val="0"/>
                    <w:spacing w:line="360" w:lineRule="exact"/>
                    <w:jc w:val="center"/>
                    <w:rPr>
                      <w:color w:val="000000"/>
                      <w:szCs w:val="21"/>
                    </w:rPr>
                  </w:pPr>
                  <w:r>
                    <w:rPr>
                      <w:color w:val="000000"/>
                      <w:szCs w:val="21"/>
                    </w:rPr>
                    <w:t>现状浓度（μ</w:t>
                  </w:r>
                  <w:r>
                    <w:rPr>
                      <w:color w:val="000000"/>
                      <w:kern w:val="0"/>
                      <w:szCs w:val="21"/>
                      <w:lang w:bidi="ar"/>
                    </w:rPr>
                    <w:t>g/m</w:t>
                  </w:r>
                  <w:r>
                    <w:rPr>
                      <w:color w:val="000000"/>
                      <w:kern w:val="0"/>
                      <w:szCs w:val="21"/>
                      <w:vertAlign w:val="superscript"/>
                      <w:lang w:bidi="ar"/>
                    </w:rPr>
                    <w:t>3</w:t>
                  </w:r>
                  <w:r>
                    <w:rPr>
                      <w:color w:val="000000"/>
                      <w:szCs w:val="21"/>
                    </w:rPr>
                    <w:t>）</w:t>
                  </w:r>
                </w:p>
              </w:tc>
              <w:tc>
                <w:tcPr>
                  <w:tcW w:w="1060" w:type="dxa"/>
                  <w:tcBorders>
                    <w:tl2br w:val="nil"/>
                    <w:tr2bl w:val="nil"/>
                  </w:tcBorders>
                  <w:noWrap w:val="0"/>
                  <w:vAlign w:val="center"/>
                </w:tcPr>
                <w:p w14:paraId="75F38CA8">
                  <w:pPr>
                    <w:widowControl/>
                    <w:adjustRightInd w:val="0"/>
                    <w:snapToGrid w:val="0"/>
                    <w:spacing w:line="360" w:lineRule="exact"/>
                    <w:jc w:val="center"/>
                    <w:rPr>
                      <w:color w:val="000000"/>
                      <w:szCs w:val="21"/>
                    </w:rPr>
                  </w:pPr>
                  <w:r>
                    <w:rPr>
                      <w:color w:val="000000"/>
                      <w:szCs w:val="21"/>
                    </w:rPr>
                    <w:t>标准值</w:t>
                  </w:r>
                </w:p>
                <w:p w14:paraId="3C656671">
                  <w:pPr>
                    <w:widowControl/>
                    <w:adjustRightInd w:val="0"/>
                    <w:snapToGrid w:val="0"/>
                    <w:spacing w:line="360" w:lineRule="exact"/>
                    <w:jc w:val="center"/>
                    <w:rPr>
                      <w:color w:val="000000"/>
                      <w:szCs w:val="21"/>
                    </w:rPr>
                  </w:pPr>
                  <w:r>
                    <w:rPr>
                      <w:color w:val="000000"/>
                      <w:szCs w:val="21"/>
                    </w:rPr>
                    <w:t>（μ</w:t>
                  </w:r>
                  <w:r>
                    <w:rPr>
                      <w:color w:val="000000"/>
                      <w:kern w:val="0"/>
                      <w:szCs w:val="21"/>
                      <w:lang w:bidi="ar"/>
                    </w:rPr>
                    <w:t>g/m</w:t>
                  </w:r>
                  <w:r>
                    <w:rPr>
                      <w:color w:val="000000"/>
                      <w:kern w:val="0"/>
                      <w:szCs w:val="21"/>
                      <w:vertAlign w:val="superscript"/>
                      <w:lang w:bidi="ar"/>
                    </w:rPr>
                    <w:t>3</w:t>
                  </w:r>
                  <w:r>
                    <w:rPr>
                      <w:color w:val="000000"/>
                      <w:szCs w:val="21"/>
                    </w:rPr>
                    <w:t>）</w:t>
                  </w:r>
                </w:p>
              </w:tc>
              <w:tc>
                <w:tcPr>
                  <w:tcW w:w="929" w:type="dxa"/>
                  <w:tcBorders>
                    <w:tl2br w:val="nil"/>
                    <w:tr2bl w:val="nil"/>
                  </w:tcBorders>
                  <w:noWrap w:val="0"/>
                  <w:vAlign w:val="center"/>
                </w:tcPr>
                <w:p w14:paraId="7F3DDBB2">
                  <w:pPr>
                    <w:widowControl/>
                    <w:adjustRightInd w:val="0"/>
                    <w:snapToGrid w:val="0"/>
                    <w:spacing w:line="360" w:lineRule="exact"/>
                    <w:jc w:val="center"/>
                    <w:rPr>
                      <w:color w:val="000000"/>
                      <w:szCs w:val="21"/>
                    </w:rPr>
                  </w:pPr>
                  <w:r>
                    <w:rPr>
                      <w:color w:val="000000"/>
                      <w:szCs w:val="21"/>
                    </w:rPr>
                    <w:t>占标率</w:t>
                  </w:r>
                </w:p>
                <w:p w14:paraId="64C90A38">
                  <w:pPr>
                    <w:widowControl/>
                    <w:adjustRightInd w:val="0"/>
                    <w:snapToGrid w:val="0"/>
                    <w:spacing w:line="360" w:lineRule="exact"/>
                    <w:jc w:val="center"/>
                    <w:rPr>
                      <w:color w:val="000000"/>
                      <w:szCs w:val="21"/>
                    </w:rPr>
                  </w:pPr>
                  <w:r>
                    <w:rPr>
                      <w:color w:val="000000"/>
                      <w:szCs w:val="21"/>
                    </w:rPr>
                    <w:t>（%）</w:t>
                  </w:r>
                </w:p>
              </w:tc>
              <w:tc>
                <w:tcPr>
                  <w:tcW w:w="1092" w:type="dxa"/>
                  <w:tcBorders>
                    <w:tl2br w:val="nil"/>
                    <w:tr2bl w:val="nil"/>
                  </w:tcBorders>
                  <w:noWrap w:val="0"/>
                  <w:vAlign w:val="center"/>
                </w:tcPr>
                <w:p w14:paraId="553FBDAA">
                  <w:pPr>
                    <w:widowControl/>
                    <w:adjustRightInd w:val="0"/>
                    <w:snapToGrid w:val="0"/>
                    <w:spacing w:line="360" w:lineRule="exact"/>
                    <w:jc w:val="center"/>
                    <w:rPr>
                      <w:color w:val="000000"/>
                      <w:szCs w:val="21"/>
                    </w:rPr>
                  </w:pPr>
                  <w:r>
                    <w:rPr>
                      <w:color w:val="000000"/>
                      <w:szCs w:val="21"/>
                    </w:rPr>
                    <w:t>达标情况</w:t>
                  </w:r>
                </w:p>
              </w:tc>
            </w:tr>
            <w:tr w14:paraId="644DCA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15" w:type="dxa"/>
                  <w:left w:w="15" w:type="dxa"/>
                  <w:bottom w:w="15" w:type="dxa"/>
                  <w:right w:w="15" w:type="dxa"/>
                </w:tblCellMar>
              </w:tblPrEx>
              <w:trPr>
                <w:trHeight w:val="464" w:hRule="atLeast"/>
                <w:jc w:val="center"/>
              </w:trPr>
              <w:tc>
                <w:tcPr>
                  <w:tcW w:w="526" w:type="dxa"/>
                  <w:vMerge w:val="restart"/>
                  <w:tcBorders>
                    <w:tl2br w:val="nil"/>
                    <w:tr2bl w:val="nil"/>
                  </w:tcBorders>
                  <w:noWrap w:val="0"/>
                  <w:vAlign w:val="center"/>
                </w:tcPr>
                <w:p w14:paraId="7D3D5D9F">
                  <w:pPr>
                    <w:widowControl/>
                    <w:adjustRightInd w:val="0"/>
                    <w:snapToGrid w:val="0"/>
                    <w:spacing w:line="360" w:lineRule="exact"/>
                    <w:jc w:val="center"/>
                    <w:rPr>
                      <w:color w:val="000000"/>
                      <w:kern w:val="0"/>
                      <w:szCs w:val="21"/>
                      <w:lang w:bidi="ar"/>
                    </w:rPr>
                  </w:pPr>
                  <w:r>
                    <w:rPr>
                      <w:color w:val="000000"/>
                      <w:kern w:val="0"/>
                      <w:szCs w:val="21"/>
                      <w:lang w:bidi="ar"/>
                    </w:rPr>
                    <w:t>洛阳市</w:t>
                  </w:r>
                </w:p>
              </w:tc>
              <w:tc>
                <w:tcPr>
                  <w:tcW w:w="985" w:type="dxa"/>
                  <w:tcBorders>
                    <w:tl2br w:val="nil"/>
                    <w:tr2bl w:val="nil"/>
                  </w:tcBorders>
                  <w:noWrap w:val="0"/>
                  <w:vAlign w:val="center"/>
                </w:tcPr>
                <w:p w14:paraId="484F9C2E">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SO</w:t>
                  </w:r>
                  <w:r>
                    <w:rPr>
                      <w:rFonts w:hint="default" w:ascii="Times New Roman" w:hAnsi="Times New Roman" w:cs="Times New Roman"/>
                      <w:vertAlign w:val="subscript"/>
                    </w:rPr>
                    <w:t>2</w:t>
                  </w:r>
                </w:p>
              </w:tc>
              <w:tc>
                <w:tcPr>
                  <w:tcW w:w="2538" w:type="dxa"/>
                  <w:tcBorders>
                    <w:tl2br w:val="nil"/>
                    <w:tr2bl w:val="nil"/>
                  </w:tcBorders>
                  <w:noWrap w:val="0"/>
                  <w:vAlign w:val="center"/>
                </w:tcPr>
                <w:p w14:paraId="71AEDD22">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087" w:type="dxa"/>
                  <w:tcBorders>
                    <w:tl2br w:val="nil"/>
                    <w:tr2bl w:val="nil"/>
                  </w:tcBorders>
                  <w:noWrap w:val="0"/>
                  <w:vAlign w:val="center"/>
                </w:tcPr>
                <w:p w14:paraId="015868F9">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w:t>
                  </w:r>
                </w:p>
              </w:tc>
              <w:tc>
                <w:tcPr>
                  <w:tcW w:w="1060" w:type="dxa"/>
                  <w:tcBorders>
                    <w:tl2br w:val="nil"/>
                    <w:tr2bl w:val="nil"/>
                  </w:tcBorders>
                  <w:noWrap w:val="0"/>
                  <w:vAlign w:val="center"/>
                </w:tcPr>
                <w:p w14:paraId="63B51F08">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60</w:t>
                  </w:r>
                </w:p>
              </w:tc>
              <w:tc>
                <w:tcPr>
                  <w:tcW w:w="929" w:type="dxa"/>
                  <w:tcBorders>
                    <w:tl2br w:val="nil"/>
                    <w:tr2bl w:val="nil"/>
                  </w:tcBorders>
                  <w:noWrap w:val="0"/>
                  <w:vAlign w:val="center"/>
                </w:tcPr>
                <w:p w14:paraId="4C79F5CB">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10</w:t>
                  </w:r>
                </w:p>
              </w:tc>
              <w:tc>
                <w:tcPr>
                  <w:tcW w:w="1092" w:type="dxa"/>
                  <w:tcBorders>
                    <w:tl2br w:val="nil"/>
                    <w:tr2bl w:val="nil"/>
                  </w:tcBorders>
                  <w:noWrap w:val="0"/>
                  <w:vAlign w:val="center"/>
                </w:tcPr>
                <w:p w14:paraId="08F50C4B">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14:paraId="1D65BB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15" w:type="dxa"/>
                  <w:left w:w="15" w:type="dxa"/>
                  <w:bottom w:w="15" w:type="dxa"/>
                  <w:right w:w="15" w:type="dxa"/>
                </w:tblCellMar>
              </w:tblPrEx>
              <w:trPr>
                <w:trHeight w:val="421" w:hRule="atLeast"/>
                <w:jc w:val="center"/>
              </w:trPr>
              <w:tc>
                <w:tcPr>
                  <w:tcW w:w="526" w:type="dxa"/>
                  <w:vMerge w:val="continue"/>
                  <w:tcBorders>
                    <w:tl2br w:val="nil"/>
                    <w:tr2bl w:val="nil"/>
                  </w:tcBorders>
                  <w:noWrap w:val="0"/>
                  <w:vAlign w:val="center"/>
                </w:tcPr>
                <w:p w14:paraId="146E9DE3">
                  <w:pPr>
                    <w:widowControl/>
                    <w:adjustRightInd w:val="0"/>
                    <w:snapToGrid w:val="0"/>
                    <w:spacing w:line="360" w:lineRule="exact"/>
                    <w:jc w:val="center"/>
                    <w:rPr>
                      <w:color w:val="000000"/>
                      <w:szCs w:val="21"/>
                    </w:rPr>
                  </w:pPr>
                </w:p>
              </w:tc>
              <w:tc>
                <w:tcPr>
                  <w:tcW w:w="985" w:type="dxa"/>
                  <w:tcBorders>
                    <w:tl2br w:val="nil"/>
                    <w:tr2bl w:val="nil"/>
                  </w:tcBorders>
                  <w:noWrap w:val="0"/>
                  <w:vAlign w:val="center"/>
                </w:tcPr>
                <w:p w14:paraId="0EAE8E89">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NO</w:t>
                  </w:r>
                  <w:r>
                    <w:rPr>
                      <w:rFonts w:hint="default" w:ascii="Times New Roman" w:hAnsi="Times New Roman" w:cs="Times New Roman"/>
                      <w:vertAlign w:val="subscript"/>
                    </w:rPr>
                    <w:t>2</w:t>
                  </w:r>
                </w:p>
              </w:tc>
              <w:tc>
                <w:tcPr>
                  <w:tcW w:w="2538" w:type="dxa"/>
                  <w:tcBorders>
                    <w:tl2br w:val="nil"/>
                    <w:tr2bl w:val="nil"/>
                  </w:tcBorders>
                  <w:noWrap w:val="0"/>
                  <w:vAlign w:val="center"/>
                </w:tcPr>
                <w:p w14:paraId="07C11595">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087" w:type="dxa"/>
                  <w:tcBorders>
                    <w:tl2br w:val="nil"/>
                    <w:tr2bl w:val="nil"/>
                  </w:tcBorders>
                  <w:noWrap w:val="0"/>
                  <w:vAlign w:val="center"/>
                </w:tcPr>
                <w:p w14:paraId="423DA060">
                  <w:pPr>
                    <w:pStyle w:val="116"/>
                    <w:keepNext w:val="0"/>
                    <w:keepLines w:val="0"/>
                    <w:widowControl/>
                    <w:suppressLineNumbers w:val="0"/>
                    <w:spacing w:before="0" w:beforeAutospacing="0" w:after="0" w:afterAutospacing="0"/>
                    <w:ind w:left="0" w:leftChars="0" w:right="0" w:rightChars="0"/>
                    <w:rPr>
                      <w:rFonts w:hint="eastAsia" w:eastAsia="宋体"/>
                      <w:color w:val="000000"/>
                      <w:szCs w:val="21"/>
                      <w:lang w:eastAsia="zh-CN"/>
                    </w:rPr>
                  </w:pPr>
                  <w:r>
                    <w:rPr>
                      <w:rFonts w:hint="default" w:ascii="Times New Roman" w:hAnsi="Times New Roman" w:cs="Times New Roman"/>
                    </w:rPr>
                    <w:t>2</w:t>
                  </w:r>
                  <w:r>
                    <w:rPr>
                      <w:rFonts w:hint="eastAsia" w:cs="Times New Roman"/>
                      <w:lang w:val="en-US" w:eastAsia="zh-CN"/>
                    </w:rPr>
                    <w:t>7</w:t>
                  </w:r>
                </w:p>
              </w:tc>
              <w:tc>
                <w:tcPr>
                  <w:tcW w:w="1060" w:type="dxa"/>
                  <w:tcBorders>
                    <w:tl2br w:val="nil"/>
                    <w:tr2bl w:val="nil"/>
                  </w:tcBorders>
                  <w:noWrap w:val="0"/>
                  <w:vAlign w:val="center"/>
                </w:tcPr>
                <w:p w14:paraId="72C4CF38">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40</w:t>
                  </w:r>
                </w:p>
              </w:tc>
              <w:tc>
                <w:tcPr>
                  <w:tcW w:w="929" w:type="dxa"/>
                  <w:tcBorders>
                    <w:tl2br w:val="nil"/>
                    <w:tr2bl w:val="nil"/>
                  </w:tcBorders>
                  <w:noWrap w:val="0"/>
                  <w:vAlign w:val="center"/>
                </w:tcPr>
                <w:p w14:paraId="6B5D88A4">
                  <w:pPr>
                    <w:pStyle w:val="116"/>
                    <w:keepNext w:val="0"/>
                    <w:keepLines w:val="0"/>
                    <w:widowControl/>
                    <w:suppressLineNumbers w:val="0"/>
                    <w:spacing w:before="0" w:beforeAutospacing="0" w:after="0" w:afterAutospacing="0"/>
                    <w:ind w:left="0" w:leftChars="0" w:right="0" w:rightChars="0"/>
                    <w:rPr>
                      <w:rFonts w:hint="default" w:eastAsia="宋体"/>
                      <w:color w:val="000000"/>
                      <w:szCs w:val="21"/>
                      <w:lang w:val="en-US" w:eastAsia="zh-CN"/>
                    </w:rPr>
                  </w:pPr>
                  <w:r>
                    <w:rPr>
                      <w:rFonts w:hint="eastAsia" w:cs="Times New Roman"/>
                      <w:lang w:val="en-US" w:eastAsia="zh-CN"/>
                    </w:rPr>
                    <w:t>67.5</w:t>
                  </w:r>
                </w:p>
              </w:tc>
              <w:tc>
                <w:tcPr>
                  <w:tcW w:w="1092" w:type="dxa"/>
                  <w:tcBorders>
                    <w:tl2br w:val="nil"/>
                    <w:tr2bl w:val="nil"/>
                  </w:tcBorders>
                  <w:noWrap w:val="0"/>
                  <w:vAlign w:val="center"/>
                </w:tcPr>
                <w:p w14:paraId="6434546D">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达标</w:t>
                  </w:r>
                </w:p>
              </w:tc>
            </w:tr>
            <w:tr w14:paraId="1F67F5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15" w:type="dxa"/>
                  <w:left w:w="15" w:type="dxa"/>
                  <w:bottom w:w="15" w:type="dxa"/>
                  <w:right w:w="15" w:type="dxa"/>
                </w:tblCellMar>
              </w:tblPrEx>
              <w:trPr>
                <w:trHeight w:val="421" w:hRule="atLeast"/>
                <w:jc w:val="center"/>
              </w:trPr>
              <w:tc>
                <w:tcPr>
                  <w:tcW w:w="526" w:type="dxa"/>
                  <w:vMerge w:val="continue"/>
                  <w:tcBorders>
                    <w:tl2br w:val="nil"/>
                    <w:tr2bl w:val="nil"/>
                  </w:tcBorders>
                  <w:noWrap w:val="0"/>
                  <w:vAlign w:val="center"/>
                </w:tcPr>
                <w:p w14:paraId="696775E0">
                  <w:pPr>
                    <w:widowControl/>
                    <w:adjustRightInd w:val="0"/>
                    <w:snapToGrid w:val="0"/>
                    <w:spacing w:line="360" w:lineRule="exact"/>
                    <w:jc w:val="center"/>
                    <w:rPr>
                      <w:color w:val="000000"/>
                      <w:szCs w:val="21"/>
                    </w:rPr>
                  </w:pPr>
                </w:p>
              </w:tc>
              <w:tc>
                <w:tcPr>
                  <w:tcW w:w="985" w:type="dxa"/>
                  <w:tcBorders>
                    <w:tl2br w:val="nil"/>
                    <w:tr2bl w:val="nil"/>
                  </w:tcBorders>
                  <w:noWrap w:val="0"/>
                  <w:vAlign w:val="center"/>
                </w:tcPr>
                <w:p w14:paraId="451D8AB8">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10</w:t>
                  </w:r>
                </w:p>
              </w:tc>
              <w:tc>
                <w:tcPr>
                  <w:tcW w:w="2538" w:type="dxa"/>
                  <w:tcBorders>
                    <w:tl2br w:val="nil"/>
                    <w:tr2bl w:val="nil"/>
                  </w:tcBorders>
                  <w:noWrap w:val="0"/>
                  <w:vAlign w:val="center"/>
                </w:tcPr>
                <w:p w14:paraId="23E08E08">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087" w:type="dxa"/>
                  <w:tcBorders>
                    <w:tl2br w:val="nil"/>
                    <w:tr2bl w:val="nil"/>
                  </w:tcBorders>
                  <w:noWrap w:val="0"/>
                  <w:vAlign w:val="center"/>
                </w:tcPr>
                <w:p w14:paraId="753A9AAB">
                  <w:pPr>
                    <w:pStyle w:val="116"/>
                    <w:keepNext w:val="0"/>
                    <w:keepLines w:val="0"/>
                    <w:widowControl/>
                    <w:suppressLineNumbers w:val="0"/>
                    <w:spacing w:before="0" w:beforeAutospacing="0" w:after="0" w:afterAutospacing="0"/>
                    <w:ind w:left="0" w:leftChars="0" w:right="0" w:rightChars="0"/>
                    <w:rPr>
                      <w:rFonts w:hint="eastAsia" w:eastAsia="宋体"/>
                      <w:color w:val="000000"/>
                      <w:szCs w:val="21"/>
                      <w:lang w:eastAsia="zh-CN"/>
                    </w:rPr>
                  </w:pPr>
                  <w:r>
                    <w:rPr>
                      <w:rFonts w:hint="default" w:ascii="Times New Roman" w:hAnsi="Times New Roman" w:cs="Times New Roman"/>
                    </w:rPr>
                    <w:t>7</w:t>
                  </w:r>
                  <w:r>
                    <w:rPr>
                      <w:rFonts w:hint="eastAsia" w:cs="Times New Roman"/>
                      <w:lang w:val="en-US" w:eastAsia="zh-CN"/>
                    </w:rPr>
                    <w:t>4</w:t>
                  </w:r>
                </w:p>
              </w:tc>
              <w:tc>
                <w:tcPr>
                  <w:tcW w:w="1060" w:type="dxa"/>
                  <w:tcBorders>
                    <w:tl2br w:val="nil"/>
                    <w:tr2bl w:val="nil"/>
                  </w:tcBorders>
                  <w:noWrap w:val="0"/>
                  <w:vAlign w:val="center"/>
                </w:tcPr>
                <w:p w14:paraId="488A9628">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70</w:t>
                  </w:r>
                </w:p>
              </w:tc>
              <w:tc>
                <w:tcPr>
                  <w:tcW w:w="929" w:type="dxa"/>
                  <w:tcBorders>
                    <w:tl2br w:val="nil"/>
                    <w:tr2bl w:val="nil"/>
                  </w:tcBorders>
                  <w:noWrap w:val="0"/>
                  <w:vAlign w:val="center"/>
                </w:tcPr>
                <w:p w14:paraId="0CDD7562">
                  <w:pPr>
                    <w:pStyle w:val="116"/>
                    <w:keepNext w:val="0"/>
                    <w:keepLines w:val="0"/>
                    <w:widowControl/>
                    <w:suppressLineNumbers w:val="0"/>
                    <w:spacing w:before="0" w:beforeAutospacing="0" w:after="0" w:afterAutospacing="0"/>
                    <w:ind w:left="0" w:leftChars="0" w:right="0" w:rightChars="0"/>
                    <w:rPr>
                      <w:rFonts w:hint="default" w:eastAsia="宋体"/>
                      <w:color w:val="000000"/>
                      <w:szCs w:val="21"/>
                      <w:lang w:val="en-US" w:eastAsia="zh-CN"/>
                    </w:rPr>
                  </w:pPr>
                  <w:r>
                    <w:rPr>
                      <w:rFonts w:hint="default" w:ascii="Times New Roman" w:hAnsi="Times New Roman" w:cs="Times New Roman"/>
                    </w:rPr>
                    <w:t>1</w:t>
                  </w:r>
                  <w:r>
                    <w:rPr>
                      <w:rFonts w:hint="eastAsia" w:cs="Times New Roman"/>
                      <w:lang w:val="en-US" w:eastAsia="zh-CN"/>
                    </w:rPr>
                    <w:t>06</w:t>
                  </w:r>
                </w:p>
              </w:tc>
              <w:tc>
                <w:tcPr>
                  <w:tcW w:w="1092" w:type="dxa"/>
                  <w:tcBorders>
                    <w:tl2br w:val="nil"/>
                    <w:tr2bl w:val="nil"/>
                  </w:tcBorders>
                  <w:noWrap w:val="0"/>
                  <w:vAlign w:val="center"/>
                </w:tcPr>
                <w:p w14:paraId="2D8F6533">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14:paraId="5C4B12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15" w:type="dxa"/>
                  <w:left w:w="15" w:type="dxa"/>
                  <w:bottom w:w="15" w:type="dxa"/>
                  <w:right w:w="15" w:type="dxa"/>
                </w:tblCellMar>
              </w:tblPrEx>
              <w:trPr>
                <w:trHeight w:val="451" w:hRule="atLeast"/>
                <w:jc w:val="center"/>
              </w:trPr>
              <w:tc>
                <w:tcPr>
                  <w:tcW w:w="526" w:type="dxa"/>
                  <w:vMerge w:val="continue"/>
                  <w:tcBorders>
                    <w:tl2br w:val="nil"/>
                    <w:tr2bl w:val="nil"/>
                  </w:tcBorders>
                  <w:noWrap w:val="0"/>
                  <w:vAlign w:val="center"/>
                </w:tcPr>
                <w:p w14:paraId="301F3266">
                  <w:pPr>
                    <w:widowControl/>
                    <w:adjustRightInd w:val="0"/>
                    <w:snapToGrid w:val="0"/>
                    <w:spacing w:line="360" w:lineRule="exact"/>
                    <w:jc w:val="center"/>
                    <w:rPr>
                      <w:color w:val="000000"/>
                      <w:szCs w:val="21"/>
                    </w:rPr>
                  </w:pPr>
                </w:p>
              </w:tc>
              <w:tc>
                <w:tcPr>
                  <w:tcW w:w="985" w:type="dxa"/>
                  <w:tcBorders>
                    <w:tl2br w:val="nil"/>
                    <w:tr2bl w:val="nil"/>
                  </w:tcBorders>
                  <w:noWrap w:val="0"/>
                  <w:vAlign w:val="center"/>
                </w:tcPr>
                <w:p w14:paraId="57BFBA09">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PM</w:t>
                  </w:r>
                  <w:r>
                    <w:rPr>
                      <w:rFonts w:hint="default" w:ascii="Times New Roman" w:hAnsi="Times New Roman" w:cs="Times New Roman"/>
                      <w:vertAlign w:val="subscript"/>
                    </w:rPr>
                    <w:t>2.5</w:t>
                  </w:r>
                </w:p>
              </w:tc>
              <w:tc>
                <w:tcPr>
                  <w:tcW w:w="2538" w:type="dxa"/>
                  <w:tcBorders>
                    <w:tl2br w:val="nil"/>
                    <w:tr2bl w:val="nil"/>
                  </w:tcBorders>
                  <w:noWrap w:val="0"/>
                  <w:vAlign w:val="center"/>
                </w:tcPr>
                <w:p w14:paraId="7F777B4B">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年平均质量浓度</w:t>
                  </w:r>
                </w:p>
              </w:tc>
              <w:tc>
                <w:tcPr>
                  <w:tcW w:w="1087" w:type="dxa"/>
                  <w:tcBorders>
                    <w:tl2br w:val="nil"/>
                    <w:tr2bl w:val="nil"/>
                  </w:tcBorders>
                  <w:noWrap w:val="0"/>
                  <w:vAlign w:val="center"/>
                </w:tcPr>
                <w:p w14:paraId="0720616A">
                  <w:pPr>
                    <w:pStyle w:val="116"/>
                    <w:keepNext w:val="0"/>
                    <w:keepLines w:val="0"/>
                    <w:widowControl/>
                    <w:suppressLineNumbers w:val="0"/>
                    <w:spacing w:before="0" w:beforeAutospacing="0" w:after="0" w:afterAutospacing="0"/>
                    <w:ind w:left="0" w:leftChars="0" w:right="0" w:rightChars="0"/>
                    <w:rPr>
                      <w:rFonts w:hint="eastAsia" w:eastAsia="宋体"/>
                      <w:color w:val="000000"/>
                      <w:szCs w:val="21"/>
                      <w:lang w:eastAsia="zh-CN"/>
                    </w:rPr>
                  </w:pPr>
                  <w:r>
                    <w:rPr>
                      <w:rFonts w:hint="default" w:ascii="Times New Roman" w:hAnsi="Times New Roman" w:cs="Times New Roman"/>
                    </w:rPr>
                    <w:t>4</w:t>
                  </w:r>
                  <w:r>
                    <w:rPr>
                      <w:rFonts w:hint="eastAsia" w:cs="Times New Roman"/>
                      <w:lang w:val="en-US" w:eastAsia="zh-CN"/>
                    </w:rPr>
                    <w:t>6</w:t>
                  </w:r>
                </w:p>
              </w:tc>
              <w:tc>
                <w:tcPr>
                  <w:tcW w:w="1060" w:type="dxa"/>
                  <w:tcBorders>
                    <w:tl2br w:val="nil"/>
                    <w:tr2bl w:val="nil"/>
                  </w:tcBorders>
                  <w:noWrap w:val="0"/>
                  <w:vAlign w:val="center"/>
                </w:tcPr>
                <w:p w14:paraId="20C344E0">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35</w:t>
                  </w:r>
                </w:p>
              </w:tc>
              <w:tc>
                <w:tcPr>
                  <w:tcW w:w="929" w:type="dxa"/>
                  <w:tcBorders>
                    <w:tl2br w:val="nil"/>
                    <w:tr2bl w:val="nil"/>
                  </w:tcBorders>
                  <w:noWrap w:val="0"/>
                  <w:vAlign w:val="center"/>
                </w:tcPr>
                <w:p w14:paraId="4D228D2A">
                  <w:pPr>
                    <w:pStyle w:val="116"/>
                    <w:keepNext w:val="0"/>
                    <w:keepLines w:val="0"/>
                    <w:widowControl/>
                    <w:suppressLineNumbers w:val="0"/>
                    <w:spacing w:before="0" w:beforeAutospacing="0" w:after="0" w:afterAutospacing="0"/>
                    <w:ind w:left="0" w:leftChars="0" w:right="0" w:rightChars="0"/>
                    <w:rPr>
                      <w:rFonts w:hint="default" w:eastAsia="宋体"/>
                      <w:color w:val="000000"/>
                      <w:szCs w:val="21"/>
                      <w:lang w:val="en-US" w:eastAsia="zh-CN"/>
                    </w:rPr>
                  </w:pPr>
                  <w:r>
                    <w:rPr>
                      <w:rFonts w:hint="eastAsia" w:cs="Times New Roman"/>
                      <w:lang w:val="en-US" w:eastAsia="zh-CN"/>
                    </w:rPr>
                    <w:t>131.4</w:t>
                  </w:r>
                </w:p>
              </w:tc>
              <w:tc>
                <w:tcPr>
                  <w:tcW w:w="1092" w:type="dxa"/>
                  <w:tcBorders>
                    <w:tl2br w:val="nil"/>
                    <w:tr2bl w:val="nil"/>
                  </w:tcBorders>
                  <w:noWrap w:val="0"/>
                  <w:vAlign w:val="center"/>
                </w:tcPr>
                <w:p w14:paraId="3D7F4E3B">
                  <w:pPr>
                    <w:pStyle w:val="116"/>
                    <w:keepNext w:val="0"/>
                    <w:keepLines w:val="0"/>
                    <w:widowControl/>
                    <w:suppressLineNumbers w:val="0"/>
                    <w:spacing w:before="0" w:beforeAutospacing="0" w:after="0" w:afterAutospacing="0"/>
                    <w:ind w:left="0" w:leftChars="0" w:right="0" w:rightChars="0"/>
                    <w:rPr>
                      <w:color w:val="000000"/>
                      <w:szCs w:val="21"/>
                    </w:rPr>
                  </w:pPr>
                  <w:r>
                    <w:rPr>
                      <w:rFonts w:hint="default" w:ascii="Times New Roman" w:hAnsi="Times New Roman" w:cs="Times New Roman"/>
                    </w:rPr>
                    <w:t>不达标</w:t>
                  </w:r>
                </w:p>
              </w:tc>
            </w:tr>
            <w:tr w14:paraId="23108C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15" w:type="dxa"/>
                  <w:left w:w="15" w:type="dxa"/>
                  <w:bottom w:w="15" w:type="dxa"/>
                  <w:right w:w="15" w:type="dxa"/>
                </w:tblCellMar>
              </w:tblPrEx>
              <w:trPr>
                <w:trHeight w:val="451" w:hRule="atLeast"/>
                <w:jc w:val="center"/>
              </w:trPr>
              <w:tc>
                <w:tcPr>
                  <w:tcW w:w="526" w:type="dxa"/>
                  <w:vMerge w:val="continue"/>
                  <w:tcBorders>
                    <w:tl2br w:val="nil"/>
                    <w:tr2bl w:val="nil"/>
                  </w:tcBorders>
                  <w:noWrap w:val="0"/>
                  <w:vAlign w:val="center"/>
                </w:tcPr>
                <w:p w14:paraId="33D5132D">
                  <w:pPr>
                    <w:widowControl/>
                    <w:adjustRightInd w:val="0"/>
                    <w:snapToGrid w:val="0"/>
                    <w:spacing w:line="360" w:lineRule="exact"/>
                    <w:jc w:val="center"/>
                    <w:rPr>
                      <w:color w:val="000000"/>
                      <w:kern w:val="0"/>
                      <w:szCs w:val="21"/>
                      <w:lang w:bidi="ar"/>
                    </w:rPr>
                  </w:pPr>
                </w:p>
              </w:tc>
              <w:tc>
                <w:tcPr>
                  <w:tcW w:w="985" w:type="dxa"/>
                  <w:tcBorders>
                    <w:tl2br w:val="nil"/>
                    <w:tr2bl w:val="nil"/>
                  </w:tcBorders>
                  <w:noWrap w:val="0"/>
                  <w:vAlign w:val="center"/>
                </w:tcPr>
                <w:p w14:paraId="401A1E4B">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CO</w:t>
                  </w:r>
                </w:p>
              </w:tc>
              <w:tc>
                <w:tcPr>
                  <w:tcW w:w="2538" w:type="dxa"/>
                  <w:tcBorders>
                    <w:tl2br w:val="nil"/>
                    <w:tr2bl w:val="nil"/>
                  </w:tcBorders>
                  <w:noWrap w:val="0"/>
                  <w:vAlign w:val="center"/>
                </w:tcPr>
                <w:p w14:paraId="633AA394">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24h平均第95百分位数浓度</w:t>
                  </w:r>
                </w:p>
              </w:tc>
              <w:tc>
                <w:tcPr>
                  <w:tcW w:w="1087" w:type="dxa"/>
                  <w:tcBorders>
                    <w:tl2br w:val="nil"/>
                    <w:tr2bl w:val="nil"/>
                  </w:tcBorders>
                  <w:noWrap w:val="0"/>
                  <w:vAlign w:val="center"/>
                </w:tcPr>
                <w:p w14:paraId="0E430A00">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1100</w:t>
                  </w:r>
                </w:p>
              </w:tc>
              <w:tc>
                <w:tcPr>
                  <w:tcW w:w="1060" w:type="dxa"/>
                  <w:tcBorders>
                    <w:tl2br w:val="nil"/>
                    <w:tr2bl w:val="nil"/>
                  </w:tcBorders>
                  <w:noWrap w:val="0"/>
                  <w:vAlign w:val="center"/>
                </w:tcPr>
                <w:p w14:paraId="2E212D71">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4000</w:t>
                  </w:r>
                </w:p>
              </w:tc>
              <w:tc>
                <w:tcPr>
                  <w:tcW w:w="929" w:type="dxa"/>
                  <w:tcBorders>
                    <w:tl2br w:val="nil"/>
                    <w:tr2bl w:val="nil"/>
                  </w:tcBorders>
                  <w:noWrap w:val="0"/>
                  <w:vAlign w:val="center"/>
                </w:tcPr>
                <w:p w14:paraId="2EFD021F">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27.5</w:t>
                  </w:r>
                </w:p>
              </w:tc>
              <w:tc>
                <w:tcPr>
                  <w:tcW w:w="1092" w:type="dxa"/>
                  <w:tcBorders>
                    <w:tl2br w:val="nil"/>
                    <w:tr2bl w:val="nil"/>
                  </w:tcBorders>
                  <w:noWrap w:val="0"/>
                  <w:vAlign w:val="center"/>
                </w:tcPr>
                <w:p w14:paraId="1A6BAFBE">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达标</w:t>
                  </w:r>
                </w:p>
              </w:tc>
            </w:tr>
            <w:tr w14:paraId="418115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15" w:type="dxa"/>
                  <w:left w:w="15" w:type="dxa"/>
                  <w:bottom w:w="15" w:type="dxa"/>
                  <w:right w:w="15" w:type="dxa"/>
                </w:tblCellMar>
              </w:tblPrEx>
              <w:trPr>
                <w:trHeight w:val="451" w:hRule="atLeast"/>
                <w:jc w:val="center"/>
              </w:trPr>
              <w:tc>
                <w:tcPr>
                  <w:tcW w:w="526" w:type="dxa"/>
                  <w:vMerge w:val="continue"/>
                  <w:tcBorders>
                    <w:tl2br w:val="nil"/>
                    <w:tr2bl w:val="nil"/>
                  </w:tcBorders>
                  <w:noWrap w:val="0"/>
                  <w:vAlign w:val="center"/>
                </w:tcPr>
                <w:p w14:paraId="6B1A7988">
                  <w:pPr>
                    <w:widowControl/>
                    <w:adjustRightInd w:val="0"/>
                    <w:snapToGrid w:val="0"/>
                    <w:spacing w:line="360" w:lineRule="exact"/>
                    <w:jc w:val="center"/>
                    <w:rPr>
                      <w:color w:val="000000"/>
                      <w:kern w:val="0"/>
                      <w:szCs w:val="21"/>
                      <w:lang w:bidi="ar"/>
                    </w:rPr>
                  </w:pPr>
                </w:p>
              </w:tc>
              <w:tc>
                <w:tcPr>
                  <w:tcW w:w="985" w:type="dxa"/>
                  <w:tcBorders>
                    <w:tl2br w:val="nil"/>
                    <w:tr2bl w:val="nil"/>
                  </w:tcBorders>
                  <w:noWrap w:val="0"/>
                  <w:vAlign w:val="center"/>
                </w:tcPr>
                <w:p w14:paraId="2561A031">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O</w:t>
                  </w:r>
                  <w:r>
                    <w:rPr>
                      <w:rFonts w:hint="default" w:ascii="Times New Roman" w:hAnsi="Times New Roman" w:cs="Times New Roman"/>
                      <w:vertAlign w:val="subscript"/>
                    </w:rPr>
                    <w:t>3</w:t>
                  </w:r>
                </w:p>
              </w:tc>
              <w:tc>
                <w:tcPr>
                  <w:tcW w:w="2538" w:type="dxa"/>
                  <w:tcBorders>
                    <w:tl2br w:val="nil"/>
                    <w:tr2bl w:val="nil"/>
                  </w:tcBorders>
                  <w:noWrap w:val="0"/>
                  <w:vAlign w:val="center"/>
                </w:tcPr>
                <w:p w14:paraId="2A845928">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日最大8h滑动平均值第90百分位数质量浓度</w:t>
                  </w:r>
                </w:p>
              </w:tc>
              <w:tc>
                <w:tcPr>
                  <w:tcW w:w="1087" w:type="dxa"/>
                  <w:tcBorders>
                    <w:tl2br w:val="nil"/>
                    <w:tr2bl w:val="nil"/>
                  </w:tcBorders>
                  <w:noWrap w:val="0"/>
                  <w:vAlign w:val="center"/>
                </w:tcPr>
                <w:p w14:paraId="3512D0A6">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172</w:t>
                  </w:r>
                </w:p>
              </w:tc>
              <w:tc>
                <w:tcPr>
                  <w:tcW w:w="1060" w:type="dxa"/>
                  <w:tcBorders>
                    <w:tl2br w:val="nil"/>
                    <w:tr2bl w:val="nil"/>
                  </w:tcBorders>
                  <w:noWrap w:val="0"/>
                  <w:vAlign w:val="center"/>
                </w:tcPr>
                <w:p w14:paraId="0CE6CB31">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160</w:t>
                  </w:r>
                </w:p>
              </w:tc>
              <w:tc>
                <w:tcPr>
                  <w:tcW w:w="929" w:type="dxa"/>
                  <w:tcBorders>
                    <w:tl2br w:val="nil"/>
                    <w:tr2bl w:val="nil"/>
                  </w:tcBorders>
                  <w:noWrap w:val="0"/>
                  <w:vAlign w:val="center"/>
                </w:tcPr>
                <w:p w14:paraId="5888BD70">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107.5</w:t>
                  </w:r>
                </w:p>
              </w:tc>
              <w:tc>
                <w:tcPr>
                  <w:tcW w:w="1092" w:type="dxa"/>
                  <w:tcBorders>
                    <w:tl2br w:val="nil"/>
                    <w:tr2bl w:val="nil"/>
                  </w:tcBorders>
                  <w:noWrap w:val="0"/>
                  <w:vAlign w:val="center"/>
                </w:tcPr>
                <w:p w14:paraId="1408B64D">
                  <w:pPr>
                    <w:pStyle w:val="116"/>
                    <w:keepNext w:val="0"/>
                    <w:keepLines w:val="0"/>
                    <w:widowControl/>
                    <w:suppressLineNumbers w:val="0"/>
                    <w:spacing w:before="0" w:beforeAutospacing="0" w:after="0" w:afterAutospacing="0"/>
                    <w:ind w:left="0" w:leftChars="0" w:right="0" w:rightChars="0"/>
                    <w:rPr>
                      <w:color w:val="000000"/>
                      <w:kern w:val="0"/>
                      <w:szCs w:val="21"/>
                      <w:lang w:bidi="ar"/>
                    </w:rPr>
                  </w:pPr>
                  <w:r>
                    <w:rPr>
                      <w:rFonts w:hint="default" w:ascii="Times New Roman" w:hAnsi="Times New Roman" w:cs="Times New Roman"/>
                    </w:rPr>
                    <w:t>不达标</w:t>
                  </w:r>
                </w:p>
              </w:tc>
            </w:tr>
          </w:tbl>
          <w:p w14:paraId="68D90C29">
            <w:pPr>
              <w:spacing w:line="520" w:lineRule="exact"/>
              <w:ind w:firstLine="480" w:firstLineChars="200"/>
              <w:rPr>
                <w:rFonts w:ascii="Times New Roman" w:hAnsi="Times New Roman" w:cs="Times New Roman"/>
                <w:sz w:val="24"/>
                <w:szCs w:val="32"/>
              </w:rPr>
            </w:pPr>
            <w:r>
              <w:rPr>
                <w:rFonts w:ascii="Times New Roman" w:hAnsi="Times New Roman" w:cs="Times New Roman"/>
                <w:sz w:val="24"/>
                <w:szCs w:val="32"/>
              </w:rPr>
              <w:t>由上表可知，SO</w:t>
            </w:r>
            <w:r>
              <w:rPr>
                <w:rFonts w:ascii="Times New Roman" w:hAnsi="Times New Roman" w:cs="Times New Roman"/>
                <w:sz w:val="24"/>
                <w:szCs w:val="32"/>
                <w:vertAlign w:val="subscript"/>
              </w:rPr>
              <w:t>2</w:t>
            </w:r>
            <w:r>
              <w:rPr>
                <w:rFonts w:ascii="Times New Roman" w:hAnsi="Times New Roman" w:cs="Times New Roman"/>
                <w:sz w:val="24"/>
                <w:szCs w:val="32"/>
              </w:rPr>
              <w:t>、NO</w:t>
            </w:r>
            <w:r>
              <w:rPr>
                <w:rFonts w:ascii="Times New Roman" w:hAnsi="Times New Roman" w:cs="Times New Roman"/>
                <w:sz w:val="24"/>
                <w:szCs w:val="32"/>
                <w:vertAlign w:val="subscript"/>
              </w:rPr>
              <w:t>2</w:t>
            </w:r>
            <w:r>
              <w:rPr>
                <w:rFonts w:ascii="Times New Roman" w:hAnsi="Times New Roman" w:cs="Times New Roman"/>
                <w:sz w:val="24"/>
                <w:szCs w:val="32"/>
              </w:rPr>
              <w:t>年平均质量浓度、CO24h平均第95百分位数浓度满足《环境空气质量标准》（GB3095-2012）中二级标准限值，PM</w:t>
            </w:r>
            <w:r>
              <w:rPr>
                <w:rFonts w:ascii="Times New Roman" w:hAnsi="Times New Roman" w:cs="Times New Roman"/>
                <w:sz w:val="24"/>
                <w:szCs w:val="32"/>
                <w:vertAlign w:val="subscript"/>
              </w:rPr>
              <w:t>10</w:t>
            </w:r>
            <w:r>
              <w:rPr>
                <w:rFonts w:ascii="Times New Roman" w:hAnsi="Times New Roman" w:cs="Times New Roman"/>
                <w:sz w:val="24"/>
                <w:szCs w:val="32"/>
              </w:rPr>
              <w:t>、PM</w:t>
            </w:r>
            <w:r>
              <w:rPr>
                <w:rFonts w:ascii="Times New Roman" w:hAnsi="Times New Roman" w:cs="Times New Roman"/>
                <w:sz w:val="24"/>
                <w:szCs w:val="32"/>
                <w:vertAlign w:val="subscript"/>
              </w:rPr>
              <w:t>2.5</w:t>
            </w:r>
            <w:r>
              <w:rPr>
                <w:rFonts w:ascii="Times New Roman" w:hAnsi="Times New Roman" w:cs="Times New Roman"/>
                <w:sz w:val="24"/>
                <w:szCs w:val="32"/>
              </w:rPr>
              <w:t>年平均质量浓度、O</w:t>
            </w:r>
            <w:r>
              <w:rPr>
                <w:rFonts w:ascii="Times New Roman" w:hAnsi="Times New Roman" w:cs="Times New Roman"/>
                <w:sz w:val="24"/>
                <w:szCs w:val="32"/>
                <w:vertAlign w:val="subscript"/>
              </w:rPr>
              <w:t>3</w:t>
            </w:r>
            <w:r>
              <w:rPr>
                <w:rFonts w:ascii="Times New Roman" w:hAnsi="Times New Roman" w:cs="Times New Roman"/>
                <w:sz w:val="24"/>
                <w:szCs w:val="32"/>
              </w:rPr>
              <w:t>日最大8h滑动平均值第90百分位数质量浓度超过《环境空气质量标准》（GB3095-2012）中二级标准限值。项目所在区域为不达标区。</w:t>
            </w:r>
          </w:p>
          <w:p w14:paraId="0A5F881F">
            <w:pPr>
              <w:pStyle w:val="63"/>
              <w:ind w:firstLine="480"/>
              <w:rPr>
                <w:rFonts w:hint="eastAsia"/>
                <w:bCs/>
                <w:color w:val="000000"/>
                <w:sz w:val="24"/>
              </w:rPr>
            </w:pPr>
            <w:r>
              <w:rPr>
                <w:rFonts w:hint="eastAsia"/>
                <w:bCs/>
                <w:color w:val="000000"/>
                <w:sz w:val="24"/>
              </w:rPr>
              <w:t>针对区域大气环境质量现状超标的情况，洛阳市正在实施《2024年蓝天保卫战实施方案》</w:t>
            </w:r>
            <w:r>
              <w:rPr>
                <w:rFonts w:hint="eastAsia"/>
                <w:bCs/>
                <w:color w:val="000000"/>
                <w:sz w:val="24"/>
                <w:lang w:eastAsia="zh-CN"/>
              </w:rPr>
              <w:t>、《</w:t>
            </w:r>
            <w:r>
              <w:rPr>
                <w:rFonts w:hint="eastAsia"/>
                <w:bCs/>
                <w:color w:val="000000"/>
                <w:sz w:val="24"/>
              </w:rPr>
              <w:t>洛阳市2024年碧水保卫战实施方案</w:t>
            </w:r>
            <w:r>
              <w:rPr>
                <w:rFonts w:hint="eastAsia"/>
                <w:bCs/>
                <w:color w:val="000000"/>
                <w:sz w:val="24"/>
                <w:lang w:eastAsia="zh-CN"/>
              </w:rPr>
              <w:t>》</w:t>
            </w:r>
            <w:r>
              <w:rPr>
                <w:rFonts w:hint="eastAsia"/>
                <w:bCs/>
                <w:color w:val="000000"/>
                <w:sz w:val="24"/>
              </w:rPr>
              <w:t>、</w:t>
            </w:r>
            <w:r>
              <w:rPr>
                <w:rFonts w:hint="eastAsia"/>
                <w:bCs/>
                <w:color w:val="000000"/>
                <w:sz w:val="24"/>
                <w:lang w:eastAsia="zh-CN"/>
              </w:rPr>
              <w:t>《</w:t>
            </w:r>
            <w:r>
              <w:rPr>
                <w:rFonts w:hint="eastAsia"/>
                <w:bCs/>
                <w:color w:val="000000"/>
                <w:sz w:val="24"/>
              </w:rPr>
              <w:t>洛阳市2024年净土保卫战实施方案</w:t>
            </w:r>
            <w:r>
              <w:rPr>
                <w:rFonts w:hint="eastAsia"/>
                <w:bCs/>
                <w:color w:val="000000"/>
                <w:sz w:val="24"/>
                <w:lang w:eastAsia="zh-CN"/>
              </w:rPr>
              <w:t>》</w:t>
            </w:r>
            <w:r>
              <w:rPr>
                <w:rFonts w:hint="eastAsia"/>
                <w:bCs/>
                <w:color w:val="000000"/>
                <w:sz w:val="24"/>
              </w:rPr>
              <w:t>、</w:t>
            </w:r>
            <w:r>
              <w:rPr>
                <w:rFonts w:hint="eastAsia"/>
                <w:bCs/>
                <w:color w:val="000000"/>
                <w:sz w:val="24"/>
                <w:lang w:eastAsia="zh-CN"/>
              </w:rPr>
              <w:t>《</w:t>
            </w:r>
            <w:r>
              <w:rPr>
                <w:rFonts w:hint="eastAsia"/>
                <w:bCs/>
                <w:color w:val="000000"/>
                <w:sz w:val="24"/>
              </w:rPr>
              <w:t>洛阳市2024年柴油货车污染治理攻坚战实施方案</w:t>
            </w:r>
            <w:r>
              <w:rPr>
                <w:rFonts w:hint="eastAsia"/>
                <w:bCs/>
                <w:color w:val="000000"/>
                <w:sz w:val="24"/>
                <w:lang w:eastAsia="zh-CN"/>
              </w:rPr>
              <w:t>》</w:t>
            </w:r>
            <w:r>
              <w:rPr>
                <w:rFonts w:hint="eastAsia"/>
                <w:bCs/>
                <w:color w:val="000000"/>
                <w:sz w:val="24"/>
              </w:rPr>
              <w:t>（洛环委办〔2024〕28号）等一系列措施，预计通过治理区域环境质量状况将逐步好转。</w:t>
            </w:r>
          </w:p>
          <w:p w14:paraId="02F7F444">
            <w:pPr>
              <w:pStyle w:val="63"/>
              <w:ind w:firstLine="480"/>
              <w:rPr>
                <w:rFonts w:hint="eastAsia" w:cs="Times New Roman"/>
                <w:b w:val="0"/>
                <w:bCs/>
                <w:color w:val="FF0000"/>
                <w:sz w:val="24"/>
                <w:szCs w:val="24"/>
                <w:lang w:val="en-US" w:eastAsia="zh-CN"/>
              </w:rPr>
            </w:pPr>
            <w:r>
              <w:rPr>
                <w:rFonts w:hint="eastAsia" w:cs="Times New Roman"/>
                <w:b w:val="0"/>
                <w:bCs/>
                <w:color w:val="auto"/>
                <w:sz w:val="24"/>
                <w:szCs w:val="24"/>
                <w:u w:val="single"/>
                <w:lang w:val="en-US" w:eastAsia="zh-CN"/>
              </w:rPr>
              <w:t>根据洛阳市生态环境局发布的《2023 年洛阳市生态环境状况公报》：2023年栾川县优良天数为 338 天，空气质量优良率达 92.6%，栾川县达到二级空气质量标准。项目所在区域属于达标区。</w:t>
            </w:r>
          </w:p>
          <w:p w14:paraId="3A815EA2">
            <w:pPr>
              <w:pStyle w:val="63"/>
              <w:ind w:firstLine="480"/>
              <w:rPr>
                <w:rFonts w:hint="eastAsia" w:ascii="Times New Roman" w:hAnsi="Times New Roman" w:eastAsia="黑体" w:cs="Times New Roman"/>
                <w:kern w:val="0"/>
                <w:sz w:val="24"/>
                <w:szCs w:val="21"/>
                <w:lang w:val="en-US" w:eastAsia="zh-CN" w:bidi="ar-SA"/>
              </w:rPr>
            </w:pPr>
            <w:r>
              <w:rPr>
                <w:rFonts w:hint="eastAsia" w:cs="Times New Roman"/>
                <w:b w:val="0"/>
                <w:bCs/>
                <w:sz w:val="24"/>
                <w:szCs w:val="24"/>
                <w:lang w:val="en-US" w:eastAsia="zh-CN"/>
              </w:rPr>
              <w:t>2、地表水环境</w:t>
            </w:r>
            <w:r>
              <w:rPr>
                <w:rFonts w:hint="eastAsia" w:cs="Times New Roman"/>
                <w:b w:val="0"/>
                <w:bCs/>
                <w:sz w:val="24"/>
                <w:szCs w:val="24"/>
                <w:lang w:val="en-US" w:eastAsia="zh-CN"/>
              </w:rPr>
              <w:br w:type="textWrapping"/>
            </w:r>
            <w:r>
              <w:rPr>
                <w:rFonts w:hint="eastAsia" w:cs="Times New Roman"/>
                <w:b w:val="0"/>
                <w:bCs/>
                <w:sz w:val="24"/>
                <w:szCs w:val="24"/>
                <w:lang w:val="en-US" w:eastAsia="zh-CN"/>
              </w:rPr>
              <w:t xml:space="preserve">   </w:t>
            </w:r>
            <w:r>
              <w:rPr>
                <w:rFonts w:hint="eastAsia" w:ascii="Times New Roman" w:hAnsi="Times New Roman" w:eastAsia="宋体" w:cs="Times New Roman"/>
                <w:b w:val="0"/>
                <w:bCs/>
                <w:sz w:val="24"/>
                <w:szCs w:val="24"/>
                <w:lang w:eastAsia="zh-CN"/>
              </w:rPr>
              <w:t>根据现场勘查，本项目所在</w:t>
            </w:r>
            <w:r>
              <w:rPr>
                <w:rFonts w:hint="eastAsia" w:ascii="Times New Roman" w:hAnsi="Times New Roman" w:eastAsia="宋体" w:cs="Times New Roman"/>
                <w:b w:val="0"/>
                <w:bCs/>
                <w:sz w:val="24"/>
                <w:szCs w:val="24"/>
                <w:lang w:val="en-US" w:eastAsia="zh-CN"/>
              </w:rPr>
              <w:t>区域地表水体为</w:t>
            </w:r>
            <w:r>
              <w:rPr>
                <w:rFonts w:hint="eastAsia" w:cs="Times New Roman"/>
                <w:b w:val="0"/>
                <w:bCs/>
                <w:sz w:val="24"/>
                <w:szCs w:val="24"/>
                <w:lang w:val="en-US" w:eastAsia="zh-CN"/>
              </w:rPr>
              <w:t>淯河</w:t>
            </w:r>
            <w:r>
              <w:rPr>
                <w:rFonts w:hint="eastAsia" w:ascii="Times New Roman" w:hAnsi="Times New Roman" w:eastAsia="宋体" w:cs="Times New Roman"/>
                <w:b w:val="0"/>
                <w:bCs/>
                <w:sz w:val="24"/>
                <w:szCs w:val="24"/>
                <w:lang w:val="en-US" w:eastAsia="zh-CN"/>
              </w:rPr>
              <w:t>，</w:t>
            </w:r>
            <w:r>
              <w:rPr>
                <w:rFonts w:hint="eastAsia" w:cs="Times New Roman"/>
                <w:b w:val="0"/>
                <w:bCs/>
                <w:sz w:val="24"/>
                <w:szCs w:val="24"/>
                <w:lang w:val="en-US" w:eastAsia="zh-CN"/>
              </w:rPr>
              <w:t>本项目位于淯河西北侧直线距离约3400m，</w:t>
            </w:r>
            <w:r>
              <w:rPr>
                <w:rFonts w:hint="eastAsia" w:ascii="Times New Roman" w:hAnsi="Times New Roman" w:eastAsia="宋体" w:cs="Times New Roman"/>
                <w:b w:val="0"/>
                <w:bCs/>
                <w:sz w:val="24"/>
                <w:szCs w:val="24"/>
                <w:lang w:val="en-US" w:eastAsia="zh-CN"/>
              </w:rPr>
              <w:t>为了解</w:t>
            </w:r>
            <w:r>
              <w:rPr>
                <w:rFonts w:hint="eastAsia" w:ascii="Times New Roman" w:hAnsi="Times New Roman" w:cs="Times New Roman"/>
                <w:b w:val="0"/>
                <w:bCs/>
                <w:sz w:val="24"/>
                <w:szCs w:val="24"/>
                <w:lang w:val="en-US" w:eastAsia="zh-CN"/>
              </w:rPr>
              <w:t>淯河</w:t>
            </w:r>
            <w:r>
              <w:rPr>
                <w:rFonts w:hint="eastAsia" w:ascii="Times New Roman" w:hAnsi="Times New Roman" w:eastAsia="宋体" w:cs="Times New Roman"/>
                <w:b w:val="0"/>
                <w:bCs/>
                <w:sz w:val="24"/>
                <w:szCs w:val="24"/>
                <w:lang w:val="en-US" w:eastAsia="zh-CN"/>
              </w:rPr>
              <w:t>水质现状，</w:t>
            </w:r>
            <w:r>
              <w:rPr>
                <w:rFonts w:hint="default" w:ascii="Times New Roman" w:hAnsi="Times New Roman" w:eastAsia="宋体" w:cs="Times New Roman"/>
                <w:b w:val="0"/>
                <w:bCs/>
                <w:spacing w:val="0"/>
                <w:sz w:val="24"/>
                <w:szCs w:val="24"/>
                <w:u w:val="none"/>
              </w:rPr>
              <w:t>本次评价根据</w:t>
            </w:r>
            <w:r>
              <w:rPr>
                <w:rFonts w:hint="default" w:ascii="Times New Roman" w:hAnsi="Times New Roman" w:eastAsia="宋体" w:cs="Times New Roman"/>
                <w:b w:val="0"/>
                <w:bCs/>
                <w:spacing w:val="0"/>
                <w:sz w:val="24"/>
                <w:szCs w:val="24"/>
                <w:u w:val="none"/>
                <w:lang w:eastAsia="zh-CN"/>
              </w:rPr>
              <w:t>栾川县环境保护监测站</w:t>
            </w:r>
            <w:r>
              <w:rPr>
                <w:rFonts w:hint="default" w:ascii="Times New Roman" w:hAnsi="Times New Roman" w:eastAsia="宋体" w:cs="Times New Roman"/>
                <w:b w:val="0"/>
                <w:bCs/>
                <w:spacing w:val="0"/>
                <w:sz w:val="24"/>
                <w:szCs w:val="24"/>
                <w:u w:val="none"/>
                <w:lang w:val="en-US" w:eastAsia="zh-CN"/>
              </w:rPr>
              <w:t>202</w:t>
            </w:r>
            <w:r>
              <w:rPr>
                <w:rFonts w:hint="eastAsia" w:cs="Times New Roman"/>
                <w:b w:val="0"/>
                <w:bCs/>
                <w:spacing w:val="0"/>
                <w:sz w:val="24"/>
                <w:szCs w:val="24"/>
                <w:u w:val="none"/>
                <w:lang w:val="en-US" w:eastAsia="zh-CN"/>
              </w:rPr>
              <w:t>2</w:t>
            </w:r>
            <w:r>
              <w:rPr>
                <w:rFonts w:hint="default" w:ascii="Times New Roman" w:hAnsi="Times New Roman" w:eastAsia="宋体" w:cs="Times New Roman"/>
                <w:b w:val="0"/>
                <w:bCs/>
                <w:spacing w:val="0"/>
                <w:sz w:val="24"/>
                <w:szCs w:val="24"/>
                <w:u w:val="none"/>
              </w:rPr>
              <w:t>年</w:t>
            </w:r>
            <w:r>
              <w:rPr>
                <w:rFonts w:hint="default" w:ascii="Times New Roman" w:hAnsi="Times New Roman" w:eastAsia="宋体" w:cs="Times New Roman"/>
                <w:b w:val="0"/>
                <w:bCs/>
                <w:spacing w:val="0"/>
                <w:sz w:val="24"/>
                <w:szCs w:val="24"/>
                <w:u w:val="none"/>
                <w:lang w:eastAsia="zh-CN"/>
              </w:rPr>
              <w:t>对</w:t>
            </w:r>
            <w:r>
              <w:rPr>
                <w:rFonts w:hint="eastAsia" w:ascii="Times New Roman" w:hAnsi="Times New Roman" w:eastAsia="宋体" w:cs="Times New Roman"/>
                <w:b w:val="0"/>
                <w:bCs/>
                <w:spacing w:val="0"/>
                <w:sz w:val="24"/>
                <w:szCs w:val="24"/>
                <w:u w:val="none"/>
                <w:lang w:val="en-US" w:eastAsia="zh-CN"/>
              </w:rPr>
              <w:t>三川</w:t>
            </w:r>
            <w:r>
              <w:rPr>
                <w:rFonts w:hint="default" w:ascii="Times New Roman" w:hAnsi="Times New Roman" w:eastAsia="宋体" w:cs="Times New Roman"/>
                <w:b w:val="0"/>
                <w:bCs/>
                <w:spacing w:val="0"/>
                <w:sz w:val="24"/>
                <w:szCs w:val="24"/>
                <w:u w:val="none"/>
                <w:lang w:eastAsia="zh-CN"/>
              </w:rPr>
              <w:t>镇</w:t>
            </w:r>
            <w:r>
              <w:rPr>
                <w:rFonts w:hint="eastAsia" w:ascii="Times New Roman" w:hAnsi="Times New Roman" w:eastAsia="宋体" w:cs="Times New Roman"/>
                <w:b w:val="0"/>
                <w:bCs/>
                <w:spacing w:val="0"/>
                <w:sz w:val="24"/>
                <w:szCs w:val="24"/>
                <w:u w:val="none"/>
                <w:lang w:val="en-US" w:eastAsia="zh-CN"/>
              </w:rPr>
              <w:t>淯河大红</w:t>
            </w:r>
            <w:r>
              <w:rPr>
                <w:rFonts w:hint="default" w:ascii="Times New Roman" w:hAnsi="Times New Roman" w:eastAsia="宋体" w:cs="Times New Roman"/>
                <w:b w:val="0"/>
                <w:bCs/>
                <w:spacing w:val="0"/>
                <w:sz w:val="24"/>
                <w:szCs w:val="24"/>
                <w:u w:val="none"/>
              </w:rPr>
              <w:t>断面</w:t>
            </w:r>
            <w:r>
              <w:rPr>
                <w:rFonts w:hint="default" w:ascii="Times New Roman" w:hAnsi="Times New Roman" w:eastAsia="宋体" w:cs="Times New Roman"/>
                <w:b w:val="0"/>
                <w:bCs/>
                <w:spacing w:val="0"/>
                <w:sz w:val="24"/>
                <w:szCs w:val="24"/>
                <w:u w:val="none"/>
                <w:lang w:eastAsia="zh-CN"/>
              </w:rPr>
              <w:t>（</w:t>
            </w:r>
            <w:r>
              <w:rPr>
                <w:rFonts w:hint="default" w:ascii="Times New Roman" w:hAnsi="Times New Roman" w:eastAsia="宋体" w:cs="Times New Roman"/>
                <w:b w:val="0"/>
                <w:bCs/>
                <w:spacing w:val="0"/>
                <w:sz w:val="24"/>
                <w:szCs w:val="24"/>
                <w:u w:val="none"/>
                <w:lang w:val="en-US" w:eastAsia="zh-CN"/>
              </w:rPr>
              <w:t>1-12月</w:t>
            </w:r>
            <w:r>
              <w:rPr>
                <w:rFonts w:hint="default" w:ascii="Times New Roman" w:hAnsi="Times New Roman" w:eastAsia="宋体" w:cs="Times New Roman"/>
                <w:b w:val="0"/>
                <w:bCs/>
                <w:spacing w:val="0"/>
                <w:sz w:val="24"/>
                <w:szCs w:val="24"/>
                <w:u w:val="none"/>
                <w:lang w:eastAsia="zh-CN"/>
              </w:rPr>
              <w:t>）的</w:t>
            </w:r>
            <w:r>
              <w:rPr>
                <w:rFonts w:hint="default" w:ascii="Times New Roman" w:hAnsi="Times New Roman" w:eastAsia="宋体" w:cs="Times New Roman"/>
                <w:b w:val="0"/>
                <w:bCs/>
                <w:spacing w:val="0"/>
                <w:sz w:val="24"/>
                <w:szCs w:val="24"/>
                <w:u w:val="none"/>
              </w:rPr>
              <w:t>监测数据</w:t>
            </w:r>
            <w:r>
              <w:rPr>
                <w:rFonts w:hint="eastAsia" w:ascii="Times New Roman" w:hAnsi="Times New Roman" w:eastAsia="宋体" w:cs="Times New Roman"/>
                <w:b w:val="0"/>
                <w:bCs/>
                <w:spacing w:val="0"/>
                <w:sz w:val="24"/>
                <w:szCs w:val="24"/>
                <w:u w:val="none"/>
                <w:lang w:eastAsia="zh-CN"/>
              </w:rPr>
              <w:t>，</w:t>
            </w:r>
            <w:r>
              <w:rPr>
                <w:rFonts w:hint="eastAsia" w:ascii="Times New Roman" w:hAnsi="Times New Roman" w:eastAsia="宋体" w:cs="Times New Roman"/>
                <w:b w:val="0"/>
                <w:bCs/>
                <w:spacing w:val="0"/>
                <w:sz w:val="24"/>
                <w:szCs w:val="24"/>
                <w:u w:val="none"/>
                <w:lang w:val="en-US" w:eastAsia="zh-CN"/>
              </w:rPr>
              <w:t>该监测断面位于拟建</w:t>
            </w:r>
            <w:r>
              <w:rPr>
                <w:rFonts w:hint="eastAsia" w:cs="Times New Roman"/>
                <w:b w:val="0"/>
                <w:bCs/>
                <w:spacing w:val="0"/>
                <w:sz w:val="24"/>
                <w:szCs w:val="24"/>
                <w:u w:val="none"/>
                <w:lang w:val="en-US" w:eastAsia="zh-CN"/>
              </w:rPr>
              <w:t>项目</w:t>
            </w:r>
            <w:r>
              <w:rPr>
                <w:rFonts w:hint="eastAsia" w:ascii="Times New Roman" w:hAnsi="Times New Roman" w:eastAsia="宋体" w:cs="Times New Roman"/>
                <w:b w:val="0"/>
                <w:bCs/>
                <w:spacing w:val="0"/>
                <w:sz w:val="24"/>
                <w:szCs w:val="24"/>
                <w:u w:val="none"/>
                <w:lang w:val="en-US" w:eastAsia="zh-CN"/>
              </w:rPr>
              <w:t>下游，为栾川县县控断面，能较好的</w:t>
            </w:r>
            <w:r>
              <w:rPr>
                <w:rFonts w:hint="default" w:ascii="Times New Roman" w:hAnsi="Times New Roman" w:eastAsia="宋体" w:cs="Times New Roman"/>
                <w:b w:val="0"/>
                <w:bCs/>
                <w:spacing w:val="0"/>
                <w:sz w:val="24"/>
                <w:szCs w:val="24"/>
                <w:u w:val="none"/>
              </w:rPr>
              <w:t>说明项目区域地表水水质情况，具体监测数据见下表</w:t>
            </w:r>
            <w:r>
              <w:rPr>
                <w:rFonts w:hint="default" w:ascii="Times New Roman" w:hAnsi="Times New Roman" w:eastAsia="宋体" w:cs="Times New Roman"/>
                <w:b w:val="0"/>
                <w:bCs/>
                <w:spacing w:val="0"/>
                <w:sz w:val="24"/>
                <w:szCs w:val="24"/>
                <w:u w:val="none"/>
                <w:lang w:eastAsia="zh-CN"/>
              </w:rPr>
              <w:t>。</w:t>
            </w:r>
            <w:r>
              <w:rPr>
                <w:rFonts w:hint="default" w:ascii="Times New Roman" w:hAnsi="Times New Roman" w:eastAsia="宋体" w:cs="Times New Roman"/>
                <w:b w:val="0"/>
                <w:bCs/>
                <w:spacing w:val="0"/>
                <w:sz w:val="24"/>
                <w:szCs w:val="24"/>
                <w:u w:val="none"/>
                <w:lang w:eastAsia="zh-CN"/>
              </w:rPr>
              <w:br w:type="textWrapping"/>
            </w:r>
            <w:r>
              <w:rPr>
                <w:rFonts w:hint="eastAsia" w:ascii="Times New Roman" w:hAnsi="Times New Roman" w:eastAsia="宋体" w:cs="Times New Roman"/>
                <w:b w:val="0"/>
                <w:bCs/>
                <w:spacing w:val="0"/>
                <w:sz w:val="24"/>
                <w:szCs w:val="24"/>
                <w:u w:val="none"/>
                <w:lang w:val="en-US" w:eastAsia="zh-CN"/>
              </w:rPr>
              <w:t xml:space="preserve">       </w:t>
            </w:r>
            <w:r>
              <w:rPr>
                <w:rFonts w:hint="eastAsia" w:ascii="Times New Roman" w:hAnsi="Times New Roman" w:eastAsia="黑体" w:cs="Times New Roman"/>
                <w:kern w:val="0"/>
                <w:sz w:val="24"/>
                <w:szCs w:val="21"/>
                <w:lang w:val="en-US" w:eastAsia="zh-CN" w:bidi="ar-SA"/>
              </w:rPr>
              <w:t xml:space="preserve">  表3-2     三川镇淯河大红断面监测数据一览表</w:t>
            </w:r>
            <w:r>
              <w:rPr>
                <w:rFonts w:hint="eastAsia" w:ascii="Times New Roman" w:hAnsi="Times New Roman" w:eastAsia="黑体" w:cs="Times New Roman"/>
                <w:kern w:val="0"/>
                <w:sz w:val="24"/>
                <w:szCs w:val="21"/>
                <w:lang w:val="en-US" w:eastAsia="zh-CN" w:bidi="ar-SA"/>
              </w:rPr>
              <w:tab/>
            </w:r>
            <w:r>
              <w:rPr>
                <w:rFonts w:hint="eastAsia" w:ascii="Times New Roman" w:hAnsi="Times New Roman" w:eastAsia="黑体" w:cs="Times New Roman"/>
                <w:kern w:val="0"/>
                <w:sz w:val="24"/>
                <w:szCs w:val="21"/>
                <w:lang w:val="en-US" w:eastAsia="zh-CN" w:bidi="ar-SA"/>
              </w:rPr>
              <w:t xml:space="preserve"> 单位：</w:t>
            </w:r>
            <w:r>
              <w:rPr>
                <w:rFonts w:hint="default" w:ascii="Times New Roman" w:hAnsi="Times New Roman" w:eastAsia="黑体" w:cs="Times New Roman"/>
                <w:kern w:val="0"/>
                <w:sz w:val="24"/>
                <w:szCs w:val="21"/>
                <w:lang w:val="en-US" w:eastAsia="zh-CN" w:bidi="ar-SA"/>
              </w:rPr>
              <w:t>mg/L</w:t>
            </w:r>
          </w:p>
          <w:tbl>
            <w:tblPr>
              <w:tblStyle w:val="32"/>
              <w:tblW w:w="8213" w:type="dxa"/>
              <w:tblInd w:w="-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15"/>
              <w:gridCol w:w="551"/>
              <w:gridCol w:w="594"/>
              <w:gridCol w:w="545"/>
              <w:gridCol w:w="478"/>
              <w:gridCol w:w="539"/>
              <w:gridCol w:w="742"/>
              <w:gridCol w:w="438"/>
              <w:gridCol w:w="520"/>
              <w:gridCol w:w="629"/>
              <w:gridCol w:w="611"/>
              <w:gridCol w:w="683"/>
              <w:gridCol w:w="465"/>
              <w:gridCol w:w="465"/>
              <w:gridCol w:w="538"/>
            </w:tblGrid>
            <w:tr w14:paraId="071716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4" w:hRule="atLeast"/>
              </w:trPr>
              <w:tc>
                <w:tcPr>
                  <w:tcW w:w="415" w:type="dxa"/>
                  <w:tcBorders>
                    <w:tl2br w:val="nil"/>
                    <w:tr2bl w:val="nil"/>
                  </w:tcBorders>
                  <w:noWrap w:val="0"/>
                  <w:vAlign w:val="center"/>
                </w:tcPr>
                <w:p w14:paraId="211C7BB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ascii="Times New Roman" w:hAnsi="Times New Roman" w:cs="Times New Roman"/>
                      <w:spacing w:val="0"/>
                      <w:sz w:val="21"/>
                      <w:szCs w:val="21"/>
                      <w:u w:val="none"/>
                      <w:vertAlign w:val="baseline"/>
                      <w:lang w:eastAsia="zh-CN"/>
                    </w:rPr>
                    <w:t>采样地点</w:t>
                  </w:r>
                </w:p>
              </w:tc>
              <w:tc>
                <w:tcPr>
                  <w:tcW w:w="1145" w:type="dxa"/>
                  <w:gridSpan w:val="2"/>
                  <w:tcBorders>
                    <w:tl2br w:val="nil"/>
                    <w:tr2bl w:val="nil"/>
                  </w:tcBorders>
                  <w:noWrap w:val="0"/>
                  <w:vAlign w:val="center"/>
                  <mc:AlternateContent>
                    <mc:Choice Requires="wpsCustomData">
                      <wpsCustomData:diagonals>
                        <wpsCustomData:diagonal from="10000" to="34100">
                          <wpsCustomData:border w:val="single" w:color="auto" w:sz="12" w:space="0"/>
                        </wpsCustomData:diagonal>
                        <wpsCustomData:diagonal from="10000" to="25400">
                          <wpsCustomData:border w:val="single" w:color="auto" w:sz="12" w:space="0"/>
                        </wpsCustomData:diagonal>
                      </wpsCustomData:diagonals>
                    </mc:Choice>
                  </mc:AlternateContent>
                </w:tcPr>
                <w:p w14:paraId="37BB838C">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mc:AlternateContent>
                      <mc:Choice Requires="wpsCustomData">
                        <wpsCustomData:diagonalParaType/>
                      </mc:Choice>
                    </mc:AlternateContent>
                    <w:rPr>
                      <w:rFonts w:hint="eastAsia" w:ascii="Times New Roman" w:hAnsi="Times New Roman" w:eastAsia="宋体" w:cs="Times New Roman"/>
                      <w:spacing w:val="0"/>
                      <w:sz w:val="21"/>
                      <w:szCs w:val="21"/>
                      <w:u w:val="none"/>
                      <w:vertAlign w:val="baseline"/>
                      <w:lang w:eastAsia="zh-CN"/>
                    </w:rPr>
                  </w:pPr>
                  <w:r>
                    <w:rPr>
                      <w:rFonts w:hint="eastAsia" w:ascii="Times New Roman" w:hAnsi="Times New Roman" w:cs="Times New Roman"/>
                      <w:spacing w:val="0"/>
                      <w:sz w:val="21"/>
                      <w:szCs w:val="21"/>
                      <w:u w:val="none"/>
                      <w:vertAlign w:val="baseline"/>
                      <w:lang w:eastAsia="zh-CN"/>
                    </w:rPr>
                    <w:t>时间</w:t>
                  </w:r>
                </w:p>
                <w:p w14:paraId="2335EEE9">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mc:AlternateContent>
                      <mc:Choice Requires="wpsCustomData">
                        <wpsCustomData:diagonalParaType/>
                      </mc:Choice>
                    </mc:AlternateContent>
                    <w:rPr>
                      <w:rFonts w:hint="eastAsia" w:ascii="Times New Roman" w:hAnsi="Times New Roman" w:eastAsia="宋体" w:cs="Times New Roman"/>
                      <w:spacing w:val="0"/>
                      <w:sz w:val="21"/>
                      <w:szCs w:val="21"/>
                      <w:u w:val="none"/>
                      <w:vertAlign w:val="baseline"/>
                      <w:lang w:eastAsia="zh-CN"/>
                    </w:rPr>
                  </w:pPr>
                  <w:r>
                    <w:rPr>
                      <w:rFonts w:hint="eastAsia" w:ascii="Times New Roman" w:hAnsi="Times New Roman" w:cs="Times New Roman"/>
                      <w:spacing w:val="0"/>
                      <w:sz w:val="21"/>
                      <w:szCs w:val="21"/>
                      <w:u w:val="none"/>
                      <w:vertAlign w:val="baseline"/>
                      <w:lang w:eastAsia="zh-CN"/>
                    </w:rPr>
                    <w:t>结果</w:t>
                  </w:r>
                </w:p>
                <w:p w14:paraId="6FEFF50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ascii="Times New Roman" w:hAnsi="Times New Roman" w:cs="Times New Roman"/>
                      <w:spacing w:val="0"/>
                      <w:sz w:val="21"/>
                      <w:szCs w:val="21"/>
                      <w:u w:val="none"/>
                      <w:vertAlign w:val="baseline"/>
                      <w:lang w:eastAsia="zh-CN"/>
                    </w:rPr>
                    <w:t>项目</w:t>
                  </w:r>
                </w:p>
              </w:tc>
              <w:tc>
                <w:tcPr>
                  <w:tcW w:w="545" w:type="dxa"/>
                  <w:tcBorders>
                    <w:tl2br w:val="nil"/>
                    <w:tr2bl w:val="nil"/>
                  </w:tcBorders>
                  <w:noWrap w:val="0"/>
                  <w:vAlign w:val="center"/>
                </w:tcPr>
                <w:p w14:paraId="14F86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default"/>
                      <w:bCs/>
                      <w:sz w:val="21"/>
                      <w:szCs w:val="21"/>
                    </w:rPr>
                    <w:t>pH</w:t>
                  </w:r>
                </w:p>
              </w:tc>
              <w:tc>
                <w:tcPr>
                  <w:tcW w:w="478" w:type="dxa"/>
                  <w:tcBorders>
                    <w:tl2br w:val="nil"/>
                    <w:tr2bl w:val="nil"/>
                  </w:tcBorders>
                  <w:noWrap w:val="0"/>
                  <w:vAlign w:val="center"/>
                </w:tcPr>
                <w:p w14:paraId="49419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lang w:val="en-US" w:eastAsia="zh-CN"/>
                    </w:rPr>
                    <w:t>COD</w:t>
                  </w:r>
                </w:p>
              </w:tc>
              <w:tc>
                <w:tcPr>
                  <w:tcW w:w="539" w:type="dxa"/>
                  <w:tcBorders>
                    <w:tl2br w:val="nil"/>
                    <w:tr2bl w:val="nil"/>
                  </w:tcBorders>
                  <w:noWrap w:val="0"/>
                  <w:vAlign w:val="center"/>
                </w:tcPr>
                <w:p w14:paraId="33C4F7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铜</w:t>
                  </w:r>
                </w:p>
              </w:tc>
              <w:tc>
                <w:tcPr>
                  <w:tcW w:w="742" w:type="dxa"/>
                  <w:tcBorders>
                    <w:tl2br w:val="nil"/>
                    <w:tr2bl w:val="nil"/>
                  </w:tcBorders>
                  <w:noWrap w:val="0"/>
                  <w:vAlign w:val="center"/>
                </w:tcPr>
                <w:p w14:paraId="08C961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铅</w:t>
                  </w:r>
                </w:p>
              </w:tc>
              <w:tc>
                <w:tcPr>
                  <w:tcW w:w="438" w:type="dxa"/>
                  <w:tcBorders>
                    <w:tl2br w:val="nil"/>
                    <w:tr2bl w:val="nil"/>
                  </w:tcBorders>
                  <w:noWrap w:val="0"/>
                  <w:vAlign w:val="center"/>
                </w:tcPr>
                <w:p w14:paraId="02E4E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锌</w:t>
                  </w:r>
                </w:p>
              </w:tc>
              <w:tc>
                <w:tcPr>
                  <w:tcW w:w="520" w:type="dxa"/>
                  <w:tcBorders>
                    <w:tl2br w:val="nil"/>
                    <w:tr2bl w:val="nil"/>
                  </w:tcBorders>
                  <w:noWrap w:val="0"/>
                  <w:vAlign w:val="center"/>
                </w:tcPr>
                <w:p w14:paraId="1AF89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镉</w:t>
                  </w:r>
                </w:p>
              </w:tc>
              <w:tc>
                <w:tcPr>
                  <w:tcW w:w="629" w:type="dxa"/>
                  <w:tcBorders>
                    <w:tl2br w:val="nil"/>
                    <w:tr2bl w:val="nil"/>
                  </w:tcBorders>
                  <w:noWrap w:val="0"/>
                  <w:vAlign w:val="center"/>
                </w:tcPr>
                <w:p w14:paraId="72373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氨氮</w:t>
                  </w:r>
                </w:p>
              </w:tc>
              <w:tc>
                <w:tcPr>
                  <w:tcW w:w="611" w:type="dxa"/>
                  <w:tcBorders>
                    <w:tl2br w:val="nil"/>
                    <w:tr2bl w:val="nil"/>
                  </w:tcBorders>
                  <w:noWrap w:val="0"/>
                  <w:vAlign w:val="center"/>
                </w:tcPr>
                <w:p w14:paraId="01529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砷</w:t>
                  </w:r>
                </w:p>
              </w:tc>
              <w:tc>
                <w:tcPr>
                  <w:tcW w:w="683" w:type="dxa"/>
                  <w:tcBorders>
                    <w:tl2br w:val="nil"/>
                    <w:tr2bl w:val="nil"/>
                  </w:tcBorders>
                  <w:noWrap w:val="0"/>
                  <w:vAlign w:val="center"/>
                </w:tcPr>
                <w:p w14:paraId="506AD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汞</w:t>
                  </w:r>
                </w:p>
              </w:tc>
              <w:tc>
                <w:tcPr>
                  <w:tcW w:w="465" w:type="dxa"/>
                  <w:tcBorders>
                    <w:tl2br w:val="nil"/>
                    <w:tr2bl w:val="nil"/>
                  </w:tcBorders>
                  <w:noWrap w:val="0"/>
                  <w:vAlign w:val="center"/>
                </w:tcPr>
                <w:p w14:paraId="0ACBF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硒</w:t>
                  </w:r>
                </w:p>
              </w:tc>
              <w:tc>
                <w:tcPr>
                  <w:tcW w:w="465" w:type="dxa"/>
                  <w:tcBorders>
                    <w:tl2br w:val="nil"/>
                    <w:tr2bl w:val="nil"/>
                  </w:tcBorders>
                  <w:noWrap w:val="0"/>
                  <w:vAlign w:val="center"/>
                </w:tcPr>
                <w:p w14:paraId="243EE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六价铬</w:t>
                  </w:r>
                </w:p>
              </w:tc>
              <w:tc>
                <w:tcPr>
                  <w:tcW w:w="538" w:type="dxa"/>
                  <w:tcBorders>
                    <w:tl2br w:val="nil"/>
                    <w:tr2bl w:val="nil"/>
                  </w:tcBorders>
                  <w:noWrap w:val="0"/>
                  <w:vAlign w:val="center"/>
                </w:tcPr>
                <w:p w14:paraId="205AC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bCs/>
                      <w:sz w:val="21"/>
                      <w:szCs w:val="21"/>
                    </w:rPr>
                    <w:t>总磷</w:t>
                  </w:r>
                </w:p>
              </w:tc>
            </w:tr>
            <w:tr w14:paraId="713FC2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415" w:type="dxa"/>
                  <w:vMerge w:val="restart"/>
                  <w:tcBorders>
                    <w:tl2br w:val="nil"/>
                    <w:tr2bl w:val="nil"/>
                  </w:tcBorders>
                  <w:noWrap w:val="0"/>
                  <w:vAlign w:val="center"/>
                </w:tcPr>
                <w:p w14:paraId="6916E51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三川</w:t>
                  </w:r>
                  <w:r>
                    <w:rPr>
                      <w:rFonts w:hint="eastAsia"/>
                      <w:sz w:val="18"/>
                      <w:szCs w:val="18"/>
                    </w:rPr>
                    <w:t>镇</w:t>
                  </w:r>
                  <w:r>
                    <w:rPr>
                      <w:rFonts w:hint="eastAsia"/>
                      <w:sz w:val="18"/>
                      <w:szCs w:val="18"/>
                      <w:lang w:val="en-US" w:eastAsia="zh-CN"/>
                    </w:rPr>
                    <w:t>大红</w:t>
                  </w:r>
                  <w:r>
                    <w:rPr>
                      <w:rFonts w:hint="eastAsia"/>
                      <w:sz w:val="18"/>
                      <w:szCs w:val="18"/>
                    </w:rPr>
                    <w:t>断面</w:t>
                  </w:r>
                </w:p>
              </w:tc>
              <w:tc>
                <w:tcPr>
                  <w:tcW w:w="551" w:type="dxa"/>
                  <w:vMerge w:val="restart"/>
                  <w:tcBorders>
                    <w:tl2br w:val="nil"/>
                    <w:tr2bl w:val="nil"/>
                  </w:tcBorders>
                  <w:noWrap w:val="0"/>
                  <w:vAlign w:val="center"/>
                </w:tcPr>
                <w:p w14:paraId="6C4A88B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cs="Times New Roman"/>
                      <w:spacing w:val="0"/>
                      <w:sz w:val="21"/>
                      <w:szCs w:val="21"/>
                      <w:u w:val="none"/>
                      <w:vertAlign w:val="baseline"/>
                      <w:lang w:val="en-US" w:eastAsia="zh-CN"/>
                    </w:rPr>
                  </w:pPr>
                  <w:r>
                    <w:rPr>
                      <w:rFonts w:hint="eastAsia" w:ascii="Times New Roman" w:hAnsi="Times New Roman" w:cs="Times New Roman"/>
                      <w:spacing w:val="0"/>
                      <w:sz w:val="21"/>
                      <w:szCs w:val="21"/>
                      <w:u w:val="none"/>
                      <w:vertAlign w:val="baseline"/>
                      <w:lang w:val="en-US" w:eastAsia="zh-CN"/>
                    </w:rPr>
                    <w:t>20</w:t>
                  </w:r>
                </w:p>
                <w:p w14:paraId="726D69B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spacing w:val="0"/>
                      <w:sz w:val="21"/>
                      <w:szCs w:val="21"/>
                      <w:u w:val="none"/>
                      <w:vertAlign w:val="baseline"/>
                      <w:lang w:val="en-US" w:eastAsia="zh-CN"/>
                    </w:rPr>
                  </w:pPr>
                  <w:r>
                    <w:rPr>
                      <w:rFonts w:hint="eastAsia" w:ascii="Times New Roman" w:hAnsi="Times New Roman" w:cs="Times New Roman"/>
                      <w:spacing w:val="0"/>
                      <w:sz w:val="21"/>
                      <w:szCs w:val="21"/>
                      <w:u w:val="none"/>
                      <w:vertAlign w:val="baseline"/>
                      <w:lang w:val="en-US" w:eastAsia="zh-CN"/>
                    </w:rPr>
                    <w:t>2</w:t>
                  </w:r>
                  <w:r>
                    <w:rPr>
                      <w:rFonts w:hint="eastAsia" w:cs="Times New Roman"/>
                      <w:spacing w:val="0"/>
                      <w:sz w:val="21"/>
                      <w:szCs w:val="21"/>
                      <w:u w:val="none"/>
                      <w:vertAlign w:val="baseline"/>
                      <w:lang w:val="en-US" w:eastAsia="zh-CN"/>
                    </w:rPr>
                    <w:t>2</w:t>
                  </w:r>
                  <w:r>
                    <w:rPr>
                      <w:rFonts w:hint="eastAsia" w:ascii="Times New Roman" w:hAnsi="Times New Roman" w:cs="Times New Roman"/>
                      <w:spacing w:val="0"/>
                      <w:sz w:val="21"/>
                      <w:szCs w:val="21"/>
                      <w:u w:val="none"/>
                      <w:vertAlign w:val="baseline"/>
                      <w:lang w:val="en-US" w:eastAsia="zh-CN"/>
                    </w:rPr>
                    <w:t>年</w:t>
                  </w:r>
                </w:p>
              </w:tc>
              <w:tc>
                <w:tcPr>
                  <w:tcW w:w="594" w:type="dxa"/>
                  <w:tcBorders>
                    <w:tl2br w:val="nil"/>
                    <w:tr2bl w:val="nil"/>
                  </w:tcBorders>
                  <w:noWrap w:val="0"/>
                  <w:vAlign w:val="center"/>
                </w:tcPr>
                <w:p w14:paraId="2D565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18"/>
                      <w:szCs w:val="18"/>
                      <w:lang w:val="en-US" w:eastAsia="zh-CN" w:bidi="ar-SA"/>
                    </w:rPr>
                  </w:pPr>
                  <w:r>
                    <w:rPr>
                      <w:rFonts w:hint="eastAsia"/>
                      <w:sz w:val="18"/>
                      <w:szCs w:val="18"/>
                    </w:rPr>
                    <w:t>1月</w:t>
                  </w:r>
                </w:p>
              </w:tc>
              <w:tc>
                <w:tcPr>
                  <w:tcW w:w="545" w:type="dxa"/>
                  <w:tcBorders>
                    <w:tl2br w:val="nil"/>
                    <w:tr2bl w:val="nil"/>
                  </w:tcBorders>
                  <w:noWrap w:val="0"/>
                  <w:vAlign w:val="center"/>
                </w:tcPr>
                <w:p w14:paraId="686889D9">
                  <w:pPr>
                    <w:jc w:val="center"/>
                    <w:rPr>
                      <w:rFonts w:hint="eastAsia" w:ascii="Times New Roman" w:hAnsi="Times New Roman" w:eastAsia="宋体" w:cs="Times New Roman"/>
                      <w:kern w:val="2"/>
                      <w:sz w:val="18"/>
                      <w:szCs w:val="18"/>
                      <w:lang w:val="en-US" w:eastAsia="zh-CN" w:bidi="ar-SA"/>
                    </w:rPr>
                  </w:pPr>
                  <w:r>
                    <w:rPr>
                      <w:rFonts w:hint="eastAsia"/>
                      <w:sz w:val="18"/>
                      <w:szCs w:val="18"/>
                    </w:rPr>
                    <w:t>7.9</w:t>
                  </w:r>
                </w:p>
              </w:tc>
              <w:tc>
                <w:tcPr>
                  <w:tcW w:w="478" w:type="dxa"/>
                  <w:tcBorders>
                    <w:tl2br w:val="nil"/>
                    <w:tr2bl w:val="nil"/>
                  </w:tcBorders>
                  <w:noWrap w:val="0"/>
                  <w:vAlign w:val="center"/>
                </w:tcPr>
                <w:p w14:paraId="11FFA2A4">
                  <w:pPr>
                    <w:jc w:val="center"/>
                    <w:rPr>
                      <w:rFonts w:hint="eastAsia" w:ascii="Times New Roman" w:hAnsi="Times New Roman" w:eastAsia="宋体" w:cs="Times New Roman"/>
                      <w:kern w:val="2"/>
                      <w:sz w:val="18"/>
                      <w:szCs w:val="18"/>
                      <w:lang w:val="en-US" w:eastAsia="zh-CN" w:bidi="ar-SA"/>
                    </w:rPr>
                  </w:pPr>
                  <w:r>
                    <w:rPr>
                      <w:rFonts w:hint="eastAsia"/>
                      <w:sz w:val="18"/>
                      <w:szCs w:val="18"/>
                    </w:rPr>
                    <w:t>7</w:t>
                  </w:r>
                </w:p>
              </w:tc>
              <w:tc>
                <w:tcPr>
                  <w:tcW w:w="539" w:type="dxa"/>
                  <w:tcBorders>
                    <w:tl2br w:val="nil"/>
                    <w:tr2bl w:val="nil"/>
                  </w:tcBorders>
                  <w:noWrap w:val="0"/>
                  <w:vAlign w:val="center"/>
                </w:tcPr>
                <w:p w14:paraId="4030E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6B58A9DA">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38" w:type="dxa"/>
                  <w:tcBorders>
                    <w:tl2br w:val="nil"/>
                    <w:tr2bl w:val="nil"/>
                  </w:tcBorders>
                  <w:noWrap w:val="0"/>
                  <w:vAlign w:val="center"/>
                </w:tcPr>
                <w:p w14:paraId="3C89FD78">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3F6041BE">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29" w:type="dxa"/>
                  <w:tcBorders>
                    <w:tl2br w:val="nil"/>
                    <w:tr2bl w:val="nil"/>
                  </w:tcBorders>
                  <w:noWrap w:val="0"/>
                  <w:vAlign w:val="center"/>
                </w:tcPr>
                <w:p w14:paraId="71C3B8C1">
                  <w:pPr>
                    <w:jc w:val="center"/>
                    <w:rPr>
                      <w:rFonts w:hint="eastAsia" w:ascii="Times New Roman" w:hAnsi="Times New Roman" w:eastAsia="宋体" w:cs="Times New Roman"/>
                      <w:kern w:val="2"/>
                      <w:sz w:val="18"/>
                      <w:szCs w:val="18"/>
                      <w:lang w:val="en-US" w:eastAsia="zh-CN" w:bidi="ar-SA"/>
                    </w:rPr>
                  </w:pPr>
                  <w:r>
                    <w:rPr>
                      <w:rFonts w:hint="eastAsia"/>
                      <w:sz w:val="18"/>
                      <w:szCs w:val="18"/>
                    </w:rPr>
                    <w:t>0.351</w:t>
                  </w:r>
                </w:p>
              </w:tc>
              <w:tc>
                <w:tcPr>
                  <w:tcW w:w="611" w:type="dxa"/>
                  <w:tcBorders>
                    <w:tl2br w:val="nil"/>
                    <w:tr2bl w:val="nil"/>
                  </w:tcBorders>
                  <w:noWrap w:val="0"/>
                  <w:vAlign w:val="center"/>
                </w:tcPr>
                <w:p w14:paraId="7B035BAF">
                  <w:pPr>
                    <w:jc w:val="center"/>
                    <w:rPr>
                      <w:rFonts w:hint="eastAsia" w:ascii="Times New Roman" w:hAnsi="Times New Roman" w:eastAsia="宋体" w:cs="Times New Roman"/>
                      <w:kern w:val="2"/>
                      <w:sz w:val="18"/>
                      <w:szCs w:val="18"/>
                      <w:lang w:val="en-US" w:eastAsia="zh-CN" w:bidi="ar-SA"/>
                    </w:rPr>
                  </w:pPr>
                  <w:r>
                    <w:rPr>
                      <w:rFonts w:hint="eastAsia"/>
                      <w:sz w:val="18"/>
                      <w:szCs w:val="18"/>
                    </w:rPr>
                    <w:t>0.0003</w:t>
                  </w:r>
                </w:p>
              </w:tc>
              <w:tc>
                <w:tcPr>
                  <w:tcW w:w="683" w:type="dxa"/>
                  <w:tcBorders>
                    <w:tl2br w:val="nil"/>
                    <w:tr2bl w:val="nil"/>
                  </w:tcBorders>
                  <w:noWrap w:val="0"/>
                  <w:vAlign w:val="center"/>
                </w:tcPr>
                <w:p w14:paraId="361C5AA7">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659D5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07357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2D5EE43B">
                  <w:pPr>
                    <w:jc w:val="center"/>
                    <w:rPr>
                      <w:rFonts w:hint="eastAsia" w:ascii="Times New Roman" w:hAnsi="Times New Roman" w:eastAsia="宋体" w:cs="Times New Roman"/>
                      <w:kern w:val="2"/>
                      <w:sz w:val="18"/>
                      <w:szCs w:val="18"/>
                      <w:lang w:val="en-US" w:eastAsia="zh-CN" w:bidi="ar-SA"/>
                    </w:rPr>
                  </w:pPr>
                  <w:r>
                    <w:rPr>
                      <w:rFonts w:hint="eastAsia"/>
                      <w:sz w:val="18"/>
                      <w:szCs w:val="18"/>
                    </w:rPr>
                    <w:t>0.018</w:t>
                  </w:r>
                </w:p>
              </w:tc>
            </w:tr>
            <w:tr w14:paraId="58D0BE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2" w:hRule="atLeast"/>
              </w:trPr>
              <w:tc>
                <w:tcPr>
                  <w:tcW w:w="415" w:type="dxa"/>
                  <w:vMerge w:val="continue"/>
                  <w:tcBorders>
                    <w:tl2br w:val="nil"/>
                    <w:tr2bl w:val="nil"/>
                  </w:tcBorders>
                  <w:noWrap w:val="0"/>
                  <w:vAlign w:val="center"/>
                </w:tcPr>
                <w:p w14:paraId="5545FBA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693D954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0697D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2月</w:t>
                  </w:r>
                </w:p>
              </w:tc>
              <w:tc>
                <w:tcPr>
                  <w:tcW w:w="545" w:type="dxa"/>
                  <w:tcBorders>
                    <w:tl2br w:val="nil"/>
                    <w:tr2bl w:val="nil"/>
                  </w:tcBorders>
                  <w:noWrap w:val="0"/>
                  <w:vAlign w:val="center"/>
                </w:tcPr>
                <w:p w14:paraId="502243E8">
                  <w:pPr>
                    <w:jc w:val="center"/>
                    <w:rPr>
                      <w:rFonts w:hint="eastAsia" w:ascii="Times New Roman" w:hAnsi="Times New Roman" w:eastAsia="宋体" w:cs="Times New Roman"/>
                      <w:kern w:val="2"/>
                      <w:sz w:val="18"/>
                      <w:szCs w:val="18"/>
                      <w:lang w:val="en-US" w:eastAsia="zh-CN" w:bidi="ar-SA"/>
                    </w:rPr>
                  </w:pPr>
                  <w:r>
                    <w:rPr>
                      <w:rFonts w:hint="eastAsia"/>
                      <w:sz w:val="18"/>
                      <w:szCs w:val="18"/>
                    </w:rPr>
                    <w:t>8.1</w:t>
                  </w:r>
                </w:p>
              </w:tc>
              <w:tc>
                <w:tcPr>
                  <w:tcW w:w="478" w:type="dxa"/>
                  <w:tcBorders>
                    <w:tl2br w:val="nil"/>
                    <w:tr2bl w:val="nil"/>
                  </w:tcBorders>
                  <w:noWrap w:val="0"/>
                  <w:vAlign w:val="center"/>
                </w:tcPr>
                <w:p w14:paraId="28309757">
                  <w:pPr>
                    <w:jc w:val="center"/>
                    <w:rPr>
                      <w:rFonts w:hint="eastAsia" w:ascii="Times New Roman" w:hAnsi="Times New Roman" w:eastAsia="宋体" w:cs="Times New Roman"/>
                      <w:kern w:val="2"/>
                      <w:sz w:val="18"/>
                      <w:szCs w:val="18"/>
                      <w:lang w:val="en-US" w:eastAsia="zh-CN" w:bidi="ar-SA"/>
                    </w:rPr>
                  </w:pPr>
                  <w:r>
                    <w:rPr>
                      <w:rFonts w:hint="eastAsia"/>
                      <w:sz w:val="18"/>
                      <w:szCs w:val="18"/>
                    </w:rPr>
                    <w:t>8</w:t>
                  </w:r>
                </w:p>
              </w:tc>
              <w:tc>
                <w:tcPr>
                  <w:tcW w:w="539" w:type="dxa"/>
                  <w:tcBorders>
                    <w:tl2br w:val="nil"/>
                    <w:tr2bl w:val="nil"/>
                  </w:tcBorders>
                  <w:noWrap w:val="0"/>
                  <w:vAlign w:val="center"/>
                </w:tcPr>
                <w:p w14:paraId="068D7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6B44AB2D">
                  <w:pPr>
                    <w:jc w:val="center"/>
                    <w:rPr>
                      <w:rFonts w:hint="eastAsia" w:ascii="Times New Roman" w:hAnsi="Times New Roman" w:eastAsia="宋体" w:cs="Times New Roman"/>
                      <w:kern w:val="2"/>
                      <w:sz w:val="18"/>
                      <w:szCs w:val="18"/>
                      <w:lang w:val="en-US" w:eastAsia="zh-CN" w:bidi="ar-SA"/>
                    </w:rPr>
                  </w:pPr>
                  <w:r>
                    <w:rPr>
                      <w:rFonts w:hint="eastAsia"/>
                      <w:sz w:val="18"/>
                      <w:szCs w:val="18"/>
                    </w:rPr>
                    <w:t>0.0037</w:t>
                  </w:r>
                </w:p>
              </w:tc>
              <w:tc>
                <w:tcPr>
                  <w:tcW w:w="438" w:type="dxa"/>
                  <w:tcBorders>
                    <w:tl2br w:val="nil"/>
                    <w:tr2bl w:val="nil"/>
                  </w:tcBorders>
                  <w:noWrap w:val="0"/>
                  <w:vAlign w:val="center"/>
                </w:tcPr>
                <w:p w14:paraId="0F8312AF">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23217D94">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29" w:type="dxa"/>
                  <w:tcBorders>
                    <w:tl2br w:val="nil"/>
                    <w:tr2bl w:val="nil"/>
                  </w:tcBorders>
                  <w:noWrap w:val="0"/>
                  <w:vAlign w:val="center"/>
                </w:tcPr>
                <w:p w14:paraId="07C8865B">
                  <w:pPr>
                    <w:jc w:val="center"/>
                    <w:rPr>
                      <w:rFonts w:hint="eastAsia" w:ascii="Times New Roman" w:hAnsi="Times New Roman" w:eastAsia="宋体" w:cs="Times New Roman"/>
                      <w:kern w:val="2"/>
                      <w:sz w:val="18"/>
                      <w:szCs w:val="18"/>
                      <w:lang w:val="en-US" w:eastAsia="zh-CN" w:bidi="ar-SA"/>
                    </w:rPr>
                  </w:pPr>
                  <w:r>
                    <w:rPr>
                      <w:rFonts w:hint="eastAsia"/>
                      <w:sz w:val="18"/>
                      <w:szCs w:val="18"/>
                    </w:rPr>
                    <w:t>0.350</w:t>
                  </w:r>
                </w:p>
              </w:tc>
              <w:tc>
                <w:tcPr>
                  <w:tcW w:w="611" w:type="dxa"/>
                  <w:tcBorders>
                    <w:tl2br w:val="nil"/>
                    <w:tr2bl w:val="nil"/>
                  </w:tcBorders>
                  <w:noWrap w:val="0"/>
                  <w:vAlign w:val="center"/>
                </w:tcPr>
                <w:p w14:paraId="57BCF42F">
                  <w:pPr>
                    <w:jc w:val="center"/>
                    <w:rPr>
                      <w:rFonts w:hint="eastAsia" w:ascii="Times New Roman" w:hAnsi="Times New Roman" w:eastAsia="宋体" w:cs="Times New Roman"/>
                      <w:kern w:val="2"/>
                      <w:sz w:val="18"/>
                      <w:szCs w:val="18"/>
                      <w:lang w:val="en-US" w:eastAsia="zh-CN" w:bidi="ar-SA"/>
                    </w:rPr>
                  </w:pPr>
                  <w:r>
                    <w:rPr>
                      <w:rFonts w:hint="eastAsia"/>
                      <w:sz w:val="18"/>
                      <w:szCs w:val="18"/>
                    </w:rPr>
                    <w:t>0.0003</w:t>
                  </w:r>
                </w:p>
              </w:tc>
              <w:tc>
                <w:tcPr>
                  <w:tcW w:w="683" w:type="dxa"/>
                  <w:tcBorders>
                    <w:tl2br w:val="nil"/>
                    <w:tr2bl w:val="nil"/>
                  </w:tcBorders>
                  <w:noWrap w:val="0"/>
                  <w:vAlign w:val="center"/>
                </w:tcPr>
                <w:p w14:paraId="038EA82B">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5D9B6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2C4FE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795A5D63">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r>
            <w:tr w14:paraId="78EA12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7" w:hRule="atLeast"/>
              </w:trPr>
              <w:tc>
                <w:tcPr>
                  <w:tcW w:w="415" w:type="dxa"/>
                  <w:vMerge w:val="continue"/>
                  <w:tcBorders>
                    <w:tl2br w:val="nil"/>
                    <w:tr2bl w:val="nil"/>
                  </w:tcBorders>
                  <w:noWrap w:val="0"/>
                  <w:vAlign w:val="center"/>
                </w:tcPr>
                <w:p w14:paraId="5D0C9C3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69742FA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21172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sz w:val="18"/>
                      <w:szCs w:val="18"/>
                    </w:rPr>
                    <w:t>3</w:t>
                  </w:r>
                  <w:r>
                    <w:rPr>
                      <w:rFonts w:hint="eastAsia"/>
                      <w:sz w:val="18"/>
                      <w:szCs w:val="18"/>
                    </w:rPr>
                    <w:t>月</w:t>
                  </w:r>
                </w:p>
              </w:tc>
              <w:tc>
                <w:tcPr>
                  <w:tcW w:w="545" w:type="dxa"/>
                  <w:tcBorders>
                    <w:tl2br w:val="nil"/>
                    <w:tr2bl w:val="nil"/>
                  </w:tcBorders>
                  <w:noWrap w:val="0"/>
                  <w:vAlign w:val="center"/>
                </w:tcPr>
                <w:p w14:paraId="1B6B3D5C">
                  <w:pPr>
                    <w:jc w:val="center"/>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57B9FF3A">
                  <w:pPr>
                    <w:jc w:val="center"/>
                    <w:rPr>
                      <w:rFonts w:hint="eastAsia" w:ascii="Times New Roman" w:hAnsi="Times New Roman" w:eastAsia="宋体" w:cs="Times New Roman"/>
                      <w:kern w:val="2"/>
                      <w:sz w:val="18"/>
                      <w:szCs w:val="18"/>
                      <w:lang w:val="en-US" w:eastAsia="zh-CN" w:bidi="ar-SA"/>
                    </w:rPr>
                  </w:pPr>
                  <w:r>
                    <w:rPr>
                      <w:rFonts w:hint="eastAsia"/>
                      <w:sz w:val="18"/>
                      <w:szCs w:val="18"/>
                    </w:rPr>
                    <w:t>5</w:t>
                  </w:r>
                </w:p>
              </w:tc>
              <w:tc>
                <w:tcPr>
                  <w:tcW w:w="539" w:type="dxa"/>
                  <w:tcBorders>
                    <w:tl2br w:val="nil"/>
                    <w:tr2bl w:val="nil"/>
                  </w:tcBorders>
                  <w:noWrap w:val="0"/>
                  <w:vAlign w:val="center"/>
                </w:tcPr>
                <w:p w14:paraId="756EC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4A7F0CA2">
                  <w:pPr>
                    <w:jc w:val="center"/>
                    <w:rPr>
                      <w:rFonts w:hint="eastAsia" w:ascii="Times New Roman" w:hAnsi="Times New Roman" w:eastAsia="宋体" w:cs="Times New Roman"/>
                      <w:kern w:val="2"/>
                      <w:sz w:val="18"/>
                      <w:szCs w:val="18"/>
                      <w:lang w:val="en-US" w:eastAsia="zh-CN" w:bidi="ar-SA"/>
                    </w:rPr>
                  </w:pPr>
                  <w:r>
                    <w:rPr>
                      <w:rFonts w:hint="eastAsia"/>
                      <w:sz w:val="18"/>
                      <w:szCs w:val="18"/>
                    </w:rPr>
                    <w:t>0.0038</w:t>
                  </w:r>
                </w:p>
              </w:tc>
              <w:tc>
                <w:tcPr>
                  <w:tcW w:w="438" w:type="dxa"/>
                  <w:tcBorders>
                    <w:tl2br w:val="nil"/>
                    <w:tr2bl w:val="nil"/>
                  </w:tcBorders>
                  <w:noWrap w:val="0"/>
                  <w:vAlign w:val="center"/>
                </w:tcPr>
                <w:p w14:paraId="52F1BCE5">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56C0006E">
                  <w:pPr>
                    <w:jc w:val="center"/>
                    <w:rPr>
                      <w:rFonts w:hint="eastAsia" w:ascii="Times New Roman" w:hAnsi="Times New Roman" w:eastAsia="宋体" w:cs="Times New Roman"/>
                      <w:kern w:val="2"/>
                      <w:sz w:val="18"/>
                      <w:szCs w:val="18"/>
                      <w:lang w:val="en-US" w:eastAsia="zh-CN" w:bidi="ar-SA"/>
                    </w:rPr>
                  </w:pPr>
                  <w:r>
                    <w:rPr>
                      <w:rFonts w:hint="eastAsia"/>
                      <w:sz w:val="18"/>
                      <w:szCs w:val="18"/>
                    </w:rPr>
                    <w:t>0.0006</w:t>
                  </w:r>
                </w:p>
              </w:tc>
              <w:tc>
                <w:tcPr>
                  <w:tcW w:w="629" w:type="dxa"/>
                  <w:tcBorders>
                    <w:tl2br w:val="nil"/>
                    <w:tr2bl w:val="nil"/>
                  </w:tcBorders>
                  <w:noWrap w:val="0"/>
                  <w:vAlign w:val="center"/>
                </w:tcPr>
                <w:p w14:paraId="22D15649">
                  <w:pPr>
                    <w:jc w:val="center"/>
                    <w:rPr>
                      <w:rFonts w:hint="eastAsia" w:ascii="Times New Roman" w:hAnsi="Times New Roman" w:eastAsia="宋体" w:cs="Times New Roman"/>
                      <w:kern w:val="2"/>
                      <w:sz w:val="18"/>
                      <w:szCs w:val="18"/>
                      <w:lang w:val="en-US" w:eastAsia="zh-CN" w:bidi="ar-SA"/>
                    </w:rPr>
                  </w:pPr>
                  <w:r>
                    <w:rPr>
                      <w:rFonts w:hint="eastAsia"/>
                      <w:sz w:val="18"/>
                      <w:szCs w:val="18"/>
                    </w:rPr>
                    <w:t>0.339</w:t>
                  </w:r>
                </w:p>
              </w:tc>
              <w:tc>
                <w:tcPr>
                  <w:tcW w:w="611" w:type="dxa"/>
                  <w:tcBorders>
                    <w:tl2br w:val="nil"/>
                    <w:tr2bl w:val="nil"/>
                  </w:tcBorders>
                  <w:noWrap w:val="0"/>
                  <w:vAlign w:val="center"/>
                </w:tcPr>
                <w:p w14:paraId="734E1442">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83" w:type="dxa"/>
                  <w:tcBorders>
                    <w:tl2br w:val="nil"/>
                    <w:tr2bl w:val="nil"/>
                  </w:tcBorders>
                  <w:noWrap w:val="0"/>
                  <w:vAlign w:val="center"/>
                </w:tcPr>
                <w:p w14:paraId="25527286">
                  <w:pPr>
                    <w:ind w:left="-1" w:leftChars="-32" w:hanging="66" w:hangingChars="37"/>
                    <w:jc w:val="center"/>
                    <w:rPr>
                      <w:rFonts w:hint="eastAsia" w:ascii="Times New Roman" w:hAnsi="Times New Roman" w:eastAsia="宋体" w:cs="Times New Roman"/>
                      <w:kern w:val="2"/>
                      <w:sz w:val="18"/>
                      <w:szCs w:val="18"/>
                      <w:lang w:val="en-US" w:eastAsia="zh-CN" w:bidi="ar-SA"/>
                    </w:rPr>
                  </w:pPr>
                  <w:r>
                    <w:rPr>
                      <w:rFonts w:hint="eastAsia"/>
                      <w:sz w:val="18"/>
                      <w:szCs w:val="18"/>
                    </w:rPr>
                    <w:t>0.00005</w:t>
                  </w:r>
                </w:p>
              </w:tc>
              <w:tc>
                <w:tcPr>
                  <w:tcW w:w="465" w:type="dxa"/>
                  <w:tcBorders>
                    <w:tl2br w:val="nil"/>
                    <w:tr2bl w:val="nil"/>
                  </w:tcBorders>
                  <w:noWrap w:val="0"/>
                  <w:vAlign w:val="center"/>
                </w:tcPr>
                <w:p w14:paraId="2AFE8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25B50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03B22701">
                  <w:pPr>
                    <w:jc w:val="center"/>
                    <w:rPr>
                      <w:rFonts w:hint="eastAsia" w:ascii="Times New Roman" w:hAnsi="Times New Roman" w:eastAsia="宋体" w:cs="Times New Roman"/>
                      <w:kern w:val="2"/>
                      <w:sz w:val="18"/>
                      <w:szCs w:val="18"/>
                      <w:lang w:val="en-US" w:eastAsia="zh-CN" w:bidi="ar-SA"/>
                    </w:rPr>
                  </w:pPr>
                  <w:r>
                    <w:rPr>
                      <w:rFonts w:hint="eastAsia"/>
                      <w:sz w:val="18"/>
                      <w:szCs w:val="18"/>
                    </w:rPr>
                    <w:t>0.036</w:t>
                  </w:r>
                </w:p>
              </w:tc>
            </w:tr>
            <w:tr w14:paraId="6A13A6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6" w:hRule="atLeast"/>
              </w:trPr>
              <w:tc>
                <w:tcPr>
                  <w:tcW w:w="415" w:type="dxa"/>
                  <w:vMerge w:val="continue"/>
                  <w:tcBorders>
                    <w:tl2br w:val="nil"/>
                    <w:tr2bl w:val="nil"/>
                  </w:tcBorders>
                  <w:noWrap w:val="0"/>
                  <w:vAlign w:val="center"/>
                </w:tcPr>
                <w:p w14:paraId="2168FB4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2E1A0C9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79E7A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sz w:val="18"/>
                      <w:szCs w:val="18"/>
                    </w:rPr>
                    <w:t>4</w:t>
                  </w:r>
                  <w:r>
                    <w:rPr>
                      <w:rFonts w:hint="eastAsia"/>
                      <w:sz w:val="18"/>
                      <w:szCs w:val="18"/>
                    </w:rPr>
                    <w:t>月</w:t>
                  </w:r>
                </w:p>
              </w:tc>
              <w:tc>
                <w:tcPr>
                  <w:tcW w:w="545" w:type="dxa"/>
                  <w:tcBorders>
                    <w:tl2br w:val="nil"/>
                    <w:tr2bl w:val="nil"/>
                  </w:tcBorders>
                  <w:noWrap w:val="0"/>
                  <w:vAlign w:val="center"/>
                </w:tcPr>
                <w:p w14:paraId="4926EBC4">
                  <w:pPr>
                    <w:jc w:val="center"/>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11431C3E">
                  <w:pPr>
                    <w:jc w:val="center"/>
                    <w:rPr>
                      <w:rFonts w:hint="eastAsia" w:ascii="Times New Roman" w:hAnsi="Times New Roman" w:eastAsia="宋体" w:cs="Times New Roman"/>
                      <w:kern w:val="2"/>
                      <w:sz w:val="18"/>
                      <w:szCs w:val="18"/>
                      <w:lang w:val="en-US" w:eastAsia="zh-CN" w:bidi="ar-SA"/>
                    </w:rPr>
                  </w:pPr>
                  <w:r>
                    <w:rPr>
                      <w:rFonts w:hint="eastAsia"/>
                      <w:sz w:val="18"/>
                      <w:szCs w:val="18"/>
                    </w:rPr>
                    <w:t>6</w:t>
                  </w:r>
                </w:p>
              </w:tc>
              <w:tc>
                <w:tcPr>
                  <w:tcW w:w="539" w:type="dxa"/>
                  <w:tcBorders>
                    <w:tl2br w:val="nil"/>
                    <w:tr2bl w:val="nil"/>
                  </w:tcBorders>
                  <w:noWrap w:val="0"/>
                  <w:vAlign w:val="center"/>
                </w:tcPr>
                <w:p w14:paraId="3054E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5B243DE0">
                  <w:pPr>
                    <w:jc w:val="center"/>
                    <w:rPr>
                      <w:rFonts w:hint="eastAsia" w:ascii="Times New Roman" w:hAnsi="Times New Roman" w:eastAsia="宋体" w:cs="Times New Roman"/>
                      <w:kern w:val="2"/>
                      <w:sz w:val="18"/>
                      <w:szCs w:val="18"/>
                      <w:lang w:val="en-US" w:eastAsia="zh-CN" w:bidi="ar-SA"/>
                    </w:rPr>
                  </w:pPr>
                  <w:r>
                    <w:rPr>
                      <w:rFonts w:hint="eastAsia"/>
                      <w:sz w:val="18"/>
                      <w:szCs w:val="18"/>
                    </w:rPr>
                    <w:t>0.0034</w:t>
                  </w:r>
                </w:p>
              </w:tc>
              <w:tc>
                <w:tcPr>
                  <w:tcW w:w="438" w:type="dxa"/>
                  <w:tcBorders>
                    <w:tl2br w:val="nil"/>
                    <w:tr2bl w:val="nil"/>
                  </w:tcBorders>
                  <w:noWrap w:val="0"/>
                  <w:vAlign w:val="center"/>
                </w:tcPr>
                <w:p w14:paraId="36E05848">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3201E457">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29" w:type="dxa"/>
                  <w:tcBorders>
                    <w:tl2br w:val="nil"/>
                    <w:tr2bl w:val="nil"/>
                  </w:tcBorders>
                  <w:noWrap w:val="0"/>
                  <w:vAlign w:val="center"/>
                </w:tcPr>
                <w:p w14:paraId="22EF7888">
                  <w:pPr>
                    <w:jc w:val="center"/>
                    <w:rPr>
                      <w:rFonts w:hint="eastAsia" w:ascii="Times New Roman" w:hAnsi="Times New Roman" w:eastAsia="宋体" w:cs="Times New Roman"/>
                      <w:kern w:val="2"/>
                      <w:sz w:val="18"/>
                      <w:szCs w:val="18"/>
                      <w:lang w:val="en-US" w:eastAsia="zh-CN" w:bidi="ar-SA"/>
                    </w:rPr>
                  </w:pPr>
                  <w:r>
                    <w:rPr>
                      <w:rFonts w:hint="eastAsia"/>
                      <w:sz w:val="18"/>
                      <w:szCs w:val="18"/>
                    </w:rPr>
                    <w:t>0.079</w:t>
                  </w:r>
                </w:p>
              </w:tc>
              <w:tc>
                <w:tcPr>
                  <w:tcW w:w="611" w:type="dxa"/>
                  <w:tcBorders>
                    <w:tl2br w:val="nil"/>
                    <w:tr2bl w:val="nil"/>
                  </w:tcBorders>
                  <w:noWrap w:val="0"/>
                  <w:vAlign w:val="center"/>
                </w:tcPr>
                <w:p w14:paraId="493E0A7E">
                  <w:pPr>
                    <w:jc w:val="center"/>
                    <w:rPr>
                      <w:rFonts w:hint="eastAsia" w:ascii="Times New Roman" w:hAnsi="Times New Roman" w:eastAsia="宋体" w:cs="Times New Roman"/>
                      <w:kern w:val="2"/>
                      <w:sz w:val="18"/>
                      <w:szCs w:val="18"/>
                      <w:lang w:val="en-US" w:eastAsia="zh-CN" w:bidi="ar-SA"/>
                    </w:rPr>
                  </w:pPr>
                  <w:r>
                    <w:rPr>
                      <w:rFonts w:hint="eastAsia"/>
                      <w:sz w:val="18"/>
                      <w:szCs w:val="18"/>
                    </w:rPr>
                    <w:t>0.0009</w:t>
                  </w:r>
                </w:p>
              </w:tc>
              <w:tc>
                <w:tcPr>
                  <w:tcW w:w="683" w:type="dxa"/>
                  <w:tcBorders>
                    <w:tl2br w:val="nil"/>
                    <w:tr2bl w:val="nil"/>
                  </w:tcBorders>
                  <w:noWrap w:val="0"/>
                  <w:vAlign w:val="center"/>
                </w:tcPr>
                <w:p w14:paraId="1A2F5212">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4C9F5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18C8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456631FF">
                  <w:pPr>
                    <w:jc w:val="center"/>
                    <w:rPr>
                      <w:rFonts w:hint="eastAsia" w:ascii="Times New Roman" w:hAnsi="Times New Roman" w:eastAsia="宋体" w:cs="Times New Roman"/>
                      <w:kern w:val="2"/>
                      <w:sz w:val="18"/>
                      <w:szCs w:val="18"/>
                      <w:lang w:val="en-US" w:eastAsia="zh-CN" w:bidi="ar-SA"/>
                    </w:rPr>
                  </w:pPr>
                  <w:r>
                    <w:rPr>
                      <w:rFonts w:hint="eastAsia"/>
                      <w:sz w:val="18"/>
                      <w:szCs w:val="18"/>
                    </w:rPr>
                    <w:t>0.020</w:t>
                  </w:r>
                </w:p>
              </w:tc>
            </w:tr>
            <w:tr w14:paraId="14326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trPr>
              <w:tc>
                <w:tcPr>
                  <w:tcW w:w="415" w:type="dxa"/>
                  <w:vMerge w:val="continue"/>
                  <w:tcBorders>
                    <w:tl2br w:val="nil"/>
                    <w:tr2bl w:val="nil"/>
                  </w:tcBorders>
                  <w:noWrap w:val="0"/>
                  <w:vAlign w:val="center"/>
                </w:tcPr>
                <w:p w14:paraId="4C8F473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06732E8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0027B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sz w:val="18"/>
                      <w:szCs w:val="18"/>
                    </w:rPr>
                    <w:t>5</w:t>
                  </w:r>
                  <w:r>
                    <w:rPr>
                      <w:rFonts w:hint="eastAsia"/>
                      <w:sz w:val="18"/>
                      <w:szCs w:val="18"/>
                    </w:rPr>
                    <w:t>月</w:t>
                  </w:r>
                </w:p>
              </w:tc>
              <w:tc>
                <w:tcPr>
                  <w:tcW w:w="545" w:type="dxa"/>
                  <w:tcBorders>
                    <w:tl2br w:val="nil"/>
                    <w:tr2bl w:val="nil"/>
                  </w:tcBorders>
                  <w:noWrap w:val="0"/>
                  <w:vAlign w:val="center"/>
                </w:tcPr>
                <w:p w14:paraId="67C2537B">
                  <w:pPr>
                    <w:jc w:val="center"/>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2120A51E">
                  <w:pPr>
                    <w:jc w:val="center"/>
                    <w:rPr>
                      <w:rFonts w:hint="eastAsia" w:ascii="Times New Roman" w:hAnsi="Times New Roman" w:eastAsia="宋体" w:cs="Times New Roman"/>
                      <w:kern w:val="2"/>
                      <w:sz w:val="18"/>
                      <w:szCs w:val="18"/>
                      <w:lang w:val="en-US" w:eastAsia="zh-CN" w:bidi="ar-SA"/>
                    </w:rPr>
                  </w:pPr>
                  <w:r>
                    <w:rPr>
                      <w:rFonts w:hint="eastAsia"/>
                      <w:sz w:val="18"/>
                      <w:szCs w:val="18"/>
                    </w:rPr>
                    <w:t>6</w:t>
                  </w:r>
                </w:p>
              </w:tc>
              <w:tc>
                <w:tcPr>
                  <w:tcW w:w="539" w:type="dxa"/>
                  <w:tcBorders>
                    <w:tl2br w:val="nil"/>
                    <w:tr2bl w:val="nil"/>
                  </w:tcBorders>
                  <w:noWrap w:val="0"/>
                  <w:vAlign w:val="center"/>
                </w:tcPr>
                <w:p w14:paraId="66C4B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0C440943">
                  <w:pPr>
                    <w:jc w:val="center"/>
                    <w:rPr>
                      <w:rFonts w:hint="eastAsia" w:ascii="Times New Roman" w:hAnsi="Times New Roman" w:eastAsia="宋体" w:cs="Times New Roman"/>
                      <w:kern w:val="2"/>
                      <w:sz w:val="18"/>
                      <w:szCs w:val="18"/>
                      <w:lang w:val="en-US" w:eastAsia="zh-CN" w:bidi="ar-SA"/>
                    </w:rPr>
                  </w:pPr>
                  <w:r>
                    <w:rPr>
                      <w:rFonts w:hint="eastAsia"/>
                      <w:sz w:val="18"/>
                      <w:szCs w:val="18"/>
                    </w:rPr>
                    <w:t>0.0034</w:t>
                  </w:r>
                </w:p>
              </w:tc>
              <w:tc>
                <w:tcPr>
                  <w:tcW w:w="438" w:type="dxa"/>
                  <w:tcBorders>
                    <w:tl2br w:val="nil"/>
                    <w:tr2bl w:val="nil"/>
                  </w:tcBorders>
                  <w:noWrap w:val="0"/>
                  <w:vAlign w:val="center"/>
                </w:tcPr>
                <w:p w14:paraId="7BE9A801">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3F9B4CEF">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29" w:type="dxa"/>
                  <w:tcBorders>
                    <w:tl2br w:val="nil"/>
                    <w:tr2bl w:val="nil"/>
                  </w:tcBorders>
                  <w:noWrap w:val="0"/>
                  <w:vAlign w:val="center"/>
                </w:tcPr>
                <w:p w14:paraId="7C317F88">
                  <w:pPr>
                    <w:jc w:val="center"/>
                    <w:rPr>
                      <w:rFonts w:hint="eastAsia" w:ascii="Times New Roman" w:hAnsi="Times New Roman" w:eastAsia="宋体" w:cs="Times New Roman"/>
                      <w:kern w:val="2"/>
                      <w:sz w:val="18"/>
                      <w:szCs w:val="18"/>
                      <w:lang w:val="en-US" w:eastAsia="zh-CN" w:bidi="ar-SA"/>
                    </w:rPr>
                  </w:pPr>
                  <w:r>
                    <w:rPr>
                      <w:rFonts w:hint="eastAsia"/>
                      <w:sz w:val="18"/>
                      <w:szCs w:val="18"/>
                    </w:rPr>
                    <w:t>0.079</w:t>
                  </w:r>
                </w:p>
              </w:tc>
              <w:tc>
                <w:tcPr>
                  <w:tcW w:w="611" w:type="dxa"/>
                  <w:tcBorders>
                    <w:tl2br w:val="nil"/>
                    <w:tr2bl w:val="nil"/>
                  </w:tcBorders>
                  <w:noWrap w:val="0"/>
                  <w:vAlign w:val="center"/>
                </w:tcPr>
                <w:p w14:paraId="38BDED52">
                  <w:pPr>
                    <w:jc w:val="center"/>
                    <w:rPr>
                      <w:rFonts w:hint="eastAsia" w:ascii="Times New Roman" w:hAnsi="Times New Roman" w:eastAsia="宋体" w:cs="Times New Roman"/>
                      <w:kern w:val="2"/>
                      <w:sz w:val="18"/>
                      <w:szCs w:val="18"/>
                      <w:lang w:val="en-US" w:eastAsia="zh-CN" w:bidi="ar-SA"/>
                    </w:rPr>
                  </w:pPr>
                  <w:r>
                    <w:rPr>
                      <w:rFonts w:hint="eastAsia"/>
                      <w:sz w:val="18"/>
                      <w:szCs w:val="18"/>
                    </w:rPr>
                    <w:t>0.0009</w:t>
                  </w:r>
                </w:p>
              </w:tc>
              <w:tc>
                <w:tcPr>
                  <w:tcW w:w="683" w:type="dxa"/>
                  <w:tcBorders>
                    <w:tl2br w:val="nil"/>
                    <w:tr2bl w:val="nil"/>
                  </w:tcBorders>
                  <w:noWrap w:val="0"/>
                  <w:vAlign w:val="center"/>
                </w:tcPr>
                <w:p w14:paraId="50932870">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3A0AC8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3C7E3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4713AE91">
                  <w:pPr>
                    <w:jc w:val="center"/>
                    <w:rPr>
                      <w:rFonts w:hint="eastAsia" w:ascii="Times New Roman" w:hAnsi="Times New Roman" w:eastAsia="宋体" w:cs="Times New Roman"/>
                      <w:kern w:val="2"/>
                      <w:sz w:val="18"/>
                      <w:szCs w:val="18"/>
                      <w:lang w:val="en-US" w:eastAsia="zh-CN" w:bidi="ar-SA"/>
                    </w:rPr>
                  </w:pPr>
                  <w:r>
                    <w:rPr>
                      <w:rFonts w:hint="eastAsia"/>
                      <w:sz w:val="18"/>
                      <w:szCs w:val="18"/>
                    </w:rPr>
                    <w:t>0.020</w:t>
                  </w:r>
                </w:p>
              </w:tc>
            </w:tr>
            <w:tr w14:paraId="3E173E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trPr>
              <w:tc>
                <w:tcPr>
                  <w:tcW w:w="415" w:type="dxa"/>
                  <w:vMerge w:val="continue"/>
                  <w:tcBorders>
                    <w:tl2br w:val="nil"/>
                    <w:tr2bl w:val="nil"/>
                  </w:tcBorders>
                  <w:noWrap w:val="0"/>
                  <w:vAlign w:val="center"/>
                </w:tcPr>
                <w:p w14:paraId="76229FF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22C9737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4BFDF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sz w:val="18"/>
                      <w:szCs w:val="18"/>
                    </w:rPr>
                    <w:t>6</w:t>
                  </w:r>
                  <w:r>
                    <w:rPr>
                      <w:rFonts w:hint="eastAsia"/>
                      <w:sz w:val="18"/>
                      <w:szCs w:val="18"/>
                    </w:rPr>
                    <w:t>月</w:t>
                  </w:r>
                </w:p>
              </w:tc>
              <w:tc>
                <w:tcPr>
                  <w:tcW w:w="545" w:type="dxa"/>
                  <w:tcBorders>
                    <w:tl2br w:val="nil"/>
                    <w:tr2bl w:val="nil"/>
                  </w:tcBorders>
                  <w:noWrap w:val="0"/>
                  <w:vAlign w:val="center"/>
                </w:tcPr>
                <w:p w14:paraId="1144148C">
                  <w:pPr>
                    <w:jc w:val="center"/>
                    <w:rPr>
                      <w:rFonts w:hint="eastAsia" w:ascii="Times New Roman" w:hAnsi="Times New Roman" w:eastAsia="宋体" w:cs="Times New Roman"/>
                      <w:kern w:val="2"/>
                      <w:sz w:val="18"/>
                      <w:szCs w:val="18"/>
                      <w:lang w:val="en-US" w:eastAsia="zh-CN" w:bidi="ar-SA"/>
                    </w:rPr>
                  </w:pPr>
                  <w:r>
                    <w:rPr>
                      <w:rFonts w:hint="eastAsia"/>
                      <w:sz w:val="18"/>
                      <w:szCs w:val="18"/>
                    </w:rPr>
                    <w:t>7.9</w:t>
                  </w:r>
                </w:p>
              </w:tc>
              <w:tc>
                <w:tcPr>
                  <w:tcW w:w="478" w:type="dxa"/>
                  <w:tcBorders>
                    <w:tl2br w:val="nil"/>
                    <w:tr2bl w:val="nil"/>
                  </w:tcBorders>
                  <w:noWrap w:val="0"/>
                  <w:vAlign w:val="center"/>
                </w:tcPr>
                <w:p w14:paraId="3DC2C931">
                  <w:pPr>
                    <w:jc w:val="center"/>
                    <w:rPr>
                      <w:rFonts w:hint="eastAsia" w:ascii="Times New Roman" w:hAnsi="Times New Roman" w:eastAsia="宋体" w:cs="Times New Roman"/>
                      <w:kern w:val="2"/>
                      <w:sz w:val="18"/>
                      <w:szCs w:val="18"/>
                      <w:lang w:val="en-US" w:eastAsia="zh-CN" w:bidi="ar-SA"/>
                    </w:rPr>
                  </w:pPr>
                  <w:r>
                    <w:rPr>
                      <w:rFonts w:hint="eastAsia"/>
                      <w:sz w:val="18"/>
                      <w:szCs w:val="18"/>
                    </w:rPr>
                    <w:t>9</w:t>
                  </w:r>
                </w:p>
              </w:tc>
              <w:tc>
                <w:tcPr>
                  <w:tcW w:w="539" w:type="dxa"/>
                  <w:tcBorders>
                    <w:tl2br w:val="nil"/>
                    <w:tr2bl w:val="nil"/>
                  </w:tcBorders>
                  <w:noWrap w:val="0"/>
                  <w:vAlign w:val="center"/>
                </w:tcPr>
                <w:p w14:paraId="48676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0.008</w:t>
                  </w:r>
                </w:p>
              </w:tc>
              <w:tc>
                <w:tcPr>
                  <w:tcW w:w="742" w:type="dxa"/>
                  <w:tcBorders>
                    <w:tl2br w:val="nil"/>
                    <w:tr2bl w:val="nil"/>
                  </w:tcBorders>
                  <w:noWrap w:val="0"/>
                  <w:vAlign w:val="center"/>
                </w:tcPr>
                <w:p w14:paraId="1389EB2B">
                  <w:pPr>
                    <w:jc w:val="center"/>
                    <w:rPr>
                      <w:rFonts w:hint="eastAsia" w:ascii="Times New Roman" w:hAnsi="Times New Roman" w:eastAsia="宋体" w:cs="Times New Roman"/>
                      <w:kern w:val="2"/>
                      <w:sz w:val="18"/>
                      <w:szCs w:val="18"/>
                      <w:lang w:val="en-US" w:eastAsia="zh-CN" w:bidi="ar-SA"/>
                    </w:rPr>
                  </w:pPr>
                  <w:r>
                    <w:rPr>
                      <w:rFonts w:hint="eastAsia"/>
                      <w:sz w:val="18"/>
                      <w:szCs w:val="18"/>
                    </w:rPr>
                    <w:t>0.0030</w:t>
                  </w:r>
                </w:p>
              </w:tc>
              <w:tc>
                <w:tcPr>
                  <w:tcW w:w="438" w:type="dxa"/>
                  <w:tcBorders>
                    <w:tl2br w:val="nil"/>
                    <w:tr2bl w:val="nil"/>
                  </w:tcBorders>
                  <w:noWrap w:val="0"/>
                  <w:vAlign w:val="center"/>
                </w:tcPr>
                <w:p w14:paraId="1497D9B4">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10B77BBC">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29" w:type="dxa"/>
                  <w:tcBorders>
                    <w:tl2br w:val="nil"/>
                    <w:tr2bl w:val="nil"/>
                  </w:tcBorders>
                  <w:noWrap w:val="0"/>
                  <w:vAlign w:val="center"/>
                </w:tcPr>
                <w:p w14:paraId="04053805">
                  <w:pPr>
                    <w:jc w:val="center"/>
                    <w:rPr>
                      <w:rFonts w:hint="eastAsia" w:ascii="Times New Roman" w:hAnsi="Times New Roman" w:eastAsia="宋体" w:cs="Times New Roman"/>
                      <w:kern w:val="2"/>
                      <w:sz w:val="18"/>
                      <w:szCs w:val="18"/>
                      <w:lang w:val="en-US" w:eastAsia="zh-CN" w:bidi="ar-SA"/>
                    </w:rPr>
                  </w:pPr>
                  <w:r>
                    <w:rPr>
                      <w:rFonts w:hint="eastAsia"/>
                      <w:sz w:val="18"/>
                      <w:szCs w:val="18"/>
                    </w:rPr>
                    <w:t>0.085</w:t>
                  </w:r>
                </w:p>
              </w:tc>
              <w:tc>
                <w:tcPr>
                  <w:tcW w:w="611" w:type="dxa"/>
                  <w:tcBorders>
                    <w:tl2br w:val="nil"/>
                    <w:tr2bl w:val="nil"/>
                  </w:tcBorders>
                  <w:noWrap w:val="0"/>
                  <w:vAlign w:val="center"/>
                </w:tcPr>
                <w:p w14:paraId="42A3CD00">
                  <w:pPr>
                    <w:jc w:val="center"/>
                    <w:rPr>
                      <w:rFonts w:hint="eastAsia" w:ascii="Times New Roman" w:hAnsi="Times New Roman" w:eastAsia="宋体" w:cs="Times New Roman"/>
                      <w:kern w:val="2"/>
                      <w:sz w:val="18"/>
                      <w:szCs w:val="18"/>
                      <w:lang w:val="en-US" w:eastAsia="zh-CN" w:bidi="ar-SA"/>
                    </w:rPr>
                  </w:pPr>
                  <w:r>
                    <w:rPr>
                      <w:rFonts w:hint="eastAsia"/>
                      <w:sz w:val="18"/>
                      <w:szCs w:val="18"/>
                    </w:rPr>
                    <w:t>0.0021</w:t>
                  </w:r>
                </w:p>
              </w:tc>
              <w:tc>
                <w:tcPr>
                  <w:tcW w:w="683" w:type="dxa"/>
                  <w:tcBorders>
                    <w:tl2br w:val="nil"/>
                    <w:tr2bl w:val="nil"/>
                  </w:tcBorders>
                  <w:noWrap w:val="0"/>
                  <w:vAlign w:val="center"/>
                </w:tcPr>
                <w:p w14:paraId="73EFBFE0">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60545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0CC2C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458671F0">
                  <w:pPr>
                    <w:jc w:val="center"/>
                    <w:rPr>
                      <w:rFonts w:hint="eastAsia" w:ascii="Times New Roman" w:hAnsi="Times New Roman" w:eastAsia="宋体" w:cs="Times New Roman"/>
                      <w:kern w:val="2"/>
                      <w:sz w:val="18"/>
                      <w:szCs w:val="18"/>
                      <w:lang w:val="en-US" w:eastAsia="zh-CN" w:bidi="ar-SA"/>
                    </w:rPr>
                  </w:pPr>
                  <w:r>
                    <w:rPr>
                      <w:rFonts w:hint="eastAsia"/>
                      <w:sz w:val="18"/>
                      <w:szCs w:val="18"/>
                    </w:rPr>
                    <w:t>0.018</w:t>
                  </w:r>
                </w:p>
              </w:tc>
            </w:tr>
            <w:tr w14:paraId="2DF3F6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15" w:type="dxa"/>
                  <w:vMerge w:val="continue"/>
                  <w:tcBorders>
                    <w:tl2br w:val="nil"/>
                    <w:tr2bl w:val="nil"/>
                  </w:tcBorders>
                  <w:noWrap w:val="0"/>
                  <w:vAlign w:val="center"/>
                </w:tcPr>
                <w:p w14:paraId="1F267C7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0AB0EFC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579AB6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sz w:val="18"/>
                      <w:szCs w:val="18"/>
                    </w:rPr>
                    <w:t>7</w:t>
                  </w:r>
                  <w:r>
                    <w:rPr>
                      <w:rFonts w:hint="eastAsia"/>
                      <w:sz w:val="18"/>
                      <w:szCs w:val="18"/>
                    </w:rPr>
                    <w:t>月</w:t>
                  </w:r>
                </w:p>
              </w:tc>
              <w:tc>
                <w:tcPr>
                  <w:tcW w:w="545" w:type="dxa"/>
                  <w:tcBorders>
                    <w:tl2br w:val="nil"/>
                    <w:tr2bl w:val="nil"/>
                  </w:tcBorders>
                  <w:noWrap w:val="0"/>
                  <w:vAlign w:val="center"/>
                </w:tcPr>
                <w:p w14:paraId="1201C496">
                  <w:pPr>
                    <w:jc w:val="center"/>
                    <w:rPr>
                      <w:rFonts w:hint="eastAsia" w:ascii="Times New Roman" w:hAnsi="Times New Roman" w:eastAsia="宋体" w:cs="Times New Roman"/>
                      <w:kern w:val="2"/>
                      <w:sz w:val="18"/>
                      <w:szCs w:val="18"/>
                      <w:lang w:val="en-US" w:eastAsia="zh-CN" w:bidi="ar-SA"/>
                    </w:rPr>
                  </w:pPr>
                  <w:r>
                    <w:rPr>
                      <w:rFonts w:hint="eastAsia"/>
                      <w:sz w:val="18"/>
                      <w:szCs w:val="18"/>
                    </w:rPr>
                    <w:t>7.9</w:t>
                  </w:r>
                </w:p>
              </w:tc>
              <w:tc>
                <w:tcPr>
                  <w:tcW w:w="478" w:type="dxa"/>
                  <w:tcBorders>
                    <w:tl2br w:val="nil"/>
                    <w:tr2bl w:val="nil"/>
                  </w:tcBorders>
                  <w:noWrap w:val="0"/>
                  <w:vAlign w:val="center"/>
                </w:tcPr>
                <w:p w14:paraId="5C58C1BB">
                  <w:pPr>
                    <w:jc w:val="center"/>
                    <w:rPr>
                      <w:rFonts w:hint="eastAsia" w:ascii="Times New Roman" w:hAnsi="Times New Roman" w:eastAsia="宋体" w:cs="Times New Roman"/>
                      <w:kern w:val="2"/>
                      <w:sz w:val="18"/>
                      <w:szCs w:val="18"/>
                      <w:lang w:val="en-US" w:eastAsia="zh-CN" w:bidi="ar-SA"/>
                    </w:rPr>
                  </w:pPr>
                  <w:r>
                    <w:rPr>
                      <w:rFonts w:hint="eastAsia"/>
                      <w:sz w:val="18"/>
                      <w:szCs w:val="18"/>
                    </w:rPr>
                    <w:t>9</w:t>
                  </w:r>
                </w:p>
              </w:tc>
              <w:tc>
                <w:tcPr>
                  <w:tcW w:w="539" w:type="dxa"/>
                  <w:tcBorders>
                    <w:tl2br w:val="nil"/>
                    <w:tr2bl w:val="nil"/>
                  </w:tcBorders>
                  <w:noWrap w:val="0"/>
                  <w:vAlign w:val="center"/>
                </w:tcPr>
                <w:p w14:paraId="0348F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300F744A">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38" w:type="dxa"/>
                  <w:tcBorders>
                    <w:tl2br w:val="nil"/>
                    <w:tr2bl w:val="nil"/>
                  </w:tcBorders>
                  <w:noWrap w:val="0"/>
                  <w:vAlign w:val="center"/>
                </w:tcPr>
                <w:p w14:paraId="403DBE26">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346799B8">
                  <w:pPr>
                    <w:jc w:val="center"/>
                    <w:rPr>
                      <w:rFonts w:hint="eastAsia" w:ascii="Times New Roman" w:hAnsi="Times New Roman" w:eastAsia="宋体" w:cs="Times New Roman"/>
                      <w:kern w:val="2"/>
                      <w:sz w:val="18"/>
                      <w:szCs w:val="18"/>
                      <w:lang w:val="en-US" w:eastAsia="zh-CN" w:bidi="ar-SA"/>
                    </w:rPr>
                  </w:pPr>
                  <w:r>
                    <w:rPr>
                      <w:rFonts w:hint="eastAsia"/>
                      <w:sz w:val="18"/>
                      <w:szCs w:val="18"/>
                    </w:rPr>
                    <w:t>0.0005</w:t>
                  </w:r>
                </w:p>
              </w:tc>
              <w:tc>
                <w:tcPr>
                  <w:tcW w:w="629" w:type="dxa"/>
                  <w:tcBorders>
                    <w:tl2br w:val="nil"/>
                    <w:tr2bl w:val="nil"/>
                  </w:tcBorders>
                  <w:noWrap w:val="0"/>
                  <w:vAlign w:val="center"/>
                </w:tcPr>
                <w:p w14:paraId="1558E5AB">
                  <w:pPr>
                    <w:jc w:val="center"/>
                    <w:rPr>
                      <w:rFonts w:hint="eastAsia" w:ascii="Times New Roman" w:hAnsi="Times New Roman" w:eastAsia="宋体" w:cs="Times New Roman"/>
                      <w:kern w:val="2"/>
                      <w:sz w:val="18"/>
                      <w:szCs w:val="18"/>
                      <w:lang w:val="en-US" w:eastAsia="zh-CN" w:bidi="ar-SA"/>
                    </w:rPr>
                  </w:pPr>
                  <w:r>
                    <w:rPr>
                      <w:rFonts w:hint="eastAsia"/>
                      <w:sz w:val="18"/>
                      <w:szCs w:val="18"/>
                    </w:rPr>
                    <w:t>0.282</w:t>
                  </w:r>
                </w:p>
              </w:tc>
              <w:tc>
                <w:tcPr>
                  <w:tcW w:w="611" w:type="dxa"/>
                  <w:tcBorders>
                    <w:tl2br w:val="nil"/>
                    <w:tr2bl w:val="nil"/>
                  </w:tcBorders>
                  <w:noWrap w:val="0"/>
                  <w:vAlign w:val="center"/>
                </w:tcPr>
                <w:p w14:paraId="65395750">
                  <w:pPr>
                    <w:jc w:val="center"/>
                    <w:rPr>
                      <w:rFonts w:hint="eastAsia" w:ascii="Times New Roman" w:hAnsi="Times New Roman" w:eastAsia="宋体" w:cs="Times New Roman"/>
                      <w:kern w:val="2"/>
                      <w:sz w:val="18"/>
                      <w:szCs w:val="18"/>
                      <w:lang w:val="en-US" w:eastAsia="zh-CN" w:bidi="ar-SA"/>
                    </w:rPr>
                  </w:pPr>
                  <w:r>
                    <w:rPr>
                      <w:rFonts w:hint="eastAsia"/>
                      <w:sz w:val="18"/>
                      <w:szCs w:val="18"/>
                    </w:rPr>
                    <w:t>0.0007</w:t>
                  </w:r>
                </w:p>
              </w:tc>
              <w:tc>
                <w:tcPr>
                  <w:tcW w:w="683" w:type="dxa"/>
                  <w:tcBorders>
                    <w:tl2br w:val="nil"/>
                    <w:tr2bl w:val="nil"/>
                  </w:tcBorders>
                  <w:noWrap w:val="0"/>
                  <w:vAlign w:val="center"/>
                </w:tcPr>
                <w:p w14:paraId="13EB1CC7">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5371D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19F86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0D3E58B8">
                  <w:pPr>
                    <w:jc w:val="center"/>
                    <w:rPr>
                      <w:rFonts w:hint="eastAsia" w:ascii="Times New Roman" w:hAnsi="Times New Roman" w:eastAsia="宋体" w:cs="Times New Roman"/>
                      <w:kern w:val="2"/>
                      <w:sz w:val="18"/>
                      <w:szCs w:val="18"/>
                      <w:lang w:val="en-US" w:eastAsia="zh-CN" w:bidi="ar-SA"/>
                    </w:rPr>
                  </w:pPr>
                  <w:r>
                    <w:rPr>
                      <w:rFonts w:hint="eastAsia"/>
                      <w:sz w:val="18"/>
                      <w:szCs w:val="18"/>
                    </w:rPr>
                    <w:t>0.012</w:t>
                  </w:r>
                </w:p>
              </w:tc>
            </w:tr>
            <w:tr w14:paraId="74F667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15" w:type="dxa"/>
                  <w:vMerge w:val="continue"/>
                  <w:tcBorders>
                    <w:tl2br w:val="nil"/>
                    <w:tr2bl w:val="nil"/>
                  </w:tcBorders>
                  <w:noWrap w:val="0"/>
                  <w:vAlign w:val="center"/>
                </w:tcPr>
                <w:p w14:paraId="2D0738C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098662C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0897E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sz w:val="18"/>
                      <w:szCs w:val="18"/>
                    </w:rPr>
                    <w:t>8</w:t>
                  </w:r>
                  <w:r>
                    <w:rPr>
                      <w:rFonts w:hint="eastAsia"/>
                      <w:sz w:val="18"/>
                      <w:szCs w:val="18"/>
                    </w:rPr>
                    <w:t>月</w:t>
                  </w:r>
                </w:p>
              </w:tc>
              <w:tc>
                <w:tcPr>
                  <w:tcW w:w="545" w:type="dxa"/>
                  <w:tcBorders>
                    <w:tl2br w:val="nil"/>
                    <w:tr2bl w:val="nil"/>
                  </w:tcBorders>
                  <w:noWrap w:val="0"/>
                  <w:vAlign w:val="center"/>
                </w:tcPr>
                <w:p w14:paraId="0D043250">
                  <w:pPr>
                    <w:jc w:val="center"/>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01479502">
                  <w:pPr>
                    <w:jc w:val="center"/>
                    <w:rPr>
                      <w:rFonts w:hint="eastAsia" w:ascii="Times New Roman" w:hAnsi="Times New Roman" w:eastAsia="宋体" w:cs="Times New Roman"/>
                      <w:kern w:val="2"/>
                      <w:sz w:val="18"/>
                      <w:szCs w:val="18"/>
                      <w:lang w:val="en-US" w:eastAsia="zh-CN" w:bidi="ar-SA"/>
                    </w:rPr>
                  </w:pPr>
                  <w:r>
                    <w:rPr>
                      <w:rFonts w:hint="eastAsia"/>
                      <w:sz w:val="18"/>
                      <w:szCs w:val="18"/>
                    </w:rPr>
                    <w:t>5</w:t>
                  </w:r>
                </w:p>
              </w:tc>
              <w:tc>
                <w:tcPr>
                  <w:tcW w:w="539" w:type="dxa"/>
                  <w:tcBorders>
                    <w:tl2br w:val="nil"/>
                    <w:tr2bl w:val="nil"/>
                  </w:tcBorders>
                  <w:noWrap w:val="0"/>
                  <w:vAlign w:val="center"/>
                </w:tcPr>
                <w:p w14:paraId="20664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5CADE4BB">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38" w:type="dxa"/>
                  <w:tcBorders>
                    <w:tl2br w:val="nil"/>
                    <w:tr2bl w:val="nil"/>
                  </w:tcBorders>
                  <w:noWrap w:val="0"/>
                  <w:vAlign w:val="center"/>
                </w:tcPr>
                <w:p w14:paraId="0284EF2F">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4C285773">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29" w:type="dxa"/>
                  <w:tcBorders>
                    <w:tl2br w:val="nil"/>
                    <w:tr2bl w:val="nil"/>
                  </w:tcBorders>
                  <w:noWrap w:val="0"/>
                  <w:vAlign w:val="center"/>
                </w:tcPr>
                <w:p w14:paraId="065D47B5">
                  <w:pPr>
                    <w:jc w:val="center"/>
                    <w:rPr>
                      <w:rFonts w:hint="eastAsia" w:ascii="Times New Roman" w:hAnsi="Times New Roman" w:eastAsia="宋体" w:cs="Times New Roman"/>
                      <w:kern w:val="2"/>
                      <w:sz w:val="18"/>
                      <w:szCs w:val="18"/>
                      <w:lang w:val="en-US" w:eastAsia="zh-CN" w:bidi="ar-SA"/>
                    </w:rPr>
                  </w:pPr>
                  <w:r>
                    <w:rPr>
                      <w:rFonts w:hint="eastAsia"/>
                      <w:sz w:val="18"/>
                      <w:szCs w:val="18"/>
                    </w:rPr>
                    <w:t>0.076</w:t>
                  </w:r>
                </w:p>
              </w:tc>
              <w:tc>
                <w:tcPr>
                  <w:tcW w:w="611" w:type="dxa"/>
                  <w:tcBorders>
                    <w:tl2br w:val="nil"/>
                    <w:tr2bl w:val="nil"/>
                  </w:tcBorders>
                  <w:noWrap w:val="0"/>
                  <w:vAlign w:val="center"/>
                </w:tcPr>
                <w:p w14:paraId="4173F29E">
                  <w:pPr>
                    <w:jc w:val="center"/>
                    <w:rPr>
                      <w:rFonts w:hint="eastAsia" w:ascii="Times New Roman" w:hAnsi="Times New Roman" w:eastAsia="宋体" w:cs="Times New Roman"/>
                      <w:kern w:val="2"/>
                      <w:sz w:val="18"/>
                      <w:szCs w:val="18"/>
                      <w:lang w:val="en-US" w:eastAsia="zh-CN" w:bidi="ar-SA"/>
                    </w:rPr>
                  </w:pPr>
                  <w:r>
                    <w:rPr>
                      <w:rFonts w:hint="eastAsia"/>
                      <w:sz w:val="18"/>
                      <w:szCs w:val="18"/>
                    </w:rPr>
                    <w:t>0.0015</w:t>
                  </w:r>
                </w:p>
              </w:tc>
              <w:tc>
                <w:tcPr>
                  <w:tcW w:w="683" w:type="dxa"/>
                  <w:tcBorders>
                    <w:tl2br w:val="nil"/>
                    <w:tr2bl w:val="nil"/>
                  </w:tcBorders>
                  <w:noWrap w:val="0"/>
                  <w:vAlign w:val="center"/>
                </w:tcPr>
                <w:p w14:paraId="36DBD799">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1D4E9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4DAA65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0E1C5507">
                  <w:pPr>
                    <w:jc w:val="center"/>
                    <w:rPr>
                      <w:rFonts w:hint="eastAsia" w:ascii="Times New Roman" w:hAnsi="Times New Roman" w:eastAsia="宋体" w:cs="Times New Roman"/>
                      <w:kern w:val="2"/>
                      <w:sz w:val="18"/>
                      <w:szCs w:val="18"/>
                      <w:lang w:val="en-US" w:eastAsia="zh-CN" w:bidi="ar-SA"/>
                    </w:rPr>
                  </w:pPr>
                  <w:r>
                    <w:rPr>
                      <w:rFonts w:hint="eastAsia"/>
                      <w:sz w:val="18"/>
                      <w:szCs w:val="18"/>
                    </w:rPr>
                    <w:t>0.020</w:t>
                  </w:r>
                </w:p>
              </w:tc>
            </w:tr>
            <w:tr w14:paraId="490A2A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415" w:type="dxa"/>
                  <w:vMerge w:val="continue"/>
                  <w:tcBorders>
                    <w:tl2br w:val="nil"/>
                    <w:tr2bl w:val="nil"/>
                  </w:tcBorders>
                  <w:noWrap w:val="0"/>
                  <w:vAlign w:val="center"/>
                </w:tcPr>
                <w:p w14:paraId="5B042B8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107B13B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5BE37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default"/>
                      <w:sz w:val="18"/>
                      <w:szCs w:val="18"/>
                    </w:rPr>
                    <w:t>9</w:t>
                  </w:r>
                  <w:r>
                    <w:rPr>
                      <w:rFonts w:hint="eastAsia"/>
                      <w:sz w:val="18"/>
                      <w:szCs w:val="18"/>
                    </w:rPr>
                    <w:t>月</w:t>
                  </w:r>
                </w:p>
              </w:tc>
              <w:tc>
                <w:tcPr>
                  <w:tcW w:w="545" w:type="dxa"/>
                  <w:tcBorders>
                    <w:tl2br w:val="nil"/>
                    <w:tr2bl w:val="nil"/>
                  </w:tcBorders>
                  <w:noWrap w:val="0"/>
                  <w:vAlign w:val="center"/>
                </w:tcPr>
                <w:p w14:paraId="6D31FE7C">
                  <w:pPr>
                    <w:ind w:firstLine="90" w:firstLineChars="50"/>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0E6B2754">
                  <w:pPr>
                    <w:jc w:val="center"/>
                    <w:rPr>
                      <w:rFonts w:hint="eastAsia" w:ascii="Times New Roman" w:hAnsi="Times New Roman" w:eastAsia="宋体" w:cs="Times New Roman"/>
                      <w:kern w:val="2"/>
                      <w:sz w:val="18"/>
                      <w:szCs w:val="18"/>
                      <w:lang w:val="en-US" w:eastAsia="zh-CN" w:bidi="ar-SA"/>
                    </w:rPr>
                  </w:pPr>
                  <w:r>
                    <w:rPr>
                      <w:rFonts w:hint="eastAsia"/>
                      <w:sz w:val="18"/>
                      <w:szCs w:val="18"/>
                    </w:rPr>
                    <w:t>6</w:t>
                  </w:r>
                </w:p>
              </w:tc>
              <w:tc>
                <w:tcPr>
                  <w:tcW w:w="539" w:type="dxa"/>
                  <w:tcBorders>
                    <w:tl2br w:val="nil"/>
                    <w:tr2bl w:val="nil"/>
                  </w:tcBorders>
                  <w:noWrap w:val="0"/>
                  <w:vAlign w:val="center"/>
                </w:tcPr>
                <w:p w14:paraId="4C54E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742" w:type="dxa"/>
                  <w:tcBorders>
                    <w:tl2br w:val="nil"/>
                    <w:tr2bl w:val="nil"/>
                  </w:tcBorders>
                  <w:noWrap w:val="0"/>
                  <w:vAlign w:val="center"/>
                </w:tcPr>
                <w:p w14:paraId="5AAEC8F4">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38" w:type="dxa"/>
                  <w:tcBorders>
                    <w:tl2br w:val="nil"/>
                    <w:tr2bl w:val="nil"/>
                  </w:tcBorders>
                  <w:noWrap w:val="0"/>
                  <w:vAlign w:val="center"/>
                </w:tcPr>
                <w:p w14:paraId="4C32E98F">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20" w:type="dxa"/>
                  <w:tcBorders>
                    <w:tl2br w:val="nil"/>
                    <w:tr2bl w:val="nil"/>
                  </w:tcBorders>
                  <w:noWrap w:val="0"/>
                  <w:vAlign w:val="center"/>
                </w:tcPr>
                <w:p w14:paraId="65BC5EDB">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629" w:type="dxa"/>
                  <w:tcBorders>
                    <w:tl2br w:val="nil"/>
                    <w:tr2bl w:val="nil"/>
                  </w:tcBorders>
                  <w:noWrap w:val="0"/>
                  <w:vAlign w:val="center"/>
                </w:tcPr>
                <w:p w14:paraId="7DC14AC5">
                  <w:pPr>
                    <w:jc w:val="center"/>
                    <w:rPr>
                      <w:rFonts w:hint="eastAsia" w:ascii="Times New Roman" w:hAnsi="Times New Roman" w:eastAsia="宋体" w:cs="Times New Roman"/>
                      <w:kern w:val="2"/>
                      <w:sz w:val="18"/>
                      <w:szCs w:val="18"/>
                      <w:lang w:val="en-US" w:eastAsia="zh-CN" w:bidi="ar-SA"/>
                    </w:rPr>
                  </w:pPr>
                  <w:r>
                    <w:rPr>
                      <w:rFonts w:hint="eastAsia"/>
                      <w:sz w:val="18"/>
                      <w:szCs w:val="18"/>
                    </w:rPr>
                    <w:t>0.084</w:t>
                  </w:r>
                </w:p>
              </w:tc>
              <w:tc>
                <w:tcPr>
                  <w:tcW w:w="611" w:type="dxa"/>
                  <w:tcBorders>
                    <w:tl2br w:val="nil"/>
                    <w:tr2bl w:val="nil"/>
                  </w:tcBorders>
                  <w:noWrap w:val="0"/>
                  <w:vAlign w:val="center"/>
                </w:tcPr>
                <w:p w14:paraId="2454E996">
                  <w:pPr>
                    <w:jc w:val="center"/>
                    <w:rPr>
                      <w:rFonts w:hint="eastAsia" w:ascii="Times New Roman" w:hAnsi="Times New Roman" w:eastAsia="宋体" w:cs="Times New Roman"/>
                      <w:kern w:val="2"/>
                      <w:sz w:val="18"/>
                      <w:szCs w:val="18"/>
                      <w:lang w:val="en-US" w:eastAsia="zh-CN" w:bidi="ar-SA"/>
                    </w:rPr>
                  </w:pPr>
                  <w:r>
                    <w:rPr>
                      <w:rFonts w:hint="eastAsia"/>
                      <w:sz w:val="18"/>
                      <w:szCs w:val="18"/>
                    </w:rPr>
                    <w:t>0.0009</w:t>
                  </w:r>
                </w:p>
              </w:tc>
              <w:tc>
                <w:tcPr>
                  <w:tcW w:w="683" w:type="dxa"/>
                  <w:tcBorders>
                    <w:tl2br w:val="nil"/>
                    <w:tr2bl w:val="nil"/>
                  </w:tcBorders>
                  <w:noWrap w:val="0"/>
                  <w:vAlign w:val="center"/>
                </w:tcPr>
                <w:p w14:paraId="7A8350A4">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1A6ACD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3A7D7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7F5F1FD9">
                  <w:pPr>
                    <w:jc w:val="center"/>
                    <w:rPr>
                      <w:rFonts w:hint="eastAsia" w:ascii="Times New Roman" w:hAnsi="Times New Roman" w:eastAsia="宋体" w:cs="Times New Roman"/>
                      <w:kern w:val="2"/>
                      <w:sz w:val="18"/>
                      <w:szCs w:val="18"/>
                      <w:lang w:val="en-US" w:eastAsia="zh-CN" w:bidi="ar-SA"/>
                    </w:rPr>
                  </w:pPr>
                  <w:r>
                    <w:rPr>
                      <w:rFonts w:hint="eastAsia"/>
                      <w:sz w:val="18"/>
                      <w:szCs w:val="18"/>
                    </w:rPr>
                    <w:t>0.023</w:t>
                  </w:r>
                </w:p>
              </w:tc>
            </w:tr>
            <w:tr w14:paraId="63C81D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15" w:type="dxa"/>
                  <w:vMerge w:val="continue"/>
                  <w:tcBorders>
                    <w:tl2br w:val="nil"/>
                    <w:tr2bl w:val="nil"/>
                  </w:tcBorders>
                  <w:noWrap w:val="0"/>
                  <w:vAlign w:val="center"/>
                </w:tcPr>
                <w:p w14:paraId="4D0F1F4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1C1B106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4E6BE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10月</w:t>
                  </w:r>
                </w:p>
              </w:tc>
              <w:tc>
                <w:tcPr>
                  <w:tcW w:w="545" w:type="dxa"/>
                  <w:tcBorders>
                    <w:tl2br w:val="nil"/>
                    <w:tr2bl w:val="nil"/>
                  </w:tcBorders>
                  <w:noWrap w:val="0"/>
                  <w:vAlign w:val="center"/>
                </w:tcPr>
                <w:p w14:paraId="1FE92F24">
                  <w:pPr>
                    <w:ind w:firstLine="90" w:firstLineChars="50"/>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22753242">
                  <w:pPr>
                    <w:jc w:val="center"/>
                    <w:rPr>
                      <w:rFonts w:hint="eastAsia" w:ascii="Times New Roman" w:hAnsi="Times New Roman" w:eastAsia="宋体" w:cs="Times New Roman"/>
                      <w:kern w:val="2"/>
                      <w:sz w:val="18"/>
                      <w:szCs w:val="18"/>
                      <w:lang w:val="en-US" w:eastAsia="zh-CN" w:bidi="ar-SA"/>
                    </w:rPr>
                  </w:pPr>
                  <w:r>
                    <w:rPr>
                      <w:rFonts w:hint="eastAsia"/>
                      <w:sz w:val="18"/>
                      <w:szCs w:val="18"/>
                    </w:rPr>
                    <w:t>7</w:t>
                  </w:r>
                </w:p>
              </w:tc>
              <w:tc>
                <w:tcPr>
                  <w:tcW w:w="539" w:type="dxa"/>
                  <w:tcBorders>
                    <w:tl2br w:val="nil"/>
                    <w:tr2bl w:val="nil"/>
                  </w:tcBorders>
                  <w:noWrap w:val="0"/>
                  <w:vAlign w:val="center"/>
                </w:tcPr>
                <w:p w14:paraId="67860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742" w:type="dxa"/>
                  <w:tcBorders>
                    <w:tl2br w:val="nil"/>
                    <w:tr2bl w:val="nil"/>
                  </w:tcBorders>
                  <w:noWrap w:val="0"/>
                  <w:vAlign w:val="center"/>
                </w:tcPr>
                <w:p w14:paraId="086E66CC">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438" w:type="dxa"/>
                  <w:tcBorders>
                    <w:tl2br w:val="nil"/>
                    <w:tr2bl w:val="nil"/>
                  </w:tcBorders>
                  <w:noWrap w:val="0"/>
                  <w:vAlign w:val="center"/>
                </w:tcPr>
                <w:p w14:paraId="1D75B4C2">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520" w:type="dxa"/>
                  <w:tcBorders>
                    <w:tl2br w:val="nil"/>
                    <w:tr2bl w:val="nil"/>
                  </w:tcBorders>
                  <w:noWrap w:val="0"/>
                  <w:vAlign w:val="center"/>
                </w:tcPr>
                <w:p w14:paraId="3A5C5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629" w:type="dxa"/>
                  <w:tcBorders>
                    <w:tl2br w:val="nil"/>
                    <w:tr2bl w:val="nil"/>
                  </w:tcBorders>
                  <w:noWrap w:val="0"/>
                  <w:vAlign w:val="center"/>
                </w:tcPr>
                <w:p w14:paraId="61124D9C">
                  <w:pPr>
                    <w:jc w:val="center"/>
                    <w:rPr>
                      <w:rFonts w:hint="eastAsia" w:ascii="Times New Roman" w:hAnsi="Times New Roman" w:eastAsia="宋体" w:cs="Times New Roman"/>
                      <w:kern w:val="2"/>
                      <w:sz w:val="18"/>
                      <w:szCs w:val="18"/>
                      <w:lang w:val="en-US" w:eastAsia="zh-CN" w:bidi="ar-SA"/>
                    </w:rPr>
                  </w:pPr>
                  <w:r>
                    <w:rPr>
                      <w:rFonts w:hint="eastAsia"/>
                      <w:sz w:val="18"/>
                      <w:szCs w:val="18"/>
                    </w:rPr>
                    <w:t>0.252</w:t>
                  </w:r>
                </w:p>
              </w:tc>
              <w:tc>
                <w:tcPr>
                  <w:tcW w:w="611" w:type="dxa"/>
                  <w:tcBorders>
                    <w:tl2br w:val="nil"/>
                    <w:tr2bl w:val="nil"/>
                  </w:tcBorders>
                  <w:noWrap w:val="0"/>
                  <w:vAlign w:val="center"/>
                </w:tcPr>
                <w:p w14:paraId="22D67B29">
                  <w:pPr>
                    <w:jc w:val="center"/>
                    <w:rPr>
                      <w:rFonts w:hint="eastAsia" w:ascii="Times New Roman" w:hAnsi="Times New Roman" w:eastAsia="宋体" w:cs="Times New Roman"/>
                      <w:kern w:val="2"/>
                      <w:sz w:val="18"/>
                      <w:szCs w:val="18"/>
                      <w:lang w:val="en-US" w:eastAsia="zh-CN" w:bidi="ar-SA"/>
                    </w:rPr>
                  </w:pPr>
                  <w:r>
                    <w:rPr>
                      <w:rFonts w:hint="eastAsia"/>
                      <w:sz w:val="18"/>
                      <w:szCs w:val="18"/>
                    </w:rPr>
                    <w:t>0.0005</w:t>
                  </w:r>
                </w:p>
              </w:tc>
              <w:tc>
                <w:tcPr>
                  <w:tcW w:w="683" w:type="dxa"/>
                  <w:tcBorders>
                    <w:tl2br w:val="nil"/>
                    <w:tr2bl w:val="nil"/>
                  </w:tcBorders>
                  <w:noWrap w:val="0"/>
                  <w:vAlign w:val="center"/>
                </w:tcPr>
                <w:p w14:paraId="67D8D501">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2ECD4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43587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23046EC6">
                  <w:pPr>
                    <w:jc w:val="center"/>
                    <w:rPr>
                      <w:rFonts w:hint="eastAsia" w:ascii="Times New Roman" w:hAnsi="Times New Roman" w:eastAsia="宋体" w:cs="Times New Roman"/>
                      <w:kern w:val="2"/>
                      <w:sz w:val="18"/>
                      <w:szCs w:val="18"/>
                      <w:lang w:val="en-US" w:eastAsia="zh-CN" w:bidi="ar-SA"/>
                    </w:rPr>
                  </w:pPr>
                  <w:r>
                    <w:rPr>
                      <w:rFonts w:hint="eastAsia"/>
                      <w:sz w:val="18"/>
                      <w:szCs w:val="18"/>
                    </w:rPr>
                    <w:t>0.021</w:t>
                  </w:r>
                </w:p>
              </w:tc>
            </w:tr>
            <w:tr w14:paraId="7D039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4" w:hRule="atLeast"/>
              </w:trPr>
              <w:tc>
                <w:tcPr>
                  <w:tcW w:w="415" w:type="dxa"/>
                  <w:vMerge w:val="continue"/>
                  <w:tcBorders>
                    <w:tl2br w:val="nil"/>
                    <w:tr2bl w:val="nil"/>
                  </w:tcBorders>
                  <w:noWrap w:val="0"/>
                  <w:vAlign w:val="center"/>
                </w:tcPr>
                <w:p w14:paraId="1CD9D97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000726C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568C3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11月</w:t>
                  </w:r>
                </w:p>
              </w:tc>
              <w:tc>
                <w:tcPr>
                  <w:tcW w:w="545" w:type="dxa"/>
                  <w:tcBorders>
                    <w:tl2br w:val="nil"/>
                    <w:tr2bl w:val="nil"/>
                  </w:tcBorders>
                  <w:noWrap w:val="0"/>
                  <w:vAlign w:val="center"/>
                </w:tcPr>
                <w:p w14:paraId="3A633F04">
                  <w:pPr>
                    <w:ind w:firstLine="90" w:firstLineChars="50"/>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3342F884">
                  <w:pPr>
                    <w:jc w:val="center"/>
                    <w:rPr>
                      <w:rFonts w:hint="eastAsia" w:ascii="Times New Roman" w:hAnsi="Times New Roman" w:eastAsia="宋体" w:cs="Times New Roman"/>
                      <w:kern w:val="2"/>
                      <w:sz w:val="18"/>
                      <w:szCs w:val="18"/>
                      <w:lang w:val="en-US" w:eastAsia="zh-CN" w:bidi="ar-SA"/>
                    </w:rPr>
                  </w:pPr>
                  <w:r>
                    <w:rPr>
                      <w:rFonts w:hint="eastAsia"/>
                      <w:sz w:val="18"/>
                      <w:szCs w:val="18"/>
                    </w:rPr>
                    <w:t>4</w:t>
                  </w:r>
                </w:p>
              </w:tc>
              <w:tc>
                <w:tcPr>
                  <w:tcW w:w="539" w:type="dxa"/>
                  <w:tcBorders>
                    <w:tl2br w:val="nil"/>
                    <w:tr2bl w:val="nil"/>
                  </w:tcBorders>
                  <w:noWrap w:val="0"/>
                  <w:vAlign w:val="center"/>
                </w:tcPr>
                <w:p w14:paraId="78FD4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742" w:type="dxa"/>
                  <w:tcBorders>
                    <w:tl2br w:val="nil"/>
                    <w:tr2bl w:val="nil"/>
                  </w:tcBorders>
                  <w:noWrap w:val="0"/>
                  <w:vAlign w:val="center"/>
                </w:tcPr>
                <w:p w14:paraId="1E097DE3">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438" w:type="dxa"/>
                  <w:tcBorders>
                    <w:tl2br w:val="nil"/>
                    <w:tr2bl w:val="nil"/>
                  </w:tcBorders>
                  <w:noWrap w:val="0"/>
                  <w:vAlign w:val="center"/>
                </w:tcPr>
                <w:p w14:paraId="49071F04">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520" w:type="dxa"/>
                  <w:tcBorders>
                    <w:tl2br w:val="nil"/>
                    <w:tr2bl w:val="nil"/>
                  </w:tcBorders>
                  <w:noWrap w:val="0"/>
                  <w:vAlign w:val="center"/>
                </w:tcPr>
                <w:p w14:paraId="25C26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629" w:type="dxa"/>
                  <w:tcBorders>
                    <w:tl2br w:val="nil"/>
                    <w:tr2bl w:val="nil"/>
                  </w:tcBorders>
                  <w:noWrap w:val="0"/>
                  <w:vAlign w:val="center"/>
                </w:tcPr>
                <w:p w14:paraId="67F9B43E">
                  <w:pPr>
                    <w:jc w:val="center"/>
                    <w:rPr>
                      <w:rFonts w:hint="eastAsia" w:ascii="Times New Roman" w:hAnsi="Times New Roman" w:eastAsia="宋体" w:cs="Times New Roman"/>
                      <w:kern w:val="2"/>
                      <w:sz w:val="18"/>
                      <w:szCs w:val="18"/>
                      <w:lang w:val="en-US" w:eastAsia="zh-CN" w:bidi="ar-SA"/>
                    </w:rPr>
                  </w:pPr>
                  <w:r>
                    <w:rPr>
                      <w:rFonts w:hint="eastAsia"/>
                      <w:sz w:val="18"/>
                      <w:szCs w:val="18"/>
                    </w:rPr>
                    <w:t>0.084</w:t>
                  </w:r>
                </w:p>
              </w:tc>
              <w:tc>
                <w:tcPr>
                  <w:tcW w:w="611" w:type="dxa"/>
                  <w:tcBorders>
                    <w:tl2br w:val="nil"/>
                    <w:tr2bl w:val="nil"/>
                  </w:tcBorders>
                  <w:noWrap w:val="0"/>
                  <w:vAlign w:val="center"/>
                </w:tcPr>
                <w:p w14:paraId="38F08B1C">
                  <w:pPr>
                    <w:jc w:val="center"/>
                    <w:rPr>
                      <w:rFonts w:hint="eastAsia" w:ascii="Times New Roman" w:hAnsi="Times New Roman" w:eastAsia="宋体" w:cs="Times New Roman"/>
                      <w:kern w:val="2"/>
                      <w:sz w:val="18"/>
                      <w:szCs w:val="18"/>
                      <w:lang w:val="en-US" w:eastAsia="zh-CN" w:bidi="ar-SA"/>
                    </w:rPr>
                  </w:pPr>
                  <w:r>
                    <w:rPr>
                      <w:rFonts w:hint="eastAsia"/>
                      <w:sz w:val="18"/>
                      <w:szCs w:val="18"/>
                    </w:rPr>
                    <w:t>0.0004</w:t>
                  </w:r>
                </w:p>
              </w:tc>
              <w:tc>
                <w:tcPr>
                  <w:tcW w:w="683" w:type="dxa"/>
                  <w:tcBorders>
                    <w:tl2br w:val="nil"/>
                    <w:tr2bl w:val="nil"/>
                  </w:tcBorders>
                  <w:noWrap w:val="0"/>
                  <w:vAlign w:val="center"/>
                </w:tcPr>
                <w:p w14:paraId="5AC4B0ED">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50BF1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39686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64D12AFA">
                  <w:pPr>
                    <w:jc w:val="center"/>
                    <w:rPr>
                      <w:rFonts w:hint="eastAsia" w:ascii="Times New Roman" w:hAnsi="Times New Roman" w:eastAsia="宋体" w:cs="Times New Roman"/>
                      <w:kern w:val="2"/>
                      <w:sz w:val="18"/>
                      <w:szCs w:val="18"/>
                      <w:lang w:val="en-US" w:eastAsia="zh-CN" w:bidi="ar-SA"/>
                    </w:rPr>
                  </w:pPr>
                  <w:r>
                    <w:rPr>
                      <w:rFonts w:hint="eastAsia"/>
                      <w:sz w:val="18"/>
                      <w:szCs w:val="18"/>
                    </w:rPr>
                    <w:t>0.017</w:t>
                  </w:r>
                </w:p>
              </w:tc>
            </w:tr>
            <w:tr w14:paraId="1D6421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15" w:type="dxa"/>
                  <w:vMerge w:val="continue"/>
                  <w:tcBorders>
                    <w:tl2br w:val="nil"/>
                    <w:tr2bl w:val="nil"/>
                  </w:tcBorders>
                  <w:noWrap w:val="0"/>
                  <w:vAlign w:val="center"/>
                </w:tcPr>
                <w:p w14:paraId="058051D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51" w:type="dxa"/>
                  <w:vMerge w:val="continue"/>
                  <w:tcBorders>
                    <w:tl2br w:val="nil"/>
                    <w:tr2bl w:val="nil"/>
                  </w:tcBorders>
                  <w:noWrap w:val="0"/>
                  <w:vAlign w:val="center"/>
                </w:tcPr>
                <w:p w14:paraId="5C82E47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p>
              </w:tc>
              <w:tc>
                <w:tcPr>
                  <w:tcW w:w="594" w:type="dxa"/>
                  <w:tcBorders>
                    <w:tl2br w:val="nil"/>
                    <w:tr2bl w:val="nil"/>
                  </w:tcBorders>
                  <w:noWrap w:val="0"/>
                  <w:vAlign w:val="center"/>
                </w:tcPr>
                <w:p w14:paraId="5DB69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12月</w:t>
                  </w:r>
                </w:p>
              </w:tc>
              <w:tc>
                <w:tcPr>
                  <w:tcW w:w="545" w:type="dxa"/>
                  <w:tcBorders>
                    <w:tl2br w:val="nil"/>
                    <w:tr2bl w:val="nil"/>
                  </w:tcBorders>
                  <w:noWrap w:val="0"/>
                  <w:vAlign w:val="center"/>
                </w:tcPr>
                <w:p w14:paraId="3647232D">
                  <w:pPr>
                    <w:ind w:firstLine="90" w:firstLineChars="50"/>
                    <w:rPr>
                      <w:rFonts w:hint="eastAsia" w:ascii="Times New Roman" w:hAnsi="Times New Roman" w:eastAsia="宋体" w:cs="Times New Roman"/>
                      <w:kern w:val="2"/>
                      <w:sz w:val="18"/>
                      <w:szCs w:val="18"/>
                      <w:lang w:val="en-US" w:eastAsia="zh-CN" w:bidi="ar-SA"/>
                    </w:rPr>
                  </w:pPr>
                  <w:r>
                    <w:rPr>
                      <w:rFonts w:hint="eastAsia"/>
                      <w:sz w:val="18"/>
                      <w:szCs w:val="18"/>
                    </w:rPr>
                    <w:t>7.8</w:t>
                  </w:r>
                </w:p>
              </w:tc>
              <w:tc>
                <w:tcPr>
                  <w:tcW w:w="478" w:type="dxa"/>
                  <w:tcBorders>
                    <w:tl2br w:val="nil"/>
                    <w:tr2bl w:val="nil"/>
                  </w:tcBorders>
                  <w:noWrap w:val="0"/>
                  <w:vAlign w:val="center"/>
                </w:tcPr>
                <w:p w14:paraId="5105801C">
                  <w:pPr>
                    <w:jc w:val="center"/>
                    <w:rPr>
                      <w:rFonts w:hint="eastAsia" w:ascii="Times New Roman" w:hAnsi="Times New Roman" w:eastAsia="宋体" w:cs="Times New Roman"/>
                      <w:kern w:val="2"/>
                      <w:sz w:val="18"/>
                      <w:szCs w:val="18"/>
                      <w:lang w:val="en-US" w:eastAsia="zh-CN" w:bidi="ar-SA"/>
                    </w:rPr>
                  </w:pPr>
                  <w:r>
                    <w:rPr>
                      <w:rFonts w:hint="eastAsia"/>
                      <w:sz w:val="18"/>
                      <w:szCs w:val="18"/>
                    </w:rPr>
                    <w:t>8</w:t>
                  </w:r>
                </w:p>
              </w:tc>
              <w:tc>
                <w:tcPr>
                  <w:tcW w:w="539" w:type="dxa"/>
                  <w:tcBorders>
                    <w:tl2br w:val="nil"/>
                    <w:tr2bl w:val="nil"/>
                  </w:tcBorders>
                  <w:noWrap w:val="0"/>
                  <w:vAlign w:val="center"/>
                </w:tcPr>
                <w:p w14:paraId="0C0C7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742" w:type="dxa"/>
                  <w:tcBorders>
                    <w:tl2br w:val="nil"/>
                    <w:tr2bl w:val="nil"/>
                  </w:tcBorders>
                  <w:noWrap w:val="0"/>
                  <w:vAlign w:val="center"/>
                </w:tcPr>
                <w:p w14:paraId="44C522F8">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438" w:type="dxa"/>
                  <w:tcBorders>
                    <w:tl2br w:val="nil"/>
                    <w:tr2bl w:val="nil"/>
                  </w:tcBorders>
                  <w:noWrap w:val="0"/>
                  <w:vAlign w:val="center"/>
                </w:tcPr>
                <w:p w14:paraId="21B8A1DF">
                  <w:pPr>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520" w:type="dxa"/>
                  <w:tcBorders>
                    <w:tl2br w:val="nil"/>
                    <w:tr2bl w:val="nil"/>
                  </w:tcBorders>
                  <w:noWrap w:val="0"/>
                  <w:vAlign w:val="center"/>
                </w:tcPr>
                <w:p w14:paraId="6185C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629" w:type="dxa"/>
                  <w:tcBorders>
                    <w:tl2br w:val="nil"/>
                    <w:tr2bl w:val="nil"/>
                  </w:tcBorders>
                  <w:noWrap w:val="0"/>
                  <w:vAlign w:val="center"/>
                </w:tcPr>
                <w:p w14:paraId="2950EF6D">
                  <w:pPr>
                    <w:jc w:val="center"/>
                    <w:rPr>
                      <w:rFonts w:hint="eastAsia" w:ascii="Times New Roman" w:hAnsi="Times New Roman" w:eastAsia="宋体" w:cs="Times New Roman"/>
                      <w:kern w:val="2"/>
                      <w:sz w:val="18"/>
                      <w:szCs w:val="18"/>
                      <w:lang w:val="en-US" w:eastAsia="zh-CN" w:bidi="ar-SA"/>
                    </w:rPr>
                  </w:pPr>
                  <w:r>
                    <w:rPr>
                      <w:rFonts w:hint="eastAsia"/>
                      <w:sz w:val="18"/>
                      <w:szCs w:val="18"/>
                    </w:rPr>
                    <w:t>0.092</w:t>
                  </w:r>
                </w:p>
              </w:tc>
              <w:tc>
                <w:tcPr>
                  <w:tcW w:w="611" w:type="dxa"/>
                  <w:tcBorders>
                    <w:tl2br w:val="nil"/>
                    <w:tr2bl w:val="nil"/>
                  </w:tcBorders>
                  <w:noWrap w:val="0"/>
                  <w:vAlign w:val="center"/>
                </w:tcPr>
                <w:p w14:paraId="2A2BE5DA">
                  <w:pPr>
                    <w:jc w:val="center"/>
                    <w:rPr>
                      <w:rFonts w:hint="eastAsia" w:ascii="Times New Roman" w:hAnsi="Times New Roman" w:eastAsia="宋体" w:cs="Times New Roman"/>
                      <w:kern w:val="2"/>
                      <w:sz w:val="18"/>
                      <w:szCs w:val="18"/>
                      <w:lang w:val="en-US" w:eastAsia="zh-CN" w:bidi="ar-SA"/>
                    </w:rPr>
                  </w:pPr>
                  <w:r>
                    <w:rPr>
                      <w:rFonts w:hint="eastAsia"/>
                      <w:sz w:val="18"/>
                      <w:szCs w:val="18"/>
                    </w:rPr>
                    <w:t>0.0004</w:t>
                  </w:r>
                </w:p>
              </w:tc>
              <w:tc>
                <w:tcPr>
                  <w:tcW w:w="683" w:type="dxa"/>
                  <w:tcBorders>
                    <w:tl2br w:val="nil"/>
                    <w:tr2bl w:val="nil"/>
                  </w:tcBorders>
                  <w:noWrap w:val="0"/>
                  <w:vAlign w:val="center"/>
                </w:tcPr>
                <w:p w14:paraId="5CF535AC">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465" w:type="dxa"/>
                  <w:tcBorders>
                    <w:tl2br w:val="nil"/>
                    <w:tr2bl w:val="nil"/>
                  </w:tcBorders>
                  <w:noWrap w:val="0"/>
                  <w:vAlign w:val="center"/>
                </w:tcPr>
                <w:p w14:paraId="26E9D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0.0004</w:t>
                  </w:r>
                </w:p>
              </w:tc>
              <w:tc>
                <w:tcPr>
                  <w:tcW w:w="465" w:type="dxa"/>
                  <w:tcBorders>
                    <w:tl2br w:val="nil"/>
                    <w:tr2bl w:val="nil"/>
                  </w:tcBorders>
                  <w:noWrap w:val="0"/>
                  <w:vAlign w:val="center"/>
                </w:tcPr>
                <w:p w14:paraId="42D11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未检出</w:t>
                  </w:r>
                </w:p>
              </w:tc>
              <w:tc>
                <w:tcPr>
                  <w:tcW w:w="538" w:type="dxa"/>
                  <w:tcBorders>
                    <w:tl2br w:val="nil"/>
                    <w:tr2bl w:val="nil"/>
                  </w:tcBorders>
                  <w:noWrap w:val="0"/>
                  <w:vAlign w:val="center"/>
                </w:tcPr>
                <w:p w14:paraId="038A9B2F">
                  <w:pPr>
                    <w:jc w:val="center"/>
                    <w:rPr>
                      <w:rFonts w:hint="eastAsia" w:ascii="Times New Roman" w:hAnsi="Times New Roman" w:eastAsia="宋体" w:cs="Times New Roman"/>
                      <w:kern w:val="2"/>
                      <w:sz w:val="18"/>
                      <w:szCs w:val="18"/>
                      <w:lang w:val="en-US" w:eastAsia="zh-CN" w:bidi="ar-SA"/>
                    </w:rPr>
                  </w:pPr>
                  <w:r>
                    <w:rPr>
                      <w:rFonts w:hint="eastAsia"/>
                      <w:sz w:val="18"/>
                      <w:szCs w:val="18"/>
                    </w:rPr>
                    <w:t>未检出</w:t>
                  </w:r>
                </w:p>
              </w:tc>
            </w:tr>
            <w:tr w14:paraId="7DA658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60" w:type="dxa"/>
                  <w:gridSpan w:val="3"/>
                  <w:tcBorders>
                    <w:tl2br w:val="nil"/>
                    <w:tr2bl w:val="nil"/>
                  </w:tcBorders>
                  <w:noWrap w:val="0"/>
                  <w:vAlign w:val="center"/>
                </w:tcPr>
                <w:p w14:paraId="21FDC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pacing w:val="0"/>
                      <w:sz w:val="21"/>
                      <w:szCs w:val="21"/>
                      <w:u w:val="none"/>
                      <w:vertAlign w:val="baseline"/>
                      <w:lang w:eastAsia="zh-CN"/>
                    </w:rPr>
                  </w:pPr>
                  <w:r>
                    <w:rPr>
                      <w:rFonts w:hint="eastAsia"/>
                      <w:color w:val="auto"/>
                      <w:sz w:val="18"/>
                      <w:szCs w:val="18"/>
                    </w:rPr>
                    <w:t>地表水环境质量标准（GB3838-2002）II类</w:t>
                  </w:r>
                </w:p>
              </w:tc>
              <w:tc>
                <w:tcPr>
                  <w:tcW w:w="545" w:type="dxa"/>
                  <w:tcBorders>
                    <w:tl2br w:val="nil"/>
                    <w:tr2bl w:val="nil"/>
                  </w:tcBorders>
                  <w:noWrap w:val="0"/>
                  <w:vAlign w:val="center"/>
                </w:tcPr>
                <w:p w14:paraId="7E63E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pacing w:val="0"/>
                      <w:sz w:val="21"/>
                      <w:szCs w:val="21"/>
                      <w:u w:val="none"/>
                      <w:vertAlign w:val="baseline"/>
                      <w:lang w:eastAsia="zh-CN"/>
                    </w:rPr>
                  </w:pPr>
                  <w:r>
                    <w:rPr>
                      <w:rFonts w:hint="eastAsia"/>
                      <w:color w:val="auto"/>
                      <w:sz w:val="18"/>
                      <w:szCs w:val="18"/>
                    </w:rPr>
                    <w:t>6-9</w:t>
                  </w:r>
                </w:p>
              </w:tc>
              <w:tc>
                <w:tcPr>
                  <w:tcW w:w="478" w:type="dxa"/>
                  <w:tcBorders>
                    <w:tl2br w:val="nil"/>
                    <w:tr2bl w:val="nil"/>
                  </w:tcBorders>
                  <w:noWrap w:val="0"/>
                  <w:vAlign w:val="center"/>
                </w:tcPr>
                <w:p w14:paraId="2D2E1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pacing w:val="0"/>
                      <w:sz w:val="21"/>
                      <w:szCs w:val="21"/>
                      <w:u w:val="none"/>
                      <w:vertAlign w:val="baseline"/>
                      <w:lang w:eastAsia="zh-CN"/>
                    </w:rPr>
                  </w:pPr>
                  <w:r>
                    <w:rPr>
                      <w:rFonts w:hint="eastAsia"/>
                      <w:color w:val="auto"/>
                      <w:sz w:val="18"/>
                      <w:szCs w:val="18"/>
                    </w:rPr>
                    <w:t>≤15</w:t>
                  </w:r>
                </w:p>
              </w:tc>
              <w:tc>
                <w:tcPr>
                  <w:tcW w:w="539" w:type="dxa"/>
                  <w:tcBorders>
                    <w:tl2br w:val="nil"/>
                    <w:tr2bl w:val="nil"/>
                  </w:tcBorders>
                  <w:noWrap w:val="0"/>
                  <w:vAlign w:val="center"/>
                </w:tcPr>
                <w:p w14:paraId="060CE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w:t>
                  </w:r>
                  <w:r>
                    <w:rPr>
                      <w:rFonts w:hint="eastAsia"/>
                      <w:color w:val="auto"/>
                      <w:sz w:val="18"/>
                      <w:szCs w:val="18"/>
                      <w:lang w:val="en-US" w:eastAsia="zh-CN"/>
                    </w:rPr>
                    <w:t>1.0</w:t>
                  </w:r>
                </w:p>
              </w:tc>
              <w:tc>
                <w:tcPr>
                  <w:tcW w:w="742" w:type="dxa"/>
                  <w:tcBorders>
                    <w:tl2br w:val="nil"/>
                    <w:tr2bl w:val="nil"/>
                  </w:tcBorders>
                  <w:noWrap w:val="0"/>
                  <w:vAlign w:val="center"/>
                </w:tcPr>
                <w:p w14:paraId="30DC1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w:t>
                  </w:r>
                  <w:r>
                    <w:rPr>
                      <w:rFonts w:hint="eastAsia"/>
                      <w:color w:val="auto"/>
                      <w:sz w:val="18"/>
                      <w:szCs w:val="18"/>
                      <w:lang w:val="en-US" w:eastAsia="zh-CN"/>
                    </w:rPr>
                    <w:t>0.01</w:t>
                  </w:r>
                </w:p>
              </w:tc>
              <w:tc>
                <w:tcPr>
                  <w:tcW w:w="438" w:type="dxa"/>
                  <w:tcBorders>
                    <w:tl2br w:val="nil"/>
                    <w:tr2bl w:val="nil"/>
                  </w:tcBorders>
                  <w:noWrap w:val="0"/>
                  <w:vAlign w:val="center"/>
                </w:tcPr>
                <w:p w14:paraId="2AB25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w:t>
                  </w:r>
                  <w:r>
                    <w:rPr>
                      <w:rFonts w:hint="eastAsia"/>
                      <w:color w:val="auto"/>
                      <w:sz w:val="18"/>
                      <w:szCs w:val="18"/>
                      <w:lang w:val="en-US" w:eastAsia="zh-CN"/>
                    </w:rPr>
                    <w:t>1.0</w:t>
                  </w:r>
                </w:p>
              </w:tc>
              <w:tc>
                <w:tcPr>
                  <w:tcW w:w="520" w:type="dxa"/>
                  <w:tcBorders>
                    <w:tl2br w:val="nil"/>
                    <w:tr2bl w:val="nil"/>
                  </w:tcBorders>
                  <w:noWrap w:val="0"/>
                  <w:vAlign w:val="center"/>
                </w:tcPr>
                <w:p w14:paraId="0C6B36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w:t>
                  </w:r>
                  <w:r>
                    <w:rPr>
                      <w:rFonts w:hint="eastAsia"/>
                      <w:color w:val="auto"/>
                      <w:sz w:val="18"/>
                      <w:szCs w:val="18"/>
                      <w:lang w:val="en-US" w:eastAsia="zh-CN"/>
                    </w:rPr>
                    <w:t>0.005</w:t>
                  </w:r>
                </w:p>
              </w:tc>
              <w:tc>
                <w:tcPr>
                  <w:tcW w:w="629" w:type="dxa"/>
                  <w:tcBorders>
                    <w:tl2br w:val="nil"/>
                    <w:tr2bl w:val="nil"/>
                  </w:tcBorders>
                  <w:noWrap w:val="0"/>
                  <w:vAlign w:val="center"/>
                </w:tcPr>
                <w:p w14:paraId="23875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≤0.</w:t>
                  </w:r>
                  <w:r>
                    <w:rPr>
                      <w:rFonts w:hint="eastAsia"/>
                      <w:color w:val="auto"/>
                      <w:sz w:val="18"/>
                      <w:szCs w:val="18"/>
                      <w:lang w:val="en-US" w:eastAsia="zh-CN"/>
                    </w:rPr>
                    <w:t>5</w:t>
                  </w:r>
                </w:p>
              </w:tc>
              <w:tc>
                <w:tcPr>
                  <w:tcW w:w="611" w:type="dxa"/>
                  <w:tcBorders>
                    <w:tl2br w:val="nil"/>
                    <w:tr2bl w:val="nil"/>
                  </w:tcBorders>
                  <w:noWrap w:val="0"/>
                  <w:vAlign w:val="center"/>
                </w:tcPr>
                <w:p w14:paraId="180B2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w:t>
                  </w:r>
                  <w:r>
                    <w:rPr>
                      <w:rFonts w:hint="eastAsia"/>
                      <w:color w:val="auto"/>
                      <w:sz w:val="18"/>
                      <w:szCs w:val="18"/>
                      <w:lang w:val="en-US" w:eastAsia="zh-CN"/>
                    </w:rPr>
                    <w:t>0.05</w:t>
                  </w:r>
                </w:p>
              </w:tc>
              <w:tc>
                <w:tcPr>
                  <w:tcW w:w="683" w:type="dxa"/>
                  <w:tcBorders>
                    <w:tl2br w:val="nil"/>
                    <w:tr2bl w:val="nil"/>
                  </w:tcBorders>
                  <w:noWrap w:val="0"/>
                  <w:vAlign w:val="center"/>
                </w:tcPr>
                <w:p w14:paraId="74CA0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w:t>
                  </w:r>
                  <w:r>
                    <w:rPr>
                      <w:rFonts w:hint="eastAsia"/>
                      <w:color w:val="auto"/>
                      <w:sz w:val="18"/>
                      <w:szCs w:val="18"/>
                      <w:lang w:val="en-US" w:eastAsia="zh-CN"/>
                    </w:rPr>
                    <w:t>0.00005</w:t>
                  </w:r>
                </w:p>
              </w:tc>
              <w:tc>
                <w:tcPr>
                  <w:tcW w:w="465" w:type="dxa"/>
                  <w:tcBorders>
                    <w:tl2br w:val="nil"/>
                    <w:tr2bl w:val="nil"/>
                  </w:tcBorders>
                  <w:noWrap w:val="0"/>
                  <w:vAlign w:val="center"/>
                </w:tcPr>
                <w:p w14:paraId="55228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w:t>
                  </w:r>
                  <w:r>
                    <w:rPr>
                      <w:rFonts w:hint="eastAsia"/>
                      <w:color w:val="auto"/>
                      <w:sz w:val="18"/>
                      <w:szCs w:val="18"/>
                      <w:lang w:val="en-US" w:eastAsia="zh-CN"/>
                    </w:rPr>
                    <w:t>0.01</w:t>
                  </w:r>
                </w:p>
              </w:tc>
              <w:tc>
                <w:tcPr>
                  <w:tcW w:w="465" w:type="dxa"/>
                  <w:tcBorders>
                    <w:tl2br w:val="nil"/>
                    <w:tr2bl w:val="nil"/>
                  </w:tcBorders>
                  <w:noWrap w:val="0"/>
                  <w:vAlign w:val="center"/>
                </w:tcPr>
                <w:p w14:paraId="5D2CD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u w:val="none"/>
                      <w:vertAlign w:val="baseline"/>
                      <w:lang w:val="en-US" w:eastAsia="zh-CN"/>
                    </w:rPr>
                  </w:pPr>
                  <w:r>
                    <w:rPr>
                      <w:rFonts w:hint="eastAsia"/>
                      <w:color w:val="auto"/>
                      <w:sz w:val="18"/>
                      <w:szCs w:val="18"/>
                    </w:rPr>
                    <w:t>≤0.</w:t>
                  </w:r>
                  <w:r>
                    <w:rPr>
                      <w:rFonts w:hint="eastAsia"/>
                      <w:color w:val="auto"/>
                      <w:sz w:val="18"/>
                      <w:szCs w:val="18"/>
                      <w:lang w:val="en-US" w:eastAsia="zh-CN"/>
                    </w:rPr>
                    <w:t>05</w:t>
                  </w:r>
                </w:p>
              </w:tc>
              <w:tc>
                <w:tcPr>
                  <w:tcW w:w="538" w:type="dxa"/>
                  <w:tcBorders>
                    <w:tl2br w:val="nil"/>
                    <w:tr2bl w:val="nil"/>
                  </w:tcBorders>
                  <w:noWrap w:val="0"/>
                  <w:vAlign w:val="center"/>
                </w:tcPr>
                <w:p w14:paraId="49C45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pacing w:val="0"/>
                      <w:sz w:val="21"/>
                      <w:szCs w:val="21"/>
                      <w:u w:val="none"/>
                      <w:vertAlign w:val="baseline"/>
                      <w:lang w:eastAsia="zh-CN"/>
                    </w:rPr>
                  </w:pPr>
                  <w:r>
                    <w:rPr>
                      <w:rFonts w:hint="eastAsia"/>
                      <w:color w:val="auto"/>
                      <w:sz w:val="18"/>
                      <w:szCs w:val="18"/>
                    </w:rPr>
                    <w:t>≤0.1</w:t>
                  </w:r>
                </w:p>
              </w:tc>
            </w:tr>
            <w:tr w14:paraId="1BFE3B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 w:hRule="atLeast"/>
              </w:trPr>
              <w:tc>
                <w:tcPr>
                  <w:tcW w:w="1560" w:type="dxa"/>
                  <w:gridSpan w:val="3"/>
                  <w:tcBorders>
                    <w:tl2br w:val="nil"/>
                    <w:tr2bl w:val="nil"/>
                  </w:tcBorders>
                  <w:noWrap w:val="0"/>
                  <w:vAlign w:val="center"/>
                </w:tcPr>
                <w:p w14:paraId="16DEF1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最大超标倍数</w:t>
                  </w:r>
                </w:p>
              </w:tc>
              <w:tc>
                <w:tcPr>
                  <w:tcW w:w="545" w:type="dxa"/>
                  <w:tcBorders>
                    <w:tl2br w:val="nil"/>
                    <w:tr2bl w:val="nil"/>
                  </w:tcBorders>
                  <w:noWrap w:val="0"/>
                  <w:vAlign w:val="center"/>
                </w:tcPr>
                <w:p w14:paraId="31F88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w:t>
                  </w:r>
                </w:p>
              </w:tc>
              <w:tc>
                <w:tcPr>
                  <w:tcW w:w="478" w:type="dxa"/>
                  <w:tcBorders>
                    <w:tl2br w:val="nil"/>
                    <w:tr2bl w:val="nil"/>
                  </w:tcBorders>
                  <w:noWrap w:val="0"/>
                  <w:vAlign w:val="center"/>
                </w:tcPr>
                <w:p w14:paraId="1515E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539" w:type="dxa"/>
                  <w:tcBorders>
                    <w:tl2br w:val="nil"/>
                    <w:tr2bl w:val="nil"/>
                  </w:tcBorders>
                  <w:noWrap w:val="0"/>
                  <w:vAlign w:val="center"/>
                </w:tcPr>
                <w:p w14:paraId="52101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742" w:type="dxa"/>
                  <w:tcBorders>
                    <w:tl2br w:val="nil"/>
                    <w:tr2bl w:val="nil"/>
                  </w:tcBorders>
                  <w:noWrap w:val="0"/>
                  <w:vAlign w:val="center"/>
                </w:tcPr>
                <w:p w14:paraId="56954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438" w:type="dxa"/>
                  <w:tcBorders>
                    <w:tl2br w:val="nil"/>
                    <w:tr2bl w:val="nil"/>
                  </w:tcBorders>
                  <w:noWrap w:val="0"/>
                  <w:vAlign w:val="center"/>
                </w:tcPr>
                <w:p w14:paraId="2F833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520" w:type="dxa"/>
                  <w:tcBorders>
                    <w:tl2br w:val="nil"/>
                    <w:tr2bl w:val="nil"/>
                  </w:tcBorders>
                  <w:noWrap w:val="0"/>
                  <w:vAlign w:val="center"/>
                </w:tcPr>
                <w:p w14:paraId="04B00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629" w:type="dxa"/>
                  <w:tcBorders>
                    <w:tl2br w:val="nil"/>
                    <w:tr2bl w:val="nil"/>
                  </w:tcBorders>
                  <w:noWrap w:val="0"/>
                  <w:vAlign w:val="center"/>
                </w:tcPr>
                <w:p w14:paraId="5F282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611" w:type="dxa"/>
                  <w:tcBorders>
                    <w:tl2br w:val="nil"/>
                    <w:tr2bl w:val="nil"/>
                  </w:tcBorders>
                  <w:noWrap w:val="0"/>
                  <w:vAlign w:val="center"/>
                </w:tcPr>
                <w:p w14:paraId="26A2E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683" w:type="dxa"/>
                  <w:tcBorders>
                    <w:tl2br w:val="nil"/>
                    <w:tr2bl w:val="nil"/>
                  </w:tcBorders>
                  <w:noWrap w:val="0"/>
                  <w:vAlign w:val="center"/>
                </w:tcPr>
                <w:p w14:paraId="56A17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465" w:type="dxa"/>
                  <w:tcBorders>
                    <w:tl2br w:val="nil"/>
                    <w:tr2bl w:val="nil"/>
                  </w:tcBorders>
                  <w:noWrap w:val="0"/>
                  <w:vAlign w:val="center"/>
                </w:tcPr>
                <w:p w14:paraId="11F16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465" w:type="dxa"/>
                  <w:tcBorders>
                    <w:tl2br w:val="nil"/>
                    <w:tr2bl w:val="nil"/>
                  </w:tcBorders>
                  <w:noWrap w:val="0"/>
                  <w:vAlign w:val="center"/>
                </w:tcPr>
                <w:p w14:paraId="6162C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c>
                <w:tcPr>
                  <w:tcW w:w="538" w:type="dxa"/>
                  <w:tcBorders>
                    <w:tl2br w:val="nil"/>
                    <w:tr2bl w:val="nil"/>
                  </w:tcBorders>
                  <w:noWrap w:val="0"/>
                  <w:vAlign w:val="center"/>
                </w:tcPr>
                <w:p w14:paraId="06744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pacing w:val="0"/>
                      <w:sz w:val="21"/>
                      <w:szCs w:val="21"/>
                      <w:u w:val="none"/>
                      <w:vertAlign w:val="baseline"/>
                      <w:lang w:eastAsia="zh-CN"/>
                    </w:rPr>
                  </w:pPr>
                  <w:r>
                    <w:rPr>
                      <w:rFonts w:hint="eastAsia"/>
                      <w:sz w:val="18"/>
                      <w:szCs w:val="18"/>
                      <w:lang w:val="en-US" w:eastAsia="zh-CN"/>
                    </w:rPr>
                    <w:t>0</w:t>
                  </w:r>
                </w:p>
              </w:tc>
            </w:tr>
          </w:tbl>
          <w:p w14:paraId="346E0759">
            <w:pPr>
              <w:pStyle w:val="10"/>
              <w:keepNext w:val="0"/>
              <w:keepLines w:val="0"/>
              <w:suppressLineNumbers w:val="0"/>
              <w:spacing w:before="0" w:beforeAutospacing="0" w:after="0" w:afterAutospacing="0"/>
              <w:ind w:left="0" w:right="0"/>
              <w:rPr>
                <w:rFonts w:hint="eastAsia" w:ascii="Times New Roman" w:hAnsi="Times New Roman" w:eastAsia="宋体" w:cs="Times New Roman"/>
                <w:spacing w:val="0"/>
                <w:sz w:val="24"/>
                <w:szCs w:val="24"/>
                <w:u w:val="none"/>
                <w:lang w:eastAsia="zh-CN"/>
              </w:rPr>
            </w:pPr>
          </w:p>
          <w:p w14:paraId="0A361FB1">
            <w:pPr>
              <w:keepNext w:val="0"/>
              <w:keepLines w:val="0"/>
              <w:suppressLineNumbers w:val="0"/>
              <w:spacing w:before="0" w:beforeAutospacing="0" w:after="0" w:afterAutospacing="0" w:line="360" w:lineRule="auto"/>
              <w:ind w:left="0" w:right="0" w:firstLine="480" w:firstLineChars="200"/>
              <w:rPr>
                <w:rFonts w:hint="eastAsia"/>
                <w:lang w:val="zh-CN" w:eastAsia="zh-CN"/>
              </w:rPr>
            </w:pPr>
            <w:r>
              <w:rPr>
                <w:rFonts w:hint="eastAsia" w:ascii="Times New Roman" w:hAnsi="Times New Roman" w:eastAsia="宋体" w:cs="Times New Roman"/>
                <w:color w:val="000000"/>
                <w:kern w:val="2"/>
                <w:sz w:val="24"/>
                <w:szCs w:val="24"/>
                <w:lang w:val="zh-CN" w:eastAsia="zh-CN" w:bidi="ar-SA"/>
              </w:rPr>
              <w:t>由上表可知，</w:t>
            </w:r>
            <w:r>
              <w:rPr>
                <w:rFonts w:hint="eastAsia" w:ascii="Times New Roman" w:hAnsi="Times New Roman" w:eastAsia="宋体" w:cs="Times New Roman"/>
                <w:color w:val="000000"/>
                <w:kern w:val="2"/>
                <w:sz w:val="24"/>
                <w:szCs w:val="24"/>
                <w:lang w:val="en-US" w:eastAsia="zh-CN" w:bidi="ar-SA"/>
              </w:rPr>
              <w:t>三川镇</w:t>
            </w:r>
            <w:r>
              <w:rPr>
                <w:rFonts w:hint="eastAsia" w:ascii="Times New Roman" w:hAnsi="Times New Roman" w:eastAsia="宋体" w:cs="Times New Roman"/>
                <w:b w:val="0"/>
                <w:bCs/>
                <w:sz w:val="24"/>
                <w:lang w:val="en-US" w:eastAsia="zh-CN"/>
              </w:rPr>
              <w:t>淯</w:t>
            </w:r>
            <w:r>
              <w:rPr>
                <w:rFonts w:hint="eastAsia" w:ascii="Times New Roman" w:hAnsi="Times New Roman" w:eastAsia="宋体" w:cs="Times New Roman"/>
                <w:color w:val="000000"/>
                <w:kern w:val="2"/>
                <w:sz w:val="24"/>
                <w:szCs w:val="24"/>
                <w:lang w:val="en-US" w:eastAsia="zh-CN" w:bidi="ar-SA"/>
              </w:rPr>
              <w:t>河大红</w:t>
            </w:r>
            <w:r>
              <w:rPr>
                <w:rFonts w:hint="eastAsia" w:ascii="Times New Roman" w:hAnsi="Times New Roman" w:eastAsia="宋体" w:cs="Times New Roman"/>
                <w:color w:val="000000"/>
                <w:kern w:val="2"/>
                <w:sz w:val="24"/>
                <w:szCs w:val="24"/>
                <w:lang w:val="zh-CN" w:eastAsia="zh-CN" w:bidi="ar-SA"/>
              </w:rPr>
              <w:t>断面各监测因子监测浓度均能满足《地表水环境质量标准》（GB3838-2002）</w:t>
            </w:r>
            <w:r>
              <w:rPr>
                <w:rFonts w:hint="eastAsia" w:ascii="宋体" w:hAnsi="宋体" w:eastAsia="宋体" w:cs="宋体"/>
                <w:color w:val="000000"/>
                <w:kern w:val="2"/>
                <w:sz w:val="24"/>
                <w:szCs w:val="24"/>
                <w:lang w:val="zh-CN" w:eastAsia="zh-CN" w:bidi="ar-SA"/>
              </w:rPr>
              <w:t>Ⅱ</w:t>
            </w:r>
            <w:r>
              <w:rPr>
                <w:rFonts w:hint="eastAsia" w:ascii="Times New Roman" w:hAnsi="Times New Roman" w:eastAsia="宋体" w:cs="Times New Roman"/>
                <w:color w:val="000000"/>
                <w:kern w:val="2"/>
                <w:sz w:val="24"/>
                <w:szCs w:val="24"/>
                <w:lang w:val="zh-CN" w:eastAsia="zh-CN" w:bidi="ar-SA"/>
              </w:rPr>
              <w:t>类标准要求，区域地表水环境质量良好。</w:t>
            </w:r>
          </w:p>
          <w:p w14:paraId="64203A82">
            <w:pPr>
              <w:keepNext w:val="0"/>
              <w:keepLines w:val="0"/>
              <w:numPr>
                <w:ilvl w:val="0"/>
                <w:numId w:val="16"/>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color w:val="000000"/>
                <w:sz w:val="24"/>
                <w:szCs w:val="24"/>
                <w:u w:val="none"/>
              </w:rPr>
            </w:pPr>
            <w:r>
              <w:rPr>
                <w:rFonts w:hint="default" w:ascii="Times New Roman" w:hAnsi="Times New Roman" w:eastAsia="宋体" w:cs="Times New Roman"/>
                <w:b w:val="0"/>
                <w:bCs/>
                <w:color w:val="000000"/>
                <w:sz w:val="24"/>
                <w:szCs w:val="24"/>
                <w:u w:val="none"/>
              </w:rPr>
              <w:t>声环境质量现状</w:t>
            </w:r>
          </w:p>
          <w:p w14:paraId="6D6C4D21">
            <w:pPr>
              <w:keepNext w:val="0"/>
              <w:keepLines w:val="0"/>
              <w:numPr>
                <w:ilvl w:val="0"/>
                <w:numId w:val="0"/>
              </w:numPr>
              <w:suppressLineNumbers w:val="0"/>
              <w:spacing w:before="0" w:beforeAutospacing="0" w:after="0" w:afterAutospacing="0" w:line="360" w:lineRule="auto"/>
              <w:ind w:right="0" w:rightChars="0" w:firstLine="480" w:firstLineChars="200"/>
              <w:rPr>
                <w:rFonts w:hint="eastAsia" w:ascii="Times New Roman" w:hAnsi="Times New Roman" w:eastAsia="黑体" w:cs="Times New Roman"/>
                <w:b w:val="0"/>
                <w:color w:val="auto"/>
                <w:kern w:val="2"/>
                <w:sz w:val="24"/>
                <w:szCs w:val="24"/>
                <w:lang w:val="en-US" w:eastAsia="zh-CN" w:bidi="ar-SA"/>
              </w:rPr>
            </w:pPr>
            <w:r>
              <w:rPr>
                <w:rFonts w:hint="default" w:ascii="Times New Roman" w:hAnsi="Times New Roman" w:eastAsia="宋体" w:cs="Times New Roman"/>
                <w:color w:val="000000"/>
                <w:sz w:val="24"/>
                <w:szCs w:val="24"/>
                <w:u w:val="none"/>
              </w:rPr>
              <w:t>本项目位于</w:t>
            </w:r>
            <w:r>
              <w:rPr>
                <w:rFonts w:hint="eastAsia" w:ascii="Times New Roman" w:hAnsi="Times New Roman" w:eastAsia="宋体" w:cs="Times New Roman"/>
                <w:sz w:val="24"/>
                <w:szCs w:val="24"/>
                <w:lang w:eastAsia="zh-CN"/>
              </w:rPr>
              <w:t>栾川县</w:t>
            </w:r>
            <w:r>
              <w:rPr>
                <w:rFonts w:hint="eastAsia" w:cs="Times New Roman"/>
                <w:sz w:val="24"/>
                <w:szCs w:val="24"/>
                <w:lang w:val="en-US" w:eastAsia="zh-CN"/>
              </w:rPr>
              <w:t>三川镇火神庙</w:t>
            </w:r>
            <w:r>
              <w:rPr>
                <w:rFonts w:hint="eastAsia" w:cs="Times New Roman"/>
                <w:sz w:val="24"/>
                <w:szCs w:val="24"/>
                <w:lang w:eastAsia="zh-CN"/>
              </w:rPr>
              <w:t>村</w:t>
            </w:r>
            <w:r>
              <w:rPr>
                <w:rFonts w:hint="default" w:ascii="Times New Roman" w:hAnsi="Times New Roman" w:eastAsia="宋体" w:cs="Times New Roman"/>
                <w:color w:val="000000"/>
                <w:sz w:val="24"/>
                <w:szCs w:val="24"/>
                <w:u w:val="none"/>
              </w:rPr>
              <w:t>，</w:t>
            </w:r>
            <w:r>
              <w:rPr>
                <w:rFonts w:hint="eastAsia" w:cs="Times New Roman"/>
                <w:color w:val="000000"/>
                <w:sz w:val="24"/>
                <w:szCs w:val="24"/>
                <w:u w:val="none"/>
                <w:lang w:val="en-US" w:eastAsia="zh-CN"/>
              </w:rPr>
              <w:t>根据调查，项目厂界外50m范围内存在声环境保护目标，依据建设项目环境影响报告表编制指南，对项目东北侧居民进行现状监测，</w:t>
            </w:r>
            <w:r>
              <w:rPr>
                <w:rFonts w:hint="eastAsia" w:cs="Times New Roman"/>
                <w:color w:val="auto"/>
                <w:kern w:val="0"/>
                <w:sz w:val="24"/>
                <w:szCs w:val="24"/>
                <w:u w:val="none"/>
                <w:lang w:val="en-US" w:eastAsia="zh-CN"/>
              </w:rPr>
              <w:t>监测时间</w:t>
            </w:r>
            <w:r>
              <w:rPr>
                <w:rFonts w:hint="default" w:ascii="Times New Roman" w:hAnsi="Times New Roman" w:eastAsia="宋体" w:cs="Times New Roman"/>
                <w:color w:val="auto"/>
                <w:kern w:val="0"/>
                <w:sz w:val="24"/>
                <w:szCs w:val="24"/>
                <w:u w:val="none"/>
              </w:rPr>
              <w:t>202</w:t>
            </w:r>
            <w:r>
              <w:rPr>
                <w:rFonts w:hint="eastAsia" w:cs="Times New Roman"/>
                <w:color w:val="auto"/>
                <w:kern w:val="0"/>
                <w:sz w:val="24"/>
                <w:szCs w:val="24"/>
                <w:u w:val="none"/>
                <w:lang w:val="en-US" w:eastAsia="zh-CN"/>
              </w:rPr>
              <w:t>4</w:t>
            </w:r>
            <w:r>
              <w:rPr>
                <w:rFonts w:hint="default" w:ascii="Times New Roman" w:hAnsi="Times New Roman" w:eastAsia="宋体" w:cs="Times New Roman"/>
                <w:color w:val="auto"/>
                <w:kern w:val="0"/>
                <w:sz w:val="24"/>
                <w:szCs w:val="24"/>
                <w:u w:val="none"/>
              </w:rPr>
              <w:t>年</w:t>
            </w:r>
            <w:r>
              <w:rPr>
                <w:rFonts w:hint="eastAsia" w:cs="Times New Roman"/>
                <w:color w:val="auto"/>
                <w:kern w:val="0"/>
                <w:sz w:val="24"/>
                <w:szCs w:val="24"/>
                <w:u w:val="none"/>
                <w:lang w:val="en-US" w:eastAsia="zh-CN"/>
              </w:rPr>
              <w:t>9</w:t>
            </w:r>
            <w:r>
              <w:rPr>
                <w:rFonts w:hint="default" w:ascii="Times New Roman" w:hAnsi="Times New Roman" w:eastAsia="宋体" w:cs="Times New Roman"/>
                <w:color w:val="auto"/>
                <w:kern w:val="0"/>
                <w:sz w:val="24"/>
                <w:szCs w:val="24"/>
                <w:u w:val="none"/>
              </w:rPr>
              <w:t>月</w:t>
            </w:r>
            <w:r>
              <w:rPr>
                <w:rFonts w:hint="eastAsia" w:cs="Times New Roman"/>
                <w:color w:val="auto"/>
                <w:kern w:val="0"/>
                <w:sz w:val="24"/>
                <w:szCs w:val="24"/>
                <w:u w:val="none"/>
                <w:lang w:val="en-US" w:eastAsia="zh-CN"/>
              </w:rPr>
              <w:t>26</w:t>
            </w:r>
            <w:r>
              <w:rPr>
                <w:rFonts w:hint="default" w:ascii="Times New Roman" w:hAnsi="Times New Roman" w:eastAsia="宋体" w:cs="Times New Roman"/>
                <w:color w:val="auto"/>
                <w:kern w:val="0"/>
                <w:sz w:val="24"/>
                <w:szCs w:val="24"/>
                <w:u w:val="none"/>
              </w:rPr>
              <w:t>日~</w:t>
            </w:r>
            <w:r>
              <w:rPr>
                <w:rFonts w:hint="eastAsia" w:cs="Times New Roman"/>
                <w:color w:val="auto"/>
                <w:kern w:val="0"/>
                <w:sz w:val="24"/>
                <w:szCs w:val="24"/>
                <w:u w:val="none"/>
                <w:lang w:val="en-US" w:eastAsia="zh-CN"/>
              </w:rPr>
              <w:t>27</w:t>
            </w:r>
            <w:r>
              <w:rPr>
                <w:rFonts w:hint="default" w:ascii="Times New Roman" w:hAnsi="Times New Roman" w:eastAsia="宋体" w:cs="Times New Roman"/>
                <w:color w:val="auto"/>
                <w:kern w:val="0"/>
                <w:sz w:val="24"/>
                <w:szCs w:val="24"/>
                <w:u w:val="none"/>
              </w:rPr>
              <w:t>日</w:t>
            </w:r>
            <w:r>
              <w:rPr>
                <w:rFonts w:hint="default" w:ascii="Times New Roman" w:hAnsi="Times New Roman" w:eastAsia="宋体" w:cs="Times New Roman"/>
                <w:color w:val="auto"/>
                <w:sz w:val="24"/>
                <w:szCs w:val="24"/>
                <w:u w:val="none"/>
              </w:rPr>
              <w:t>，监测结果见下表。</w:t>
            </w:r>
          </w:p>
          <w:p w14:paraId="35FAB6CB">
            <w:pPr>
              <w:keepNext w:val="0"/>
              <w:keepLines w:val="0"/>
              <w:suppressLineNumbers w:val="0"/>
              <w:spacing w:before="0" w:beforeAutospacing="0" w:after="0" w:afterAutospacing="0" w:line="360" w:lineRule="auto"/>
              <w:ind w:right="0"/>
              <w:jc w:val="center"/>
              <w:rPr>
                <w:rFonts w:hint="default" w:ascii="Times New Roman" w:hAnsi="Times New Roman" w:eastAsia="黑体" w:cs="Times New Roman"/>
                <w:kern w:val="0"/>
                <w:sz w:val="24"/>
                <w:szCs w:val="21"/>
                <w:lang w:val="en-US" w:eastAsia="zh-CN" w:bidi="ar-SA"/>
              </w:rPr>
            </w:pPr>
            <w:r>
              <w:rPr>
                <w:rFonts w:hint="eastAsia" w:ascii="Times New Roman" w:hAnsi="Times New Roman" w:eastAsia="黑体" w:cs="Times New Roman"/>
                <w:kern w:val="0"/>
                <w:sz w:val="24"/>
                <w:szCs w:val="21"/>
                <w:lang w:val="en-US" w:eastAsia="zh-CN" w:bidi="ar-SA"/>
              </w:rPr>
              <w:t xml:space="preserve">表3-3  </w:t>
            </w:r>
            <w:r>
              <w:rPr>
                <w:rFonts w:hint="default" w:ascii="Times New Roman" w:hAnsi="Times New Roman" w:eastAsia="黑体" w:cs="Times New Roman"/>
                <w:kern w:val="0"/>
                <w:sz w:val="24"/>
                <w:szCs w:val="21"/>
                <w:lang w:val="en-US" w:eastAsia="zh-CN" w:bidi="ar-SA"/>
              </w:rPr>
              <w:t>声环境质量现状监测结果        单位：dB（A）</w:t>
            </w:r>
          </w:p>
          <w:tbl>
            <w:tblPr>
              <w:tblStyle w:val="32"/>
              <w:tblW w:w="7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5503"/>
            </w:tblGrid>
            <w:tr w14:paraId="639B4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48" w:type="dxa"/>
                  <w:vMerge w:val="restart"/>
                  <w:tcBorders>
                    <w:tl2br w:val="nil"/>
                    <w:tr2bl w:val="nil"/>
                  </w:tcBorders>
                  <w:vAlign w:val="center"/>
                </w:tcPr>
                <w:p w14:paraId="11588C68">
                  <w:pPr>
                    <w:adjustRightInd w:val="0"/>
                    <w:snapToGrid w:val="0"/>
                    <w:jc w:val="center"/>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检测日期  </w:t>
                  </w:r>
                </w:p>
              </w:tc>
              <w:tc>
                <w:tcPr>
                  <w:tcW w:w="5503" w:type="dxa"/>
                  <w:tcBorders>
                    <w:tl2br w:val="nil"/>
                    <w:tr2bl w:val="nil"/>
                  </w:tcBorders>
                  <w:vAlign w:val="center"/>
                </w:tcPr>
                <w:p w14:paraId="1039B04B">
                  <w:pPr>
                    <w:adjustRightInd w:val="0"/>
                    <w:snapToGrid w:val="0"/>
                    <w:jc w:val="center"/>
                    <w:rPr>
                      <w:rFonts w:hint="eastAsia"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点位</w:t>
                  </w:r>
                </w:p>
              </w:tc>
            </w:tr>
            <w:tr w14:paraId="3FFF6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48" w:type="dxa"/>
                  <w:vMerge w:val="continue"/>
                  <w:tcBorders>
                    <w:tl2br w:val="nil"/>
                    <w:tr2bl w:val="nil"/>
                  </w:tcBorders>
                  <w:vAlign w:val="center"/>
                </w:tcPr>
                <w:p w14:paraId="31AB5380">
                  <w:pPr>
                    <w:adjustRightInd w:val="0"/>
                    <w:snapToGrid w:val="0"/>
                    <w:jc w:val="center"/>
                    <w:rPr>
                      <w:rFonts w:hint="default" w:ascii="Times New Roman" w:hAnsi="Times New Roman" w:eastAsia="宋体"/>
                      <w:kern w:val="0"/>
                      <w:sz w:val="21"/>
                      <w:szCs w:val="21"/>
                      <w:lang w:val="en-US" w:eastAsia="zh-CN"/>
                    </w:rPr>
                  </w:pPr>
                </w:p>
              </w:tc>
              <w:tc>
                <w:tcPr>
                  <w:tcW w:w="5503" w:type="dxa"/>
                  <w:tcBorders>
                    <w:tl2br w:val="nil"/>
                    <w:tr2bl w:val="nil"/>
                  </w:tcBorders>
                  <w:vAlign w:val="center"/>
                </w:tcPr>
                <w:p w14:paraId="5CC17AD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w:t>
                  </w:r>
                  <w:r>
                    <w:rPr>
                      <w:rFonts w:hint="eastAsia" w:cs="Times New Roman"/>
                      <w:color w:val="000000" w:themeColor="text1"/>
                      <w:sz w:val="21"/>
                      <w:szCs w:val="21"/>
                      <w:lang w:val="en-US" w:eastAsia="zh-CN"/>
                      <w14:textFill>
                        <w14:solidFill>
                          <w14:schemeClr w14:val="tx1"/>
                        </w14:solidFill>
                      </w14:textFill>
                    </w:rPr>
                    <w:t>东北侧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居民</w:t>
                  </w:r>
                </w:p>
              </w:tc>
            </w:tr>
            <w:tr w14:paraId="18ED4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48" w:type="dxa"/>
                  <w:tcBorders>
                    <w:tl2br w:val="nil"/>
                    <w:tr2bl w:val="nil"/>
                  </w:tcBorders>
                  <w:vAlign w:val="center"/>
                </w:tcPr>
                <w:p w14:paraId="53A57800">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09.26</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5503" w:type="dxa"/>
                  <w:tcBorders>
                    <w:tl2br w:val="nil"/>
                    <w:tr2bl w:val="nil"/>
                  </w:tcBorders>
                  <w:vAlign w:val="center"/>
                </w:tcPr>
                <w:p w14:paraId="760A458F">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54</w:t>
                  </w:r>
                </w:p>
              </w:tc>
            </w:tr>
            <w:tr w14:paraId="14529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48" w:type="dxa"/>
                  <w:tcBorders>
                    <w:tl2br w:val="nil"/>
                    <w:tr2bl w:val="nil"/>
                  </w:tcBorders>
                  <w:vAlign w:val="center"/>
                </w:tcPr>
                <w:p w14:paraId="04399B27">
                  <w:pPr>
                    <w:widowControl/>
                    <w:adjustRightInd w:val="0"/>
                    <w:snapToGrid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09.26</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5503" w:type="dxa"/>
                  <w:tcBorders>
                    <w:tl2br w:val="nil"/>
                    <w:tr2bl w:val="nil"/>
                  </w:tcBorders>
                  <w:vAlign w:val="center"/>
                </w:tcPr>
                <w:p w14:paraId="29DCB345">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45</w:t>
                  </w:r>
                </w:p>
              </w:tc>
            </w:tr>
            <w:tr w14:paraId="0FFB7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348" w:type="dxa"/>
                  <w:tcBorders>
                    <w:tl2br w:val="nil"/>
                    <w:tr2bl w:val="nil"/>
                  </w:tcBorders>
                  <w:vAlign w:val="center"/>
                </w:tcPr>
                <w:p w14:paraId="13C32F54">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09</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5503" w:type="dxa"/>
                  <w:tcBorders>
                    <w:tl2br w:val="nil"/>
                    <w:tr2bl w:val="nil"/>
                  </w:tcBorders>
                  <w:vAlign w:val="center"/>
                </w:tcPr>
                <w:p w14:paraId="0F475FDA">
                  <w:pPr>
                    <w:widowControl/>
                    <w:adjustRightInd w:val="0"/>
                    <w:snapToGrid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53</w:t>
                  </w:r>
                </w:p>
              </w:tc>
            </w:tr>
            <w:tr w14:paraId="3AB6C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8" w:type="dxa"/>
                  <w:tcBorders>
                    <w:tl2br w:val="nil"/>
                    <w:tr2bl w:val="nil"/>
                  </w:tcBorders>
                  <w:vAlign w:val="center"/>
                </w:tcPr>
                <w:p w14:paraId="5D9B581D">
                  <w:pPr>
                    <w:widowControl/>
                    <w:adjustRightInd w:val="0"/>
                    <w:snapToGrid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09</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5503" w:type="dxa"/>
                  <w:tcBorders>
                    <w:tl2br w:val="nil"/>
                    <w:tr2bl w:val="nil"/>
                  </w:tcBorders>
                  <w:vAlign w:val="center"/>
                </w:tcPr>
                <w:p w14:paraId="3F0BE131">
                  <w:pPr>
                    <w:widowControl/>
                    <w:adjustRightInd w:val="0"/>
                    <w:snapToGrid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42</w:t>
                  </w:r>
                </w:p>
              </w:tc>
            </w:tr>
          </w:tbl>
          <w:p w14:paraId="532083D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eastAsia="宋体" w:cs="Times New Roman"/>
                <w:bCs/>
                <w:color w:val="000000"/>
                <w:sz w:val="24"/>
                <w:szCs w:val="24"/>
                <w:u w:val="none"/>
                <w:lang w:val="en-US" w:eastAsia="zh-CN"/>
              </w:rPr>
            </w:pPr>
            <w:r>
              <w:rPr>
                <w:rFonts w:hint="default" w:ascii="Times New Roman" w:hAnsi="Times New Roman" w:eastAsia="宋体" w:cs="Times New Roman"/>
                <w:bCs/>
                <w:color w:val="000000"/>
                <w:sz w:val="24"/>
                <w:szCs w:val="24"/>
                <w:u w:val="none"/>
              </w:rPr>
              <w:t>由上表可知，本项目所在</w:t>
            </w:r>
            <w:r>
              <w:rPr>
                <w:rFonts w:hint="eastAsia" w:cs="Times New Roman"/>
                <w:bCs/>
                <w:color w:val="000000"/>
                <w:sz w:val="24"/>
                <w:szCs w:val="24"/>
                <w:u w:val="none"/>
                <w:lang w:val="en-US" w:eastAsia="zh-CN"/>
              </w:rPr>
              <w:t>区域敏感点居民处</w:t>
            </w:r>
            <w:r>
              <w:rPr>
                <w:rFonts w:hint="default" w:ascii="Times New Roman" w:hAnsi="Times New Roman" w:eastAsia="宋体" w:cs="Times New Roman"/>
                <w:bCs/>
                <w:color w:val="000000"/>
                <w:sz w:val="24"/>
                <w:szCs w:val="24"/>
                <w:u w:val="none"/>
              </w:rPr>
              <w:t>昼</w:t>
            </w:r>
            <w:r>
              <w:rPr>
                <w:rFonts w:hint="eastAsia" w:cs="Times New Roman"/>
                <w:bCs/>
                <w:color w:val="000000"/>
                <w:sz w:val="24"/>
                <w:szCs w:val="24"/>
                <w:u w:val="none"/>
                <w:lang w:val="en-US" w:eastAsia="zh-CN"/>
              </w:rPr>
              <w:t>间</w:t>
            </w:r>
            <w:r>
              <w:rPr>
                <w:rFonts w:hint="default" w:ascii="Times New Roman" w:hAnsi="Times New Roman" w:eastAsia="宋体" w:cs="Times New Roman"/>
                <w:bCs/>
                <w:color w:val="000000"/>
                <w:sz w:val="24"/>
                <w:szCs w:val="24"/>
                <w:u w:val="none"/>
                <w:lang w:val="en-US" w:eastAsia="zh-CN"/>
              </w:rPr>
              <w:t>噪声检测</w:t>
            </w:r>
            <w:r>
              <w:rPr>
                <w:rFonts w:hint="default" w:ascii="Times New Roman" w:hAnsi="Times New Roman" w:eastAsia="宋体" w:cs="Times New Roman"/>
                <w:bCs/>
                <w:color w:val="000000"/>
                <w:sz w:val="24"/>
                <w:szCs w:val="24"/>
                <w:u w:val="none"/>
              </w:rPr>
              <w:t>值</w:t>
            </w:r>
            <w:r>
              <w:rPr>
                <w:sz w:val="24"/>
              </w:rPr>
              <w:t>满足《声环境质量标准》（GB3096－2008）</w:t>
            </w:r>
            <w:r>
              <w:rPr>
                <w:rFonts w:hint="eastAsia"/>
                <w:sz w:val="24"/>
                <w:lang w:val="en-US" w:eastAsia="zh-CN"/>
              </w:rPr>
              <w:t>2</w:t>
            </w:r>
            <w:r>
              <w:rPr>
                <w:sz w:val="24"/>
              </w:rPr>
              <w:t>类标准的要求</w:t>
            </w:r>
            <w:r>
              <w:rPr>
                <w:rFonts w:hint="eastAsia"/>
                <w:sz w:val="24"/>
                <w:lang w:eastAsia="zh-CN"/>
              </w:rPr>
              <w:t>，</w:t>
            </w:r>
            <w:r>
              <w:rPr>
                <w:rFonts w:hint="default" w:ascii="Times New Roman" w:hAnsi="Times New Roman" w:eastAsia="宋体" w:cs="Times New Roman"/>
                <w:color w:val="000000"/>
                <w:sz w:val="24"/>
                <w:szCs w:val="24"/>
                <w:u w:val="none"/>
              </w:rPr>
              <w:t>区域声环境质量良好</w:t>
            </w:r>
            <w:r>
              <w:rPr>
                <w:rFonts w:hint="eastAsia" w:ascii="Times New Roman" w:hAnsi="Times New Roman" w:eastAsia="宋体" w:cs="Times New Roman"/>
                <w:color w:val="000000"/>
                <w:sz w:val="24"/>
                <w:szCs w:val="24"/>
                <w:u w:val="none"/>
                <w:lang w:eastAsia="zh-CN"/>
              </w:rPr>
              <w:t>。</w:t>
            </w:r>
            <w:r>
              <w:rPr>
                <w:rFonts w:hint="eastAsia" w:ascii="Times New Roman" w:hAnsi="Times New Roman" w:eastAsia="宋体" w:cs="Times New Roman"/>
                <w:color w:val="000000"/>
                <w:sz w:val="24"/>
                <w:szCs w:val="24"/>
                <w:u w:val="none"/>
                <w:lang w:eastAsia="zh-CN"/>
              </w:rPr>
              <w:br w:type="textWrapping"/>
            </w:r>
            <w:r>
              <w:rPr>
                <w:rFonts w:hint="eastAsia" w:cs="Times New Roman"/>
                <w:color w:val="000000"/>
                <w:sz w:val="24"/>
                <w:szCs w:val="24"/>
                <w:u w:val="none"/>
                <w:lang w:val="en-US" w:eastAsia="zh-CN"/>
              </w:rPr>
              <w:t xml:space="preserve">    4、地下水、土壤</w:t>
            </w:r>
            <w:r>
              <w:rPr>
                <w:rFonts w:hint="eastAsia" w:cs="Times New Roman"/>
                <w:color w:val="000000"/>
                <w:sz w:val="24"/>
                <w:szCs w:val="24"/>
                <w:u w:val="none"/>
                <w:lang w:val="en-US" w:eastAsia="zh-CN"/>
              </w:rPr>
              <w:br w:type="textWrapping"/>
            </w:r>
            <w:r>
              <w:rPr>
                <w:rFonts w:hint="eastAsia" w:cs="Times New Roman"/>
                <w:color w:val="000000"/>
                <w:sz w:val="24"/>
                <w:szCs w:val="24"/>
                <w:u w:val="none"/>
                <w:lang w:val="en-US" w:eastAsia="zh-CN"/>
              </w:rPr>
              <w:t xml:space="preserve">    </w:t>
            </w:r>
            <w:r>
              <w:rPr>
                <w:rFonts w:hint="eastAsia" w:ascii="Times New Roman" w:hAnsi="Times New Roman" w:eastAsia="宋体" w:cs="Times New Roman"/>
                <w:bCs/>
                <w:color w:val="000000"/>
                <w:sz w:val="24"/>
                <w:szCs w:val="24"/>
                <w:u w:val="none"/>
              </w:rPr>
              <w:t>本项目</w:t>
            </w:r>
            <w:r>
              <w:rPr>
                <w:rFonts w:hint="eastAsia" w:ascii="Times New Roman" w:hAnsi="Times New Roman" w:eastAsia="宋体" w:cs="Times New Roman"/>
                <w:bCs/>
                <w:color w:val="000000"/>
                <w:sz w:val="24"/>
                <w:szCs w:val="24"/>
                <w:u w:val="none"/>
                <w:lang w:eastAsia="zh-CN"/>
              </w:rPr>
              <w:t>无</w:t>
            </w:r>
            <w:r>
              <w:rPr>
                <w:rFonts w:hint="eastAsia" w:ascii="Times New Roman" w:hAnsi="Times New Roman" w:eastAsia="宋体" w:cs="Times New Roman"/>
                <w:bCs/>
                <w:color w:val="000000"/>
                <w:sz w:val="24"/>
                <w:szCs w:val="24"/>
                <w:u w:val="none"/>
              </w:rPr>
              <w:t>废水排放，固体废物合理处置，大气污染物主要为粉尘，</w:t>
            </w:r>
            <w:r>
              <w:rPr>
                <w:rFonts w:hint="eastAsia" w:ascii="Times New Roman" w:hAnsi="Times New Roman" w:eastAsia="宋体" w:cs="Times New Roman"/>
                <w:bCs/>
                <w:color w:val="000000"/>
                <w:sz w:val="24"/>
                <w:szCs w:val="24"/>
                <w:u w:val="none"/>
                <w:lang w:eastAsia="zh-CN"/>
              </w:rPr>
              <w:t>在采取地面硬化防渗等措施后</w:t>
            </w:r>
            <w:r>
              <w:rPr>
                <w:rFonts w:hint="eastAsia" w:ascii="Times New Roman" w:hAnsi="Times New Roman" w:eastAsia="宋体" w:cs="Times New Roman"/>
                <w:bCs/>
                <w:color w:val="000000"/>
                <w:sz w:val="24"/>
                <w:szCs w:val="24"/>
                <w:u w:val="none"/>
              </w:rPr>
              <w:t>不存在土壤、地下水环境污染途径，因此，本项目暂不进行土壤、地下水现状监测。</w:t>
            </w:r>
          </w:p>
        </w:tc>
      </w:tr>
      <w:tr w14:paraId="3AB60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noWrap w:val="0"/>
            <w:vAlign w:val="center"/>
          </w:tcPr>
          <w:p w14:paraId="58C0BB46">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环境</w:t>
            </w:r>
          </w:p>
          <w:p w14:paraId="3725E990">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保护</w:t>
            </w:r>
          </w:p>
          <w:p w14:paraId="421060AD">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目标</w:t>
            </w:r>
          </w:p>
        </w:tc>
        <w:tc>
          <w:tcPr>
            <w:tcW w:w="8465" w:type="dxa"/>
            <w:noWrap w:val="0"/>
            <w:vAlign w:val="center"/>
          </w:tcPr>
          <w:p w14:paraId="17B3A876">
            <w:pPr>
              <w:keepNext w:val="0"/>
              <w:keepLines w:val="0"/>
              <w:pageBreakBefore w:val="0"/>
              <w:numPr>
                <w:ilvl w:val="0"/>
                <w:numId w:val="0"/>
              </w:numPr>
              <w:kinsoku/>
              <w:wordWrap/>
              <w:overflowPunct/>
              <w:topLinePunct w:val="0"/>
              <w:bidi w:val="0"/>
              <w:adjustRightInd w:val="0"/>
              <w:snapToGrid w:val="0"/>
              <w:spacing w:line="480" w:lineRule="exact"/>
              <w:ind w:firstLine="480" w:firstLineChars="200"/>
              <w:jc w:val="left"/>
              <w:rPr>
                <w:rFonts w:hint="eastAsia"/>
                <w:color w:val="000000"/>
                <w:sz w:val="24"/>
                <w:lang w:val="en-US" w:eastAsia="zh-CN"/>
              </w:rPr>
            </w:pPr>
            <w:r>
              <w:rPr>
                <w:rFonts w:hint="eastAsia"/>
                <w:color w:val="000000"/>
                <w:sz w:val="24"/>
              </w:rPr>
              <w:t>项目</w:t>
            </w:r>
            <w:r>
              <w:rPr>
                <w:rFonts w:hint="eastAsia"/>
                <w:color w:val="000000"/>
                <w:sz w:val="24"/>
                <w:lang w:val="en-US" w:eastAsia="zh-CN"/>
              </w:rPr>
              <w:t>位于栾川县三川镇火神庙村，经现场调查，</w:t>
            </w:r>
            <w:r>
              <w:rPr>
                <w:rFonts w:hint="eastAsia"/>
                <w:color w:val="000000"/>
                <w:sz w:val="24"/>
              </w:rPr>
              <w:t>厂界外500米范围内涉及居住区</w:t>
            </w:r>
            <w:r>
              <w:rPr>
                <w:rFonts w:hint="eastAsia"/>
                <w:color w:val="000000"/>
                <w:sz w:val="24"/>
                <w:lang w:eastAsia="zh-CN"/>
              </w:rPr>
              <w:t>主要</w:t>
            </w:r>
            <w:r>
              <w:rPr>
                <w:rFonts w:hint="eastAsia"/>
                <w:color w:val="000000"/>
                <w:sz w:val="24"/>
              </w:rPr>
              <w:t>为</w:t>
            </w:r>
            <w:r>
              <w:rPr>
                <w:rFonts w:hint="eastAsia"/>
                <w:color w:val="000000"/>
                <w:sz w:val="24"/>
                <w:lang w:val="en-US" w:eastAsia="zh-CN"/>
              </w:rPr>
              <w:t>三川镇火神庙村</w:t>
            </w:r>
            <w:r>
              <w:rPr>
                <w:rFonts w:hint="eastAsia"/>
                <w:color w:val="000000" w:themeColor="text1"/>
                <w:sz w:val="24"/>
                <w:lang w:val="en-US" w:eastAsia="zh-CN"/>
                <w14:textFill>
                  <w14:solidFill>
                    <w14:schemeClr w14:val="tx1"/>
                  </w14:solidFill>
                </w14:textFill>
              </w:rPr>
              <w:t>散户</w:t>
            </w:r>
            <w:r>
              <w:rPr>
                <w:rFonts w:hint="eastAsia"/>
                <w:color w:val="000000"/>
                <w:sz w:val="24"/>
              </w:rPr>
              <w:t>，厂界外500米范围内无地下水集中式饮用水水源和热水、矿泉水、温泉等特殊地下水资源，故本项目</w:t>
            </w:r>
            <w:r>
              <w:rPr>
                <w:color w:val="000000"/>
                <w:sz w:val="24"/>
              </w:rPr>
              <w:t>主要环境保护目标为</w:t>
            </w:r>
            <w:r>
              <w:rPr>
                <w:rFonts w:hint="eastAsia"/>
                <w:color w:val="000000"/>
                <w:sz w:val="24"/>
              </w:rPr>
              <w:t>大气</w:t>
            </w:r>
            <w:r>
              <w:rPr>
                <w:rFonts w:hint="eastAsia"/>
                <w:color w:val="000000"/>
                <w:sz w:val="24"/>
                <w:lang w:eastAsia="zh-CN"/>
              </w:rPr>
              <w:t>和声</w:t>
            </w:r>
            <w:r>
              <w:rPr>
                <w:rFonts w:hint="eastAsia"/>
                <w:color w:val="000000"/>
                <w:sz w:val="24"/>
              </w:rPr>
              <w:t>环境保护目标</w:t>
            </w:r>
            <w:r>
              <w:rPr>
                <w:rFonts w:hint="eastAsia"/>
                <w:color w:val="000000"/>
                <w:sz w:val="24"/>
                <w:lang w:val="en-US" w:eastAsia="zh-CN"/>
              </w:rPr>
              <w:t>。</w:t>
            </w:r>
          </w:p>
          <w:tbl>
            <w:tblPr>
              <w:tblStyle w:val="31"/>
              <w:tblpPr w:leftFromText="180" w:rightFromText="180" w:vertAnchor="text" w:horzAnchor="page" w:tblpX="118" w:tblpY="597"/>
              <w:tblOverlap w:val="never"/>
              <w:tblW w:w="82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16"/>
              <w:gridCol w:w="607"/>
              <w:gridCol w:w="1464"/>
              <w:gridCol w:w="1363"/>
              <w:gridCol w:w="1005"/>
              <w:gridCol w:w="1290"/>
              <w:gridCol w:w="874"/>
            </w:tblGrid>
            <w:tr w14:paraId="28D15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tblHeader/>
              </w:trPr>
              <w:tc>
                <w:tcPr>
                  <w:tcW w:w="700" w:type="dxa"/>
                  <w:tcBorders>
                    <w:tl2br w:val="nil"/>
                    <w:tr2bl w:val="nil"/>
                  </w:tcBorders>
                  <w:noWrap w:val="0"/>
                  <w:vAlign w:val="center"/>
                </w:tcPr>
                <w:p w14:paraId="359C92A6">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保护类别</w:t>
                  </w:r>
                </w:p>
              </w:tc>
              <w:tc>
                <w:tcPr>
                  <w:tcW w:w="916" w:type="dxa"/>
                  <w:tcBorders>
                    <w:tl2br w:val="nil"/>
                    <w:tr2bl w:val="nil"/>
                  </w:tcBorders>
                  <w:noWrap w:val="0"/>
                  <w:vAlign w:val="center"/>
                </w:tcPr>
                <w:p w14:paraId="205EAECF">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名称</w:t>
                  </w:r>
                </w:p>
              </w:tc>
              <w:tc>
                <w:tcPr>
                  <w:tcW w:w="607" w:type="dxa"/>
                  <w:tcBorders>
                    <w:tl2br w:val="nil"/>
                    <w:tr2bl w:val="nil"/>
                  </w:tcBorders>
                  <w:noWrap w:val="0"/>
                  <w:vAlign w:val="center"/>
                </w:tcPr>
                <w:p w14:paraId="3848DB71">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方位</w:t>
                  </w:r>
                </w:p>
              </w:tc>
              <w:tc>
                <w:tcPr>
                  <w:tcW w:w="1464" w:type="dxa"/>
                  <w:tcBorders>
                    <w:tl2br w:val="nil"/>
                    <w:tr2bl w:val="nil"/>
                  </w:tcBorders>
                  <w:noWrap w:val="0"/>
                  <w:vAlign w:val="center"/>
                </w:tcPr>
                <w:p w14:paraId="4622A6CD">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经度E（°）</w:t>
                  </w:r>
                </w:p>
              </w:tc>
              <w:tc>
                <w:tcPr>
                  <w:tcW w:w="1363" w:type="dxa"/>
                  <w:tcBorders>
                    <w:tl2br w:val="nil"/>
                    <w:tr2bl w:val="nil"/>
                  </w:tcBorders>
                  <w:noWrap w:val="0"/>
                  <w:vAlign w:val="center"/>
                </w:tcPr>
                <w:p w14:paraId="0972DC7D">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纬</w:t>
                  </w:r>
                  <w:r>
                    <w:rPr>
                      <w:rFonts w:hint="default" w:ascii="Times New Roman" w:hAnsi="Times New Roman" w:eastAsia="宋体" w:cs="Times New Roman"/>
                      <w:color w:val="000000"/>
                      <w:sz w:val="21"/>
                      <w:szCs w:val="21"/>
                      <w:u w:val="none"/>
                      <w:lang w:val="en-US" w:eastAsia="zh-CN"/>
                    </w:rPr>
                    <w:t>度N（°）</w:t>
                  </w:r>
                </w:p>
              </w:tc>
              <w:tc>
                <w:tcPr>
                  <w:tcW w:w="1005" w:type="dxa"/>
                  <w:tcBorders>
                    <w:tl2br w:val="nil"/>
                    <w:tr2bl w:val="nil"/>
                  </w:tcBorders>
                  <w:noWrap w:val="0"/>
                  <w:vAlign w:val="center"/>
                </w:tcPr>
                <w:p w14:paraId="3DAA3D41">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距项目（m）</w:t>
                  </w:r>
                </w:p>
              </w:tc>
              <w:tc>
                <w:tcPr>
                  <w:tcW w:w="1290" w:type="dxa"/>
                  <w:tcBorders>
                    <w:tl2br w:val="nil"/>
                    <w:tr2bl w:val="nil"/>
                  </w:tcBorders>
                  <w:noWrap w:val="0"/>
                  <w:vAlign w:val="center"/>
                </w:tcPr>
                <w:p w14:paraId="23B83F1D">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保护级别</w:t>
                  </w:r>
                </w:p>
              </w:tc>
              <w:tc>
                <w:tcPr>
                  <w:tcW w:w="874" w:type="dxa"/>
                  <w:tcBorders>
                    <w:tl2br w:val="nil"/>
                    <w:tr2bl w:val="nil"/>
                  </w:tcBorders>
                  <w:noWrap w:val="0"/>
                  <w:vAlign w:val="center"/>
                </w:tcPr>
                <w:p w14:paraId="641BBC0D">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规模</w:t>
                  </w:r>
                </w:p>
              </w:tc>
            </w:tr>
            <w:tr w14:paraId="6F0D5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00" w:type="dxa"/>
                  <w:vMerge w:val="restart"/>
                  <w:tcBorders>
                    <w:tl2br w:val="nil"/>
                    <w:tr2bl w:val="nil"/>
                  </w:tcBorders>
                  <w:noWrap w:val="0"/>
                  <w:vAlign w:val="center"/>
                </w:tcPr>
                <w:p w14:paraId="7FBA898B">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环境</w:t>
                  </w:r>
                </w:p>
                <w:p w14:paraId="11128395">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空气</w:t>
                  </w:r>
                </w:p>
                <w:p w14:paraId="14638100">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color w:val="000000" w:themeColor="text1"/>
                      <w:u w:val="none"/>
                      <w:lang w:val="en-US" w:eastAsia="zh-CN"/>
                      <w14:textFill>
                        <w14:solidFill>
                          <w14:schemeClr w14:val="tx1"/>
                        </w14:solidFill>
                      </w14:textFill>
                    </w:rPr>
                  </w:pPr>
                </w:p>
              </w:tc>
              <w:tc>
                <w:tcPr>
                  <w:tcW w:w="916" w:type="dxa"/>
                  <w:tcBorders>
                    <w:tl2br w:val="nil"/>
                    <w:tr2bl w:val="nil"/>
                  </w:tcBorders>
                  <w:noWrap w:val="0"/>
                  <w:vAlign w:val="center"/>
                </w:tcPr>
                <w:p w14:paraId="0F60B0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大货场沟组居民</w:t>
                  </w:r>
                </w:p>
              </w:tc>
              <w:tc>
                <w:tcPr>
                  <w:tcW w:w="607" w:type="dxa"/>
                  <w:tcBorders>
                    <w:tl2br w:val="nil"/>
                    <w:tr2bl w:val="nil"/>
                  </w:tcBorders>
                  <w:noWrap w:val="0"/>
                  <w:vAlign w:val="center"/>
                </w:tcPr>
                <w:p w14:paraId="6F3B081A">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EN</w:t>
                  </w:r>
                </w:p>
              </w:tc>
              <w:tc>
                <w:tcPr>
                  <w:tcW w:w="1464" w:type="dxa"/>
                  <w:tcBorders>
                    <w:tl2br w:val="nil"/>
                    <w:tr2bl w:val="nil"/>
                  </w:tcBorders>
                  <w:noWrap w:val="0"/>
                  <w:vAlign w:val="center"/>
                </w:tcPr>
                <w:p w14:paraId="0A648609">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111.32736504</w:t>
                  </w:r>
                </w:p>
              </w:tc>
              <w:tc>
                <w:tcPr>
                  <w:tcW w:w="1363" w:type="dxa"/>
                  <w:tcBorders>
                    <w:tl2br w:val="nil"/>
                    <w:tr2bl w:val="nil"/>
                  </w:tcBorders>
                  <w:noWrap w:val="0"/>
                  <w:vAlign w:val="center"/>
                </w:tcPr>
                <w:p w14:paraId="6DE27284">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33.93351539</w:t>
                  </w:r>
                </w:p>
              </w:tc>
              <w:tc>
                <w:tcPr>
                  <w:tcW w:w="1005" w:type="dxa"/>
                  <w:tcBorders>
                    <w:tl2br w:val="nil"/>
                    <w:tr2bl w:val="nil"/>
                  </w:tcBorders>
                  <w:noWrap w:val="0"/>
                  <w:vAlign w:val="center"/>
                </w:tcPr>
                <w:p w14:paraId="299B5A5C">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32-78</w:t>
                  </w:r>
                </w:p>
              </w:tc>
              <w:tc>
                <w:tcPr>
                  <w:tcW w:w="1290" w:type="dxa"/>
                  <w:vMerge w:val="restart"/>
                  <w:tcBorders>
                    <w:tl2br w:val="nil"/>
                    <w:tr2bl w:val="nil"/>
                  </w:tcBorders>
                  <w:noWrap w:val="0"/>
                  <w:vAlign w:val="center"/>
                </w:tcPr>
                <w:p w14:paraId="488CD4A3">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eastAsia="zh-CN"/>
                      <w14:textFill>
                        <w14:solidFill>
                          <w14:schemeClr w14:val="tx1"/>
                        </w14:solidFill>
                      </w14:textFill>
                    </w:rPr>
                    <w:t>《</w:t>
                  </w:r>
                  <w:r>
                    <w:rPr>
                      <w:rFonts w:hint="default"/>
                      <w:color w:val="000000" w:themeColor="text1"/>
                      <w:sz w:val="21"/>
                      <w:szCs w:val="21"/>
                      <w:u w:val="none"/>
                      <w14:textFill>
                        <w14:solidFill>
                          <w14:schemeClr w14:val="tx1"/>
                        </w14:solidFill>
                      </w14:textFill>
                    </w:rPr>
                    <w:t>环境空气质量标准》（GB3095—2012）二级</w:t>
                  </w:r>
                </w:p>
                <w:p w14:paraId="09882D23">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color w:val="000000" w:themeColor="text1"/>
                      <w:sz w:val="21"/>
                      <w:szCs w:val="21"/>
                      <w:u w:val="none"/>
                      <w:lang w:val="en-US" w:eastAsia="zh-CN"/>
                      <w14:textFill>
                        <w14:solidFill>
                          <w14:schemeClr w14:val="tx1"/>
                        </w14:solidFill>
                      </w14:textFill>
                    </w:rPr>
                  </w:pPr>
                </w:p>
              </w:tc>
              <w:tc>
                <w:tcPr>
                  <w:tcW w:w="874" w:type="dxa"/>
                  <w:tcBorders>
                    <w:tl2br w:val="nil"/>
                    <w:tr2bl w:val="nil"/>
                  </w:tcBorders>
                  <w:noWrap w:val="0"/>
                  <w:vAlign w:val="center"/>
                </w:tcPr>
                <w:p w14:paraId="36362F8A">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right="0"/>
                    <w:jc w:val="center"/>
                    <w:textAlignment w:val="auto"/>
                    <w:rPr>
                      <w:rFonts w:hint="eastAsia" w:ascii="Times New Roman" w:cs="Times New Roman"/>
                      <w:color w:val="000000" w:themeColor="text1"/>
                      <w:kern w:val="0"/>
                      <w:sz w:val="21"/>
                      <w:szCs w:val="21"/>
                      <w:u w:val="none"/>
                      <w:lang w:val="en-US" w:eastAsia="zh-CN" w:bidi="ar"/>
                      <w14:textFill>
                        <w14:solidFill>
                          <w14:schemeClr w14:val="tx1"/>
                        </w14:solidFill>
                      </w14:textFill>
                    </w:rPr>
                  </w:pPr>
                  <w:r>
                    <w:rPr>
                      <w:rFonts w:hint="eastAsia" w:ascii="Times New Roman" w:cs="Times New Roman"/>
                      <w:color w:val="000000" w:themeColor="text1"/>
                      <w:kern w:val="0"/>
                      <w:sz w:val="21"/>
                      <w:szCs w:val="21"/>
                      <w:u w:val="none"/>
                      <w:lang w:val="en-US" w:eastAsia="zh-CN" w:bidi="ar"/>
                      <w14:textFill>
                        <w14:solidFill>
                          <w14:schemeClr w14:val="tx1"/>
                        </w14:solidFill>
                      </w14:textFill>
                    </w:rPr>
                    <w:t>3户</w:t>
                  </w:r>
                </w:p>
                <w:p w14:paraId="3315D2C8">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
                      <w14:textFill>
                        <w14:solidFill>
                          <w14:schemeClr w14:val="tx1"/>
                        </w14:solidFill>
                      </w14:textFill>
                    </w:rPr>
                  </w:pPr>
                  <w:r>
                    <w:rPr>
                      <w:rFonts w:hint="eastAsia" w:ascii="Times New Roman" w:cs="Times New Roman"/>
                      <w:color w:val="000000" w:themeColor="text1"/>
                      <w:kern w:val="0"/>
                      <w:sz w:val="21"/>
                      <w:szCs w:val="21"/>
                      <w:u w:val="none"/>
                      <w:lang w:val="en-US" w:eastAsia="zh-CN" w:bidi="ar"/>
                      <w14:textFill>
                        <w14:solidFill>
                          <w14:schemeClr w14:val="tx1"/>
                        </w14:solidFill>
                      </w14:textFill>
                    </w:rPr>
                    <w:t>6人</w:t>
                  </w:r>
                </w:p>
              </w:tc>
            </w:tr>
            <w:tr w14:paraId="4E692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00" w:type="dxa"/>
                  <w:vMerge w:val="continue"/>
                  <w:tcBorders>
                    <w:tl2br w:val="nil"/>
                    <w:tr2bl w:val="nil"/>
                  </w:tcBorders>
                  <w:noWrap w:val="0"/>
                  <w:vAlign w:val="center"/>
                </w:tcPr>
                <w:p w14:paraId="4BB82AED">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916" w:type="dxa"/>
                  <w:tcBorders>
                    <w:tl2br w:val="nil"/>
                    <w:tr2bl w:val="nil"/>
                  </w:tcBorders>
                  <w:noWrap w:val="0"/>
                  <w:vAlign w:val="center"/>
                </w:tcPr>
                <w:p w14:paraId="79F23DB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火神庙村居民</w:t>
                  </w:r>
                </w:p>
              </w:tc>
              <w:tc>
                <w:tcPr>
                  <w:tcW w:w="607" w:type="dxa"/>
                  <w:tcBorders>
                    <w:tl2br w:val="nil"/>
                    <w:tr2bl w:val="nil"/>
                  </w:tcBorders>
                  <w:noWrap w:val="0"/>
                  <w:vAlign w:val="center"/>
                </w:tcPr>
                <w:p w14:paraId="79F7EF98">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EN</w:t>
                  </w:r>
                </w:p>
              </w:tc>
              <w:tc>
                <w:tcPr>
                  <w:tcW w:w="1464" w:type="dxa"/>
                  <w:tcBorders>
                    <w:tl2br w:val="nil"/>
                    <w:tr2bl w:val="nil"/>
                  </w:tcBorders>
                  <w:noWrap w:val="0"/>
                  <w:vAlign w:val="center"/>
                </w:tcPr>
                <w:p w14:paraId="32517467">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111.32815629</w:t>
                  </w:r>
                </w:p>
              </w:tc>
              <w:tc>
                <w:tcPr>
                  <w:tcW w:w="1363" w:type="dxa"/>
                  <w:tcBorders>
                    <w:tl2br w:val="nil"/>
                    <w:tr2bl w:val="nil"/>
                  </w:tcBorders>
                  <w:noWrap w:val="0"/>
                  <w:vAlign w:val="center"/>
                </w:tcPr>
                <w:p w14:paraId="7D268039">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33.93539805</w:t>
                  </w:r>
                </w:p>
              </w:tc>
              <w:tc>
                <w:tcPr>
                  <w:tcW w:w="1005" w:type="dxa"/>
                  <w:tcBorders>
                    <w:tl2br w:val="nil"/>
                    <w:tr2bl w:val="nil"/>
                  </w:tcBorders>
                  <w:noWrap w:val="0"/>
                  <w:vAlign w:val="center"/>
                </w:tcPr>
                <w:p w14:paraId="57A5B2DE">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241-319</w:t>
                  </w:r>
                </w:p>
              </w:tc>
              <w:tc>
                <w:tcPr>
                  <w:tcW w:w="1290" w:type="dxa"/>
                  <w:vMerge w:val="continue"/>
                  <w:tcBorders>
                    <w:tl2br w:val="nil"/>
                    <w:tr2bl w:val="nil"/>
                  </w:tcBorders>
                  <w:noWrap w:val="0"/>
                  <w:vAlign w:val="center"/>
                </w:tcPr>
                <w:p w14:paraId="5568E6CB">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874" w:type="dxa"/>
                  <w:tcBorders>
                    <w:tl2br w:val="nil"/>
                    <w:tr2bl w:val="nil"/>
                  </w:tcBorders>
                  <w:noWrap w:val="0"/>
                  <w:vAlign w:val="center"/>
                </w:tcPr>
                <w:p w14:paraId="7D76FE70">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kern w:val="0"/>
                      <w:sz w:val="21"/>
                      <w:szCs w:val="21"/>
                      <w:u w:val="none"/>
                      <w:lang w:val="en-US" w:eastAsia="zh-CN" w:bidi="ar"/>
                      <w14:textFill>
                        <w14:solidFill>
                          <w14:schemeClr w14:val="tx1"/>
                        </w14:solidFill>
                      </w14:textFill>
                    </w:rPr>
                  </w:pPr>
                  <w:r>
                    <w:rPr>
                      <w:rFonts w:hint="eastAsia" w:ascii="Times New Roman" w:cs="Times New Roman"/>
                      <w:color w:val="000000" w:themeColor="text1"/>
                      <w:kern w:val="0"/>
                      <w:sz w:val="21"/>
                      <w:szCs w:val="21"/>
                      <w:u w:val="none"/>
                      <w:lang w:val="en-US" w:eastAsia="zh-CN" w:bidi="ar"/>
                      <w14:textFill>
                        <w14:solidFill>
                          <w14:schemeClr w14:val="tx1"/>
                        </w14:solidFill>
                      </w14:textFill>
                    </w:rPr>
                    <w:t>26</w:t>
                  </w:r>
                  <w:r>
                    <w:rPr>
                      <w:rFonts w:hint="eastAsia" w:ascii="Times New Roman" w:hAnsi="Times New Roman" w:eastAsia="宋体" w:cs="Times New Roman"/>
                      <w:color w:val="000000" w:themeColor="text1"/>
                      <w:kern w:val="0"/>
                      <w:sz w:val="21"/>
                      <w:szCs w:val="21"/>
                      <w:u w:val="none"/>
                      <w:lang w:val="en-US" w:eastAsia="zh-CN" w:bidi="ar"/>
                      <w14:textFill>
                        <w14:solidFill>
                          <w14:schemeClr w14:val="tx1"/>
                        </w14:solidFill>
                      </w14:textFill>
                    </w:rPr>
                    <w:t>户</w:t>
                  </w:r>
                  <w:r>
                    <w:rPr>
                      <w:rFonts w:hint="eastAsia" w:ascii="Times New Roman" w:cs="Times New Roman"/>
                      <w:color w:val="000000" w:themeColor="text1"/>
                      <w:kern w:val="0"/>
                      <w:sz w:val="21"/>
                      <w:szCs w:val="21"/>
                      <w:u w:val="none"/>
                      <w:lang w:val="en-US" w:eastAsia="zh-CN" w:bidi="ar"/>
                      <w14:textFill>
                        <w14:solidFill>
                          <w14:schemeClr w14:val="tx1"/>
                        </w14:solidFill>
                      </w14:textFill>
                    </w:rPr>
                    <w:t>78</w:t>
                  </w:r>
                  <w:r>
                    <w:rPr>
                      <w:rFonts w:hint="eastAsia" w:ascii="Times New Roman" w:hAnsi="Times New Roman" w:eastAsia="宋体" w:cs="Times New Roman"/>
                      <w:color w:val="000000" w:themeColor="text1"/>
                      <w:kern w:val="0"/>
                      <w:sz w:val="21"/>
                      <w:szCs w:val="21"/>
                      <w:u w:val="none"/>
                      <w:lang w:val="en-US" w:eastAsia="zh-CN" w:bidi="ar"/>
                      <w14:textFill>
                        <w14:solidFill>
                          <w14:schemeClr w14:val="tx1"/>
                        </w14:solidFill>
                      </w14:textFill>
                    </w:rPr>
                    <w:t>人</w:t>
                  </w:r>
                </w:p>
              </w:tc>
            </w:tr>
            <w:tr w14:paraId="0F4DF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00" w:type="dxa"/>
                  <w:vMerge w:val="continue"/>
                  <w:tcBorders>
                    <w:tl2br w:val="nil"/>
                    <w:tr2bl w:val="nil"/>
                  </w:tcBorders>
                  <w:noWrap w:val="0"/>
                  <w:vAlign w:val="center"/>
                </w:tcPr>
                <w:p w14:paraId="7DE5C385">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916" w:type="dxa"/>
                  <w:tcBorders>
                    <w:tl2br w:val="nil"/>
                    <w:tr2bl w:val="nil"/>
                  </w:tcBorders>
                  <w:noWrap w:val="0"/>
                  <w:vAlign w:val="center"/>
                </w:tcPr>
                <w:p w14:paraId="52DA71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火神庙村居民</w:t>
                  </w:r>
                </w:p>
              </w:tc>
              <w:tc>
                <w:tcPr>
                  <w:tcW w:w="607" w:type="dxa"/>
                  <w:tcBorders>
                    <w:tl2br w:val="nil"/>
                    <w:tr2bl w:val="nil"/>
                  </w:tcBorders>
                  <w:noWrap w:val="0"/>
                  <w:vAlign w:val="center"/>
                </w:tcPr>
                <w:p w14:paraId="71738D53">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N</w:t>
                  </w:r>
                </w:p>
              </w:tc>
              <w:tc>
                <w:tcPr>
                  <w:tcW w:w="1464" w:type="dxa"/>
                  <w:tcBorders>
                    <w:tl2br w:val="nil"/>
                    <w:tr2bl w:val="nil"/>
                  </w:tcBorders>
                  <w:noWrap w:val="0"/>
                  <w:vAlign w:val="center"/>
                </w:tcPr>
                <w:p w14:paraId="3DFDEBD2">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111.32625461</w:t>
                  </w:r>
                </w:p>
              </w:tc>
              <w:tc>
                <w:tcPr>
                  <w:tcW w:w="1363" w:type="dxa"/>
                  <w:tcBorders>
                    <w:tl2br w:val="nil"/>
                    <w:tr2bl w:val="nil"/>
                  </w:tcBorders>
                  <w:noWrap w:val="0"/>
                  <w:vAlign w:val="center"/>
                </w:tcPr>
                <w:p w14:paraId="0C883848">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33.93740528</w:t>
                  </w:r>
                </w:p>
              </w:tc>
              <w:tc>
                <w:tcPr>
                  <w:tcW w:w="1005" w:type="dxa"/>
                  <w:tcBorders>
                    <w:tl2br w:val="nil"/>
                    <w:tr2bl w:val="nil"/>
                  </w:tcBorders>
                  <w:noWrap w:val="0"/>
                  <w:vAlign w:val="center"/>
                </w:tcPr>
                <w:p w14:paraId="304246A1">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386-469</w:t>
                  </w:r>
                </w:p>
              </w:tc>
              <w:tc>
                <w:tcPr>
                  <w:tcW w:w="1290" w:type="dxa"/>
                  <w:vMerge w:val="continue"/>
                  <w:tcBorders>
                    <w:tl2br w:val="nil"/>
                    <w:tr2bl w:val="nil"/>
                  </w:tcBorders>
                  <w:noWrap w:val="0"/>
                  <w:vAlign w:val="center"/>
                </w:tcPr>
                <w:p w14:paraId="05D66143">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874" w:type="dxa"/>
                  <w:tcBorders>
                    <w:tl2br w:val="nil"/>
                    <w:tr2bl w:val="nil"/>
                  </w:tcBorders>
                  <w:noWrap w:val="0"/>
                  <w:vAlign w:val="center"/>
                </w:tcPr>
                <w:p w14:paraId="6E53471E">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kern w:val="0"/>
                      <w:sz w:val="21"/>
                      <w:szCs w:val="21"/>
                      <w:u w:val="none"/>
                      <w:lang w:val="en-US" w:eastAsia="zh-CN" w:bidi="ar"/>
                      <w14:textFill>
                        <w14:solidFill>
                          <w14:schemeClr w14:val="tx1"/>
                        </w14:solidFill>
                      </w14:textFill>
                    </w:rPr>
                  </w:pPr>
                  <w:r>
                    <w:rPr>
                      <w:rFonts w:hint="eastAsia" w:ascii="Times New Roman" w:cs="Times New Roman"/>
                      <w:color w:val="000000" w:themeColor="text1"/>
                      <w:kern w:val="0"/>
                      <w:sz w:val="21"/>
                      <w:szCs w:val="21"/>
                      <w:u w:val="none"/>
                      <w:lang w:val="en-US" w:eastAsia="zh-CN" w:bidi="ar"/>
                      <w14:textFill>
                        <w14:solidFill>
                          <w14:schemeClr w14:val="tx1"/>
                        </w14:solidFill>
                      </w14:textFill>
                    </w:rPr>
                    <w:t>6户</w:t>
                  </w:r>
                  <w:r>
                    <w:rPr>
                      <w:rFonts w:hint="eastAsia" w:ascii="Times New Roman" w:cs="Times New Roman"/>
                      <w:color w:val="000000" w:themeColor="text1"/>
                      <w:kern w:val="0"/>
                      <w:sz w:val="21"/>
                      <w:szCs w:val="21"/>
                      <w:u w:val="none"/>
                      <w:lang w:val="en-US" w:eastAsia="zh-CN" w:bidi="ar"/>
                      <w14:textFill>
                        <w14:solidFill>
                          <w14:schemeClr w14:val="tx1"/>
                        </w14:solidFill>
                      </w14:textFill>
                    </w:rPr>
                    <w:br w:type="textWrapping"/>
                  </w:r>
                  <w:r>
                    <w:rPr>
                      <w:rFonts w:hint="eastAsia" w:ascii="Times New Roman" w:cs="Times New Roman"/>
                      <w:color w:val="000000" w:themeColor="text1"/>
                      <w:kern w:val="0"/>
                      <w:sz w:val="21"/>
                      <w:szCs w:val="21"/>
                      <w:u w:val="none"/>
                      <w:lang w:val="en-US" w:eastAsia="zh-CN" w:bidi="ar"/>
                      <w14:textFill>
                        <w14:solidFill>
                          <w14:schemeClr w14:val="tx1"/>
                        </w14:solidFill>
                      </w14:textFill>
                    </w:rPr>
                    <w:t>18人</w:t>
                  </w:r>
                </w:p>
              </w:tc>
            </w:tr>
            <w:tr w14:paraId="0E274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00" w:type="dxa"/>
                  <w:vMerge w:val="continue"/>
                  <w:tcBorders>
                    <w:tl2br w:val="nil"/>
                    <w:tr2bl w:val="nil"/>
                  </w:tcBorders>
                  <w:noWrap w:val="0"/>
                  <w:vAlign w:val="center"/>
                </w:tcPr>
                <w:p w14:paraId="257EC3C9">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916" w:type="dxa"/>
                  <w:tcBorders>
                    <w:tl2br w:val="nil"/>
                    <w:tr2bl w:val="nil"/>
                  </w:tcBorders>
                  <w:noWrap w:val="0"/>
                  <w:vAlign w:val="center"/>
                </w:tcPr>
                <w:p w14:paraId="01C3E4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火神庙村居民</w:t>
                  </w:r>
                </w:p>
              </w:tc>
              <w:tc>
                <w:tcPr>
                  <w:tcW w:w="607" w:type="dxa"/>
                  <w:tcBorders>
                    <w:tl2br w:val="nil"/>
                    <w:tr2bl w:val="nil"/>
                  </w:tcBorders>
                  <w:noWrap w:val="0"/>
                  <w:vAlign w:val="center"/>
                </w:tcPr>
                <w:p w14:paraId="223D5E20">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EN</w:t>
                  </w:r>
                </w:p>
              </w:tc>
              <w:tc>
                <w:tcPr>
                  <w:tcW w:w="1464" w:type="dxa"/>
                  <w:tcBorders>
                    <w:tl2br w:val="nil"/>
                    <w:tr2bl w:val="nil"/>
                  </w:tcBorders>
                  <w:noWrap w:val="0"/>
                  <w:vAlign w:val="center"/>
                </w:tcPr>
                <w:p w14:paraId="2E401AD7">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111.33157611</w:t>
                  </w:r>
                </w:p>
              </w:tc>
              <w:tc>
                <w:tcPr>
                  <w:tcW w:w="1363" w:type="dxa"/>
                  <w:tcBorders>
                    <w:tl2br w:val="nil"/>
                    <w:tr2bl w:val="nil"/>
                  </w:tcBorders>
                  <w:noWrap w:val="0"/>
                  <w:vAlign w:val="center"/>
                </w:tcPr>
                <w:p w14:paraId="248B45E3">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33.93428537</w:t>
                  </w:r>
                </w:p>
              </w:tc>
              <w:tc>
                <w:tcPr>
                  <w:tcW w:w="1005" w:type="dxa"/>
                  <w:tcBorders>
                    <w:tl2br w:val="nil"/>
                    <w:tr2bl w:val="nil"/>
                  </w:tcBorders>
                  <w:noWrap w:val="0"/>
                  <w:vAlign w:val="center"/>
                </w:tcPr>
                <w:p w14:paraId="2F9E4A88">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428-500</w:t>
                  </w:r>
                </w:p>
              </w:tc>
              <w:tc>
                <w:tcPr>
                  <w:tcW w:w="1290" w:type="dxa"/>
                  <w:vMerge w:val="continue"/>
                  <w:tcBorders>
                    <w:tl2br w:val="nil"/>
                    <w:tr2bl w:val="nil"/>
                  </w:tcBorders>
                  <w:noWrap w:val="0"/>
                  <w:vAlign w:val="center"/>
                </w:tcPr>
                <w:p w14:paraId="5B22CD53">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874" w:type="dxa"/>
                  <w:tcBorders>
                    <w:tl2br w:val="nil"/>
                    <w:tr2bl w:val="nil"/>
                  </w:tcBorders>
                  <w:noWrap w:val="0"/>
                  <w:vAlign w:val="center"/>
                </w:tcPr>
                <w:p w14:paraId="6E08B4A7">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kern w:val="0"/>
                      <w:sz w:val="21"/>
                      <w:szCs w:val="21"/>
                      <w:u w:val="none"/>
                      <w:lang w:val="en-US" w:eastAsia="zh-CN" w:bidi="ar"/>
                      <w14:textFill>
                        <w14:solidFill>
                          <w14:schemeClr w14:val="tx1"/>
                        </w14:solidFill>
                      </w14:textFill>
                    </w:rPr>
                  </w:pPr>
                  <w:r>
                    <w:rPr>
                      <w:rFonts w:hint="eastAsia" w:ascii="Times New Roman" w:cs="Times New Roman"/>
                      <w:color w:val="000000" w:themeColor="text1"/>
                      <w:kern w:val="0"/>
                      <w:sz w:val="21"/>
                      <w:szCs w:val="21"/>
                      <w:u w:val="none"/>
                      <w:lang w:val="en-US" w:eastAsia="zh-CN" w:bidi="ar"/>
                      <w14:textFill>
                        <w14:solidFill>
                          <w14:schemeClr w14:val="tx1"/>
                        </w14:solidFill>
                      </w14:textFill>
                    </w:rPr>
                    <w:t xml:space="preserve"> 20户40人</w:t>
                  </w:r>
                </w:p>
              </w:tc>
            </w:tr>
            <w:tr w14:paraId="798C8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00" w:type="dxa"/>
                  <w:tcBorders>
                    <w:tl2br w:val="nil"/>
                    <w:tr2bl w:val="nil"/>
                  </w:tcBorders>
                  <w:noWrap w:val="0"/>
                  <w:vAlign w:val="center"/>
                </w:tcPr>
                <w:p w14:paraId="3FD512B6">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声环境</w:t>
                  </w:r>
                </w:p>
              </w:tc>
              <w:tc>
                <w:tcPr>
                  <w:tcW w:w="916" w:type="dxa"/>
                  <w:tcBorders>
                    <w:tl2br w:val="nil"/>
                    <w:tr2bl w:val="nil"/>
                  </w:tcBorders>
                  <w:noWrap w:val="0"/>
                  <w:vAlign w:val="center"/>
                </w:tcPr>
                <w:p w14:paraId="7153AF3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u w:val="none"/>
                      <w:lang w:val="en-US" w:eastAsia="zh-CN"/>
                    </w:rPr>
                  </w:pPr>
                  <w:r>
                    <w:rPr>
                      <w:rFonts w:hint="eastAsia" w:cs="Times New Roman"/>
                      <w:color w:val="000000" w:themeColor="text1"/>
                      <w:sz w:val="21"/>
                      <w:szCs w:val="21"/>
                      <w:u w:val="none"/>
                      <w:lang w:val="en-US" w:eastAsia="zh-CN"/>
                      <w14:textFill>
                        <w14:solidFill>
                          <w14:schemeClr w14:val="tx1"/>
                        </w14:solidFill>
                      </w14:textFill>
                    </w:rPr>
                    <w:t>大货场沟组居民</w:t>
                  </w:r>
                </w:p>
              </w:tc>
              <w:tc>
                <w:tcPr>
                  <w:tcW w:w="607" w:type="dxa"/>
                  <w:tcBorders>
                    <w:tl2br w:val="nil"/>
                    <w:tr2bl w:val="nil"/>
                  </w:tcBorders>
                  <w:noWrap w:val="0"/>
                  <w:vAlign w:val="center"/>
                </w:tcPr>
                <w:p w14:paraId="1D9FE588">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eastAsia" w:ascii="Times New Roman"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EN</w:t>
                  </w:r>
                </w:p>
              </w:tc>
              <w:tc>
                <w:tcPr>
                  <w:tcW w:w="1464" w:type="dxa"/>
                  <w:tcBorders>
                    <w:tl2br w:val="nil"/>
                    <w:tr2bl w:val="nil"/>
                  </w:tcBorders>
                  <w:noWrap w:val="0"/>
                  <w:vAlign w:val="center"/>
                </w:tcPr>
                <w:p w14:paraId="7D22083E">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111.32736504</w:t>
                  </w:r>
                </w:p>
              </w:tc>
              <w:tc>
                <w:tcPr>
                  <w:tcW w:w="1363" w:type="dxa"/>
                  <w:tcBorders>
                    <w:tl2br w:val="nil"/>
                    <w:tr2bl w:val="nil"/>
                  </w:tcBorders>
                  <w:noWrap w:val="0"/>
                  <w:vAlign w:val="center"/>
                </w:tcPr>
                <w:p w14:paraId="542F3367">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33.93351539</w:t>
                  </w:r>
                </w:p>
              </w:tc>
              <w:tc>
                <w:tcPr>
                  <w:tcW w:w="1005" w:type="dxa"/>
                  <w:tcBorders>
                    <w:tl2br w:val="nil"/>
                    <w:tr2bl w:val="nil"/>
                  </w:tcBorders>
                  <w:noWrap w:val="0"/>
                  <w:vAlign w:val="center"/>
                </w:tcPr>
                <w:p w14:paraId="2D521739">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textAlignment w:val="auto"/>
                    <w:rPr>
                      <w:rFonts w:hint="default" w:ascii="Times New Roman"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34-50</w:t>
                  </w:r>
                </w:p>
              </w:tc>
              <w:tc>
                <w:tcPr>
                  <w:tcW w:w="1290" w:type="dxa"/>
                  <w:tcBorders>
                    <w:tl2br w:val="nil"/>
                    <w:tr2bl w:val="nil"/>
                  </w:tcBorders>
                  <w:noWrap w:val="0"/>
                  <w:vAlign w:val="center"/>
                </w:tcPr>
                <w:p w14:paraId="19D69C66">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《声环境质量标准》</w:t>
                  </w:r>
                </w:p>
                <w:p w14:paraId="3CCCB285">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（GB3096-2008）2类</w:t>
                  </w:r>
                </w:p>
              </w:tc>
              <w:tc>
                <w:tcPr>
                  <w:tcW w:w="874" w:type="dxa"/>
                  <w:tcBorders>
                    <w:tl2br w:val="nil"/>
                    <w:tr2bl w:val="nil"/>
                  </w:tcBorders>
                  <w:noWrap w:val="0"/>
                  <w:vAlign w:val="center"/>
                </w:tcPr>
                <w:p w14:paraId="10D7C354">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kern w:val="0"/>
                      <w:sz w:val="21"/>
                      <w:szCs w:val="21"/>
                      <w:u w:val="none"/>
                      <w:lang w:val="en-US" w:eastAsia="zh-CN" w:bidi="ar"/>
                      <w14:textFill>
                        <w14:solidFill>
                          <w14:schemeClr w14:val="tx1"/>
                        </w14:solidFill>
                      </w14:textFill>
                    </w:rPr>
                  </w:pPr>
                  <w:r>
                    <w:rPr>
                      <w:rFonts w:hint="eastAsia" w:ascii="Times New Roman" w:cs="Times New Roman"/>
                      <w:color w:val="000000" w:themeColor="text1"/>
                      <w:kern w:val="0"/>
                      <w:sz w:val="21"/>
                      <w:szCs w:val="21"/>
                      <w:u w:val="none"/>
                      <w:lang w:val="en-US" w:eastAsia="zh-CN" w:bidi="ar"/>
                      <w14:textFill>
                        <w14:solidFill>
                          <w14:schemeClr w14:val="tx1"/>
                        </w14:solidFill>
                      </w14:textFill>
                    </w:rPr>
                    <w:t>6人</w:t>
                  </w:r>
                </w:p>
              </w:tc>
            </w:tr>
            <w:tr w14:paraId="2597C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00" w:type="dxa"/>
                  <w:tcBorders>
                    <w:tl2br w:val="nil"/>
                    <w:tr2bl w:val="nil"/>
                  </w:tcBorders>
                  <w:noWrap w:val="0"/>
                  <w:vAlign w:val="center"/>
                </w:tcPr>
                <w:p w14:paraId="0A3EB0A9">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cs="Times New Roman"/>
                      <w:color w:val="000000" w:themeColor="text1"/>
                      <w:sz w:val="21"/>
                      <w:szCs w:val="21"/>
                      <w:u w:val="none"/>
                      <w:lang w:val="en-US" w:eastAsia="zh-CN"/>
                      <w14:textFill>
                        <w14:solidFill>
                          <w14:schemeClr w14:val="tx1"/>
                        </w14:solidFill>
                      </w14:textFill>
                    </w:rPr>
                  </w:pPr>
                  <w:r>
                    <w:rPr>
                      <w:rFonts w:hint="eastAsia" w:ascii="Times New Roman" w:cs="Times New Roman"/>
                      <w:color w:val="000000" w:themeColor="text1"/>
                      <w:sz w:val="21"/>
                      <w:szCs w:val="21"/>
                      <w:u w:val="none"/>
                      <w:lang w:val="en-US" w:eastAsia="zh-CN"/>
                      <w14:textFill>
                        <w14:solidFill>
                          <w14:schemeClr w14:val="tx1"/>
                        </w14:solidFill>
                      </w14:textFill>
                    </w:rPr>
                    <w:t>生态环境</w:t>
                  </w:r>
                </w:p>
              </w:tc>
              <w:tc>
                <w:tcPr>
                  <w:tcW w:w="7519" w:type="dxa"/>
                  <w:gridSpan w:val="7"/>
                  <w:tcBorders>
                    <w:tl2br w:val="nil"/>
                    <w:tr2bl w:val="nil"/>
                  </w:tcBorders>
                  <w:noWrap w:val="0"/>
                  <w:vAlign w:val="center"/>
                </w:tcPr>
                <w:p w14:paraId="72F14EB3">
                  <w:pPr>
                    <w:pStyle w:val="57"/>
                    <w:keepNext w:val="0"/>
                    <w:keepLines w:val="0"/>
                    <w:pageBreakBefore w:val="0"/>
                    <w:suppressLineNumbers w:val="0"/>
                    <w:kinsoku/>
                    <w:wordWrap/>
                    <w:overflowPunct/>
                    <w:topLinePunct w:val="0"/>
                    <w:autoSpaceDE/>
                    <w:autoSpaceDN/>
                    <w:bidi w:val="0"/>
                    <w:spacing w:before="0" w:beforeLines="0" w:beforeAutospacing="0" w:after="0" w:afterLines="0" w:afterAutospacing="0" w:line="240" w:lineRule="auto"/>
                    <w:ind w:left="0" w:right="0" w:firstLine="0" w:firstLineChars="0"/>
                    <w:textAlignment w:val="auto"/>
                    <w:rPr>
                      <w:rFonts w:hint="default" w:ascii="Times New Roman" w:eastAsia="宋体" w:cs="Times New Roman"/>
                      <w:color w:val="000000" w:themeColor="text1"/>
                      <w:kern w:val="0"/>
                      <w:sz w:val="21"/>
                      <w:szCs w:val="21"/>
                      <w:u w:val="none"/>
                      <w:lang w:val="en-US" w:eastAsia="zh-CN" w:bidi="ar"/>
                      <w14:textFill>
                        <w14:solidFill>
                          <w14:schemeClr w14:val="tx1"/>
                        </w14:solidFill>
                      </w14:textFill>
                    </w:rPr>
                  </w:pPr>
                  <w:r>
                    <w:rPr>
                      <w:rFonts w:hint="eastAsia" w:ascii="Times New Roman" w:cs="Times New Roman"/>
                      <w:color w:val="000000" w:themeColor="text1"/>
                      <w:kern w:val="0"/>
                      <w:sz w:val="21"/>
                      <w:szCs w:val="21"/>
                      <w:u w:val="none"/>
                      <w:lang w:val="en-US" w:eastAsia="zh-CN" w:bidi="ar"/>
                      <w14:textFill>
                        <w14:solidFill>
                          <w14:schemeClr w14:val="tx1"/>
                        </w14:solidFill>
                      </w14:textFill>
                    </w:rPr>
                    <w:t>本项目不新增用地，不涉及生态保护目标</w:t>
                  </w:r>
                </w:p>
              </w:tc>
            </w:tr>
          </w:tbl>
          <w:p w14:paraId="44C98C70">
            <w:pPr>
              <w:pStyle w:val="5"/>
              <w:keepNext w:val="0"/>
              <w:keepLines w:val="0"/>
              <w:pageBreakBefore w:val="0"/>
              <w:numPr>
                <w:ilvl w:val="0"/>
                <w:numId w:val="0"/>
              </w:numPr>
              <w:kinsoku/>
              <w:wordWrap/>
              <w:overflowPunct/>
              <w:topLinePunct w:val="0"/>
              <w:bidi w:val="0"/>
              <w:spacing w:line="480" w:lineRule="exact"/>
              <w:ind w:firstLine="2160" w:firstLineChars="900"/>
              <w:jc w:val="both"/>
              <w:rPr>
                <w:rFonts w:hint="default" w:ascii="Times New Roman" w:hAnsi="Times New Roman" w:eastAsia="宋体" w:cs="Times New Roman"/>
                <w:color w:val="000000"/>
                <w:kern w:val="0"/>
                <w:sz w:val="24"/>
                <w:szCs w:val="24"/>
                <w:lang w:val="en-US"/>
              </w:rPr>
            </w:pPr>
            <w:r>
              <w:rPr>
                <w:rFonts w:hint="eastAsia" w:ascii="Times New Roman" w:hAnsi="Times New Roman" w:eastAsia="黑体" w:cs="Times New Roman"/>
                <w:b w:val="0"/>
                <w:color w:val="auto"/>
                <w:kern w:val="2"/>
                <w:sz w:val="24"/>
                <w:szCs w:val="24"/>
                <w:lang w:val="en-US" w:eastAsia="zh-CN" w:bidi="ar-SA"/>
              </w:rPr>
              <w:t>表3-</w:t>
            </w:r>
            <w:r>
              <w:rPr>
                <w:rFonts w:hint="eastAsia" w:eastAsia="黑体" w:cs="Times New Roman"/>
                <w:b w:val="0"/>
                <w:color w:val="auto"/>
                <w:kern w:val="2"/>
                <w:sz w:val="24"/>
                <w:szCs w:val="24"/>
                <w:lang w:val="en-US" w:eastAsia="zh-CN" w:bidi="ar-SA"/>
              </w:rPr>
              <w:t>4</w:t>
            </w:r>
            <w:r>
              <w:rPr>
                <w:rFonts w:hint="default" w:ascii="Times New Roman" w:hAnsi="Times New Roman" w:eastAsia="黑体" w:cs="Times New Roman"/>
                <w:b w:val="0"/>
                <w:color w:val="auto"/>
                <w:kern w:val="2"/>
                <w:sz w:val="24"/>
                <w:szCs w:val="24"/>
                <w:lang w:val="en-US" w:eastAsia="zh-CN" w:bidi="ar-SA"/>
              </w:rPr>
              <w:t xml:space="preserve">      主要环境保护目标一览表</w:t>
            </w:r>
          </w:p>
        </w:tc>
      </w:tr>
      <w:tr w14:paraId="26723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56" w:type="dxa"/>
            <w:noWrap w:val="0"/>
            <w:tcMar>
              <w:left w:w="28" w:type="dxa"/>
              <w:right w:w="28" w:type="dxa"/>
            </w:tcMar>
            <w:vAlign w:val="center"/>
          </w:tcPr>
          <w:p w14:paraId="5F56D6FD">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污染</w:t>
            </w:r>
          </w:p>
          <w:p w14:paraId="5128AF48">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物排</w:t>
            </w:r>
          </w:p>
          <w:p w14:paraId="32715E41">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放控</w:t>
            </w:r>
          </w:p>
          <w:p w14:paraId="56BE1F1B">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制标</w:t>
            </w:r>
          </w:p>
          <w:p w14:paraId="6A25B603">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准</w:t>
            </w:r>
          </w:p>
        </w:tc>
        <w:tc>
          <w:tcPr>
            <w:tcW w:w="8465" w:type="dxa"/>
            <w:noWrap w:val="0"/>
            <w:vAlign w:val="center"/>
          </w:tcPr>
          <w:p w14:paraId="1A0C21FF">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b/>
                <w:color w:val="000000"/>
                <w:sz w:val="24"/>
                <w:szCs w:val="24"/>
                <w:u w:val="none"/>
              </w:rPr>
            </w:pPr>
            <w:r>
              <w:rPr>
                <w:rFonts w:hint="default" w:ascii="Times New Roman" w:hAnsi="Times New Roman" w:eastAsia="宋体" w:cs="Times New Roman"/>
                <w:b/>
                <w:color w:val="000000"/>
                <w:sz w:val="24"/>
                <w:szCs w:val="24"/>
                <w:u w:val="none"/>
                <w:lang w:val="en-US" w:eastAsia="zh-CN"/>
              </w:rPr>
              <w:t>1</w:t>
            </w:r>
            <w:r>
              <w:rPr>
                <w:rFonts w:hint="default" w:ascii="Times New Roman" w:hAnsi="Times New Roman" w:eastAsia="宋体" w:cs="Times New Roman"/>
                <w:b/>
                <w:color w:val="000000"/>
                <w:sz w:val="24"/>
                <w:szCs w:val="24"/>
                <w:u w:val="none"/>
              </w:rPr>
              <w:t>、废气</w:t>
            </w:r>
          </w:p>
          <w:p w14:paraId="07BE97DF">
            <w:pPr>
              <w:pStyle w:val="63"/>
              <w:ind w:firstLine="480"/>
              <w:rPr>
                <w:rFonts w:hint="eastAsia"/>
                <w:color w:val="000000"/>
                <w:lang w:val="en-US" w:eastAsia="zh-CN"/>
              </w:rPr>
            </w:pPr>
            <w:r>
              <w:rPr>
                <w:rFonts w:hint="eastAsia" w:eastAsia="宋体"/>
              </w:rPr>
              <w:t>项目生产过程中产生的粉尘执行《大气污染物综合排放标准》</w:t>
            </w:r>
            <w:r>
              <w:t>(GB16297-1996)</w:t>
            </w:r>
            <w:r>
              <w:rPr>
                <w:rFonts w:hint="eastAsia" w:eastAsia="宋体"/>
              </w:rPr>
              <w:t>表</w:t>
            </w:r>
            <w:r>
              <w:t>2</w:t>
            </w:r>
            <w:r>
              <w:rPr>
                <w:rFonts w:hint="eastAsia" w:eastAsia="宋体"/>
              </w:rPr>
              <w:t>中二级排放标准</w:t>
            </w:r>
            <w:r>
              <w:rPr>
                <w:rFonts w:hint="eastAsia"/>
                <w:lang w:val="en-US" w:eastAsia="zh-CN"/>
              </w:rPr>
              <w:t>及</w:t>
            </w:r>
            <w:r>
              <w:rPr>
                <w:rFonts w:hint="eastAsia" w:ascii="宋体" w:hAnsi="宋体" w:eastAsia="宋体" w:cs="宋体"/>
              </w:rPr>
              <w:t>《洛阳市重污染天气通用行业差异化应急减排措施制定技术指南》（洛市环</w:t>
            </w:r>
            <w:r>
              <w:t>[2021]47</w:t>
            </w:r>
            <w:r>
              <w:rPr>
                <w:rFonts w:hint="eastAsia" w:ascii="宋体" w:hAnsi="宋体" w:eastAsia="宋体" w:cs="宋体"/>
              </w:rPr>
              <w:t>号）中通用行业涉颗粒物企业重污染天气重点行业绩效分级要求</w:t>
            </w:r>
            <w:r>
              <w:rPr>
                <w:rFonts w:hint="eastAsia" w:eastAsia="宋体"/>
              </w:rPr>
              <w:t>，</w:t>
            </w:r>
            <w:r>
              <w:rPr>
                <w:rFonts w:hint="eastAsia" w:eastAsiaTheme="minorEastAsia"/>
                <w:color w:val="000000"/>
              </w:rPr>
              <w:t>颗粒物</w:t>
            </w:r>
            <w:r>
              <w:rPr>
                <w:rFonts w:hint="eastAsia" w:ascii="宋体" w:hAnsi="宋体" w:eastAsia="宋体" w:cs="宋体"/>
                <w:color w:val="000000"/>
              </w:rPr>
              <w:t>排放浓度不高于</w:t>
            </w:r>
            <w:r>
              <w:rPr>
                <w:color w:val="000000"/>
              </w:rPr>
              <w:t>1</w:t>
            </w:r>
            <w:r>
              <w:rPr>
                <w:rFonts w:hint="eastAsia"/>
                <w:color w:val="000000"/>
              </w:rPr>
              <w:t>0</w:t>
            </w:r>
            <w:r>
              <w:rPr>
                <w:color w:val="000000"/>
              </w:rPr>
              <w:t>mg/m</w:t>
            </w:r>
            <w:r>
              <w:rPr>
                <w:color w:val="000000"/>
                <w:vertAlign w:val="superscript"/>
              </w:rPr>
              <w:t>3</w:t>
            </w:r>
            <w:r>
              <w:rPr>
                <w:rFonts w:hint="eastAsia" w:eastAsia="宋体"/>
              </w:rPr>
              <w:t>。</w:t>
            </w:r>
          </w:p>
          <w:p w14:paraId="7FF40CF7">
            <w:pPr>
              <w:pStyle w:val="5"/>
              <w:numPr>
                <w:ilvl w:val="0"/>
                <w:numId w:val="0"/>
              </w:numPr>
              <w:bidi w:val="0"/>
              <w:ind w:firstLine="1687" w:firstLineChars="700"/>
              <w:rPr>
                <w:rFonts w:hint="default" w:ascii="Times New Roman" w:hAnsi="Times New Roman" w:eastAsia="黑体" w:cs="Times New Roman"/>
                <w:b w:val="0"/>
                <w:color w:val="000000" w:themeColor="text1"/>
                <w:kern w:val="2"/>
                <w:sz w:val="24"/>
                <w:szCs w:val="24"/>
                <w:lang w:val="en-US" w:eastAsia="zh-CN" w:bidi="ar-SA"/>
                <w14:textFill>
                  <w14:solidFill>
                    <w14:schemeClr w14:val="tx1"/>
                  </w14:solidFill>
                </w14:textFill>
              </w:rPr>
            </w:pPr>
            <w:r>
              <w:rPr>
                <w:rFonts w:hint="eastAsia"/>
                <w:lang w:val="en-US" w:eastAsia="zh-CN"/>
              </w:rPr>
              <w:t xml:space="preserve"> </w:t>
            </w:r>
            <w:r>
              <w:rPr>
                <w:rFonts w:hint="eastAsia" w:ascii="Times New Roman" w:hAnsi="Times New Roman" w:eastAsia="黑体" w:cs="Times New Roman"/>
                <w:b w:val="0"/>
                <w:color w:val="000000" w:themeColor="text1"/>
                <w:kern w:val="2"/>
                <w:sz w:val="24"/>
                <w:szCs w:val="24"/>
                <w:lang w:val="en-US" w:eastAsia="zh-CN" w:bidi="ar-SA"/>
                <w14:textFill>
                  <w14:solidFill>
                    <w14:schemeClr w14:val="tx1"/>
                  </w14:solidFill>
                </w14:textFill>
              </w:rPr>
              <w:t xml:space="preserve">  表3-5</w:t>
            </w:r>
            <w:r>
              <w:rPr>
                <w:rFonts w:hint="default" w:ascii="Times New Roman" w:hAnsi="Times New Roman" w:eastAsia="黑体" w:cs="Times New Roman"/>
                <w:b w:val="0"/>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黑体" w:cs="Times New Roman"/>
                <w:b w:val="0"/>
                <w:color w:val="000000" w:themeColor="text1"/>
                <w:kern w:val="2"/>
                <w:sz w:val="24"/>
                <w:szCs w:val="24"/>
                <w:lang w:val="en-US" w:eastAsia="zh-CN" w:bidi="ar-SA"/>
                <w14:textFill>
                  <w14:solidFill>
                    <w14:schemeClr w14:val="tx1"/>
                  </w14:solidFill>
                </w14:textFill>
              </w:rPr>
              <w:t>大气污染物排放标准限值</w:t>
            </w:r>
          </w:p>
          <w:tbl>
            <w:tblPr>
              <w:tblStyle w:val="31"/>
              <w:tblW w:w="786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79"/>
              <w:gridCol w:w="1337"/>
              <w:gridCol w:w="1337"/>
              <w:gridCol w:w="1337"/>
              <w:gridCol w:w="1337"/>
              <w:gridCol w:w="1337"/>
            </w:tblGrid>
            <w:tr w14:paraId="17B206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79" w:type="dxa"/>
                  <w:vMerge w:val="restart"/>
                  <w:tcBorders>
                    <w:tl2br w:val="nil"/>
                    <w:tr2bl w:val="nil"/>
                  </w:tcBorders>
                  <w:vAlign w:val="center"/>
                </w:tcPr>
                <w:p w14:paraId="08C69912">
                  <w:pPr>
                    <w:pStyle w:val="103"/>
                    <w:bidi w:val="0"/>
                    <w:rPr>
                      <w:b w:val="0"/>
                      <w:bCs w:val="0"/>
                    </w:rPr>
                  </w:pPr>
                  <w:r>
                    <w:rPr>
                      <w:b w:val="0"/>
                      <w:bCs w:val="0"/>
                    </w:rPr>
                    <w:t>污染物</w:t>
                  </w:r>
                </w:p>
              </w:tc>
              <w:tc>
                <w:tcPr>
                  <w:tcW w:w="1337" w:type="dxa"/>
                  <w:vMerge w:val="restart"/>
                  <w:tcBorders>
                    <w:tl2br w:val="nil"/>
                    <w:tr2bl w:val="nil"/>
                  </w:tcBorders>
                  <w:vAlign w:val="center"/>
                </w:tcPr>
                <w:p w14:paraId="1235A790">
                  <w:pPr>
                    <w:pStyle w:val="103"/>
                    <w:bidi w:val="0"/>
                    <w:rPr>
                      <w:b w:val="0"/>
                      <w:bCs w:val="0"/>
                    </w:rPr>
                  </w:pPr>
                  <w:r>
                    <w:rPr>
                      <w:b w:val="0"/>
                      <w:bCs w:val="0"/>
                    </w:rPr>
                    <w:t>最高允许排放浓度（mg/Nm</w:t>
                  </w:r>
                  <w:r>
                    <w:rPr>
                      <w:b w:val="0"/>
                      <w:bCs w:val="0"/>
                      <w:vertAlign w:val="superscript"/>
                    </w:rPr>
                    <w:t>3</w:t>
                  </w:r>
                  <w:r>
                    <w:rPr>
                      <w:b w:val="0"/>
                      <w:bCs w:val="0"/>
                    </w:rPr>
                    <w:t>）</w:t>
                  </w:r>
                </w:p>
              </w:tc>
              <w:tc>
                <w:tcPr>
                  <w:tcW w:w="2674" w:type="dxa"/>
                  <w:gridSpan w:val="2"/>
                  <w:tcBorders>
                    <w:tl2br w:val="nil"/>
                    <w:tr2bl w:val="nil"/>
                  </w:tcBorders>
                  <w:vAlign w:val="center"/>
                </w:tcPr>
                <w:p w14:paraId="41B9483F">
                  <w:pPr>
                    <w:pStyle w:val="103"/>
                    <w:bidi w:val="0"/>
                    <w:rPr>
                      <w:b w:val="0"/>
                      <w:bCs w:val="0"/>
                    </w:rPr>
                  </w:pPr>
                  <w:r>
                    <w:rPr>
                      <w:b w:val="0"/>
                      <w:bCs w:val="0"/>
                    </w:rPr>
                    <w:t>最高允许排放速率（kg/h）</w:t>
                  </w:r>
                </w:p>
              </w:tc>
              <w:tc>
                <w:tcPr>
                  <w:tcW w:w="2674" w:type="dxa"/>
                  <w:gridSpan w:val="2"/>
                  <w:tcBorders>
                    <w:tl2br w:val="nil"/>
                    <w:tr2bl w:val="nil"/>
                  </w:tcBorders>
                  <w:vAlign w:val="center"/>
                </w:tcPr>
                <w:p w14:paraId="44702F91">
                  <w:pPr>
                    <w:pStyle w:val="103"/>
                    <w:bidi w:val="0"/>
                    <w:rPr>
                      <w:b w:val="0"/>
                      <w:bCs w:val="0"/>
                    </w:rPr>
                  </w:pPr>
                  <w:r>
                    <w:rPr>
                      <w:b w:val="0"/>
                      <w:bCs w:val="0"/>
                    </w:rPr>
                    <w:t>无组织排放监控浓度限值</w:t>
                  </w:r>
                </w:p>
              </w:tc>
            </w:tr>
            <w:tr w14:paraId="3AAA0F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79" w:type="dxa"/>
                  <w:vMerge w:val="continue"/>
                  <w:tcBorders>
                    <w:tl2br w:val="nil"/>
                    <w:tr2bl w:val="nil"/>
                  </w:tcBorders>
                  <w:vAlign w:val="center"/>
                </w:tcPr>
                <w:p w14:paraId="6E2C5FE2">
                  <w:pPr>
                    <w:pStyle w:val="103"/>
                    <w:bidi w:val="0"/>
                    <w:rPr>
                      <w:b w:val="0"/>
                      <w:bCs w:val="0"/>
                    </w:rPr>
                  </w:pPr>
                </w:p>
              </w:tc>
              <w:tc>
                <w:tcPr>
                  <w:tcW w:w="1337" w:type="dxa"/>
                  <w:vMerge w:val="continue"/>
                  <w:tcBorders>
                    <w:tl2br w:val="nil"/>
                    <w:tr2bl w:val="nil"/>
                  </w:tcBorders>
                  <w:vAlign w:val="center"/>
                </w:tcPr>
                <w:p w14:paraId="153692DF">
                  <w:pPr>
                    <w:pStyle w:val="103"/>
                    <w:bidi w:val="0"/>
                    <w:rPr>
                      <w:b w:val="0"/>
                      <w:bCs w:val="0"/>
                    </w:rPr>
                  </w:pPr>
                </w:p>
              </w:tc>
              <w:tc>
                <w:tcPr>
                  <w:tcW w:w="1337" w:type="dxa"/>
                  <w:tcBorders>
                    <w:tl2br w:val="nil"/>
                    <w:tr2bl w:val="nil"/>
                  </w:tcBorders>
                  <w:vAlign w:val="center"/>
                </w:tcPr>
                <w:p w14:paraId="5ED9B314">
                  <w:pPr>
                    <w:pStyle w:val="103"/>
                    <w:bidi w:val="0"/>
                    <w:rPr>
                      <w:b w:val="0"/>
                      <w:bCs w:val="0"/>
                    </w:rPr>
                  </w:pPr>
                  <w:r>
                    <w:rPr>
                      <w:b w:val="0"/>
                      <w:bCs w:val="0"/>
                    </w:rPr>
                    <w:t>排气筒（m）</w:t>
                  </w:r>
                </w:p>
              </w:tc>
              <w:tc>
                <w:tcPr>
                  <w:tcW w:w="1337" w:type="dxa"/>
                  <w:tcBorders>
                    <w:tl2br w:val="nil"/>
                    <w:tr2bl w:val="nil"/>
                  </w:tcBorders>
                  <w:vAlign w:val="center"/>
                </w:tcPr>
                <w:p w14:paraId="097228A2">
                  <w:pPr>
                    <w:pStyle w:val="103"/>
                    <w:bidi w:val="0"/>
                    <w:rPr>
                      <w:b w:val="0"/>
                      <w:bCs w:val="0"/>
                    </w:rPr>
                  </w:pPr>
                  <w:r>
                    <w:rPr>
                      <w:b w:val="0"/>
                      <w:bCs w:val="0"/>
                    </w:rPr>
                    <w:t>二级</w:t>
                  </w:r>
                </w:p>
              </w:tc>
              <w:tc>
                <w:tcPr>
                  <w:tcW w:w="1337" w:type="dxa"/>
                  <w:tcBorders>
                    <w:tl2br w:val="nil"/>
                    <w:tr2bl w:val="nil"/>
                  </w:tcBorders>
                  <w:vAlign w:val="center"/>
                </w:tcPr>
                <w:p w14:paraId="3995DA56">
                  <w:pPr>
                    <w:pStyle w:val="103"/>
                    <w:bidi w:val="0"/>
                    <w:rPr>
                      <w:b w:val="0"/>
                      <w:bCs w:val="0"/>
                    </w:rPr>
                  </w:pPr>
                  <w:r>
                    <w:rPr>
                      <w:b w:val="0"/>
                      <w:bCs w:val="0"/>
                    </w:rPr>
                    <w:t>监控点</w:t>
                  </w:r>
                </w:p>
              </w:tc>
              <w:tc>
                <w:tcPr>
                  <w:tcW w:w="1337" w:type="dxa"/>
                  <w:tcBorders>
                    <w:tl2br w:val="nil"/>
                    <w:tr2bl w:val="nil"/>
                  </w:tcBorders>
                  <w:vAlign w:val="center"/>
                </w:tcPr>
                <w:p w14:paraId="1F5043DB">
                  <w:pPr>
                    <w:pStyle w:val="103"/>
                    <w:bidi w:val="0"/>
                    <w:rPr>
                      <w:b w:val="0"/>
                      <w:bCs w:val="0"/>
                    </w:rPr>
                  </w:pPr>
                  <w:r>
                    <w:rPr>
                      <w:b w:val="0"/>
                      <w:bCs w:val="0"/>
                    </w:rPr>
                    <w:t>浓度（mg/Nm</w:t>
                  </w:r>
                  <w:r>
                    <w:rPr>
                      <w:b w:val="0"/>
                      <w:bCs w:val="0"/>
                      <w:vertAlign w:val="superscript"/>
                    </w:rPr>
                    <w:t>3</w:t>
                  </w:r>
                  <w:r>
                    <w:rPr>
                      <w:b w:val="0"/>
                      <w:bCs w:val="0"/>
                    </w:rPr>
                    <w:t>）</w:t>
                  </w:r>
                </w:p>
              </w:tc>
            </w:tr>
            <w:tr w14:paraId="350C52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79" w:type="dxa"/>
                  <w:tcBorders>
                    <w:tl2br w:val="nil"/>
                    <w:tr2bl w:val="nil"/>
                  </w:tcBorders>
                  <w:vAlign w:val="center"/>
                </w:tcPr>
                <w:p w14:paraId="09B0175B">
                  <w:pPr>
                    <w:pStyle w:val="103"/>
                    <w:bidi w:val="0"/>
                  </w:pPr>
                  <w:r>
                    <w:t>颗粒物</w:t>
                  </w:r>
                </w:p>
              </w:tc>
              <w:tc>
                <w:tcPr>
                  <w:tcW w:w="1337" w:type="dxa"/>
                  <w:tcBorders>
                    <w:tl2br w:val="nil"/>
                    <w:tr2bl w:val="nil"/>
                  </w:tcBorders>
                  <w:vAlign w:val="center"/>
                </w:tcPr>
                <w:p w14:paraId="78EFF75A">
                  <w:pPr>
                    <w:pStyle w:val="103"/>
                    <w:bidi w:val="0"/>
                  </w:pPr>
                  <w:r>
                    <w:t>120</w:t>
                  </w:r>
                </w:p>
              </w:tc>
              <w:tc>
                <w:tcPr>
                  <w:tcW w:w="1337" w:type="dxa"/>
                  <w:tcBorders>
                    <w:tl2br w:val="nil"/>
                    <w:tr2bl w:val="nil"/>
                  </w:tcBorders>
                  <w:vAlign w:val="center"/>
                </w:tcPr>
                <w:p w14:paraId="77EA6337">
                  <w:pPr>
                    <w:pStyle w:val="103"/>
                    <w:bidi w:val="0"/>
                  </w:pPr>
                  <w:r>
                    <w:t>15</w:t>
                  </w:r>
                </w:p>
              </w:tc>
              <w:tc>
                <w:tcPr>
                  <w:tcW w:w="1337" w:type="dxa"/>
                  <w:tcBorders>
                    <w:tl2br w:val="nil"/>
                    <w:tr2bl w:val="nil"/>
                  </w:tcBorders>
                  <w:vAlign w:val="center"/>
                </w:tcPr>
                <w:p w14:paraId="10B45282">
                  <w:pPr>
                    <w:pStyle w:val="103"/>
                    <w:bidi w:val="0"/>
                  </w:pPr>
                  <w:r>
                    <w:t>3.5</w:t>
                  </w:r>
                </w:p>
              </w:tc>
              <w:tc>
                <w:tcPr>
                  <w:tcW w:w="1337" w:type="dxa"/>
                  <w:tcBorders>
                    <w:tl2br w:val="nil"/>
                    <w:tr2bl w:val="nil"/>
                  </w:tcBorders>
                  <w:vAlign w:val="center"/>
                </w:tcPr>
                <w:p w14:paraId="7AB4D7B4">
                  <w:pPr>
                    <w:pStyle w:val="103"/>
                    <w:bidi w:val="0"/>
                  </w:pPr>
                  <w:r>
                    <w:t>周界外浓度最高点</w:t>
                  </w:r>
                </w:p>
              </w:tc>
              <w:tc>
                <w:tcPr>
                  <w:tcW w:w="1337" w:type="dxa"/>
                  <w:tcBorders>
                    <w:tl2br w:val="nil"/>
                    <w:tr2bl w:val="nil"/>
                  </w:tcBorders>
                  <w:vAlign w:val="center"/>
                </w:tcPr>
                <w:p w14:paraId="5B6702F2">
                  <w:pPr>
                    <w:pStyle w:val="103"/>
                    <w:bidi w:val="0"/>
                  </w:pPr>
                  <w:r>
                    <w:t>1.0</w:t>
                  </w:r>
                </w:p>
              </w:tc>
            </w:tr>
            <w:tr w14:paraId="2DE86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79" w:type="dxa"/>
                  <w:tcBorders>
                    <w:tl2br w:val="nil"/>
                    <w:tr2bl w:val="nil"/>
                  </w:tcBorders>
                  <w:vAlign w:val="center"/>
                </w:tcPr>
                <w:p w14:paraId="407B5EEF">
                  <w:pPr>
                    <w:pStyle w:val="103"/>
                    <w:bidi w:val="0"/>
                    <w:rPr>
                      <w:rFonts w:hint="eastAsia" w:eastAsia="宋体"/>
                      <w:color w:val="auto"/>
                      <w:lang w:val="en-US" w:eastAsia="zh-CN"/>
                    </w:rPr>
                  </w:pPr>
                  <w:r>
                    <w:rPr>
                      <w:rFonts w:hint="eastAsia"/>
                      <w:color w:val="auto"/>
                      <w:lang w:val="en-US" w:eastAsia="zh-CN"/>
                    </w:rPr>
                    <w:t>颗粒物</w:t>
                  </w:r>
                </w:p>
              </w:tc>
              <w:tc>
                <w:tcPr>
                  <w:tcW w:w="1337" w:type="dxa"/>
                  <w:tcBorders>
                    <w:tl2br w:val="nil"/>
                    <w:tr2bl w:val="nil"/>
                  </w:tcBorders>
                  <w:vAlign w:val="center"/>
                </w:tcPr>
                <w:p w14:paraId="0A1C5766">
                  <w:pPr>
                    <w:pStyle w:val="103"/>
                    <w:bidi w:val="0"/>
                    <w:rPr>
                      <w:rFonts w:hint="default" w:eastAsia="宋体"/>
                      <w:color w:val="auto"/>
                      <w:lang w:val="en-US" w:eastAsia="zh-CN"/>
                    </w:rPr>
                  </w:pPr>
                  <w:r>
                    <w:rPr>
                      <w:rFonts w:hint="eastAsia"/>
                      <w:color w:val="auto"/>
                      <w:lang w:val="en-US" w:eastAsia="zh-CN"/>
                    </w:rPr>
                    <w:t>10</w:t>
                  </w:r>
                </w:p>
              </w:tc>
              <w:tc>
                <w:tcPr>
                  <w:tcW w:w="5348" w:type="dxa"/>
                  <w:gridSpan w:val="4"/>
                  <w:tcBorders>
                    <w:tl2br w:val="nil"/>
                    <w:tr2bl w:val="nil"/>
                  </w:tcBorders>
                  <w:vAlign w:val="center"/>
                </w:tcPr>
                <w:p w14:paraId="4EF8D450">
                  <w:pPr>
                    <w:pStyle w:val="103"/>
                    <w:bidi w:val="0"/>
                    <w:rPr>
                      <w:color w:val="auto"/>
                    </w:rPr>
                  </w:pPr>
                  <w:r>
                    <w:rPr>
                      <w:rFonts w:hint="eastAsia" w:ascii="宋体" w:hAnsi="宋体" w:eastAsia="宋体" w:cs="宋体"/>
                      <w:color w:val="auto"/>
                    </w:rPr>
                    <w:t>《洛阳市重污染天气通用行业差异化应急减排措施制定技术指南》（洛市环</w:t>
                  </w:r>
                  <w:r>
                    <w:rPr>
                      <w:color w:val="auto"/>
                    </w:rPr>
                    <w:t>[2021]47</w:t>
                  </w:r>
                  <w:r>
                    <w:rPr>
                      <w:rFonts w:hint="eastAsia" w:ascii="宋体" w:hAnsi="宋体" w:eastAsia="宋体" w:cs="宋体"/>
                      <w:color w:val="auto"/>
                    </w:rPr>
                    <w:t>号）中通用行业涉颗粒物企业重污染天气重点行业绩效分级要求</w:t>
                  </w:r>
                </w:p>
              </w:tc>
            </w:tr>
          </w:tbl>
          <w:p w14:paraId="59C7939D">
            <w:pPr>
              <w:keepNext w:val="0"/>
              <w:keepLines w:val="0"/>
              <w:pageBreakBefore w:val="0"/>
              <w:widowControl w:val="0"/>
              <w:kinsoku/>
              <w:wordWrap/>
              <w:overflowPunct/>
              <w:topLinePunct w:val="0"/>
              <w:autoSpaceDE/>
              <w:autoSpaceDN/>
              <w:bidi w:val="0"/>
              <w:spacing w:line="480" w:lineRule="exact"/>
              <w:jc w:val="left"/>
              <w:textAlignment w:val="auto"/>
              <w:rPr>
                <w:rFonts w:hint="eastAsia" w:ascii="Times New Roman" w:hAnsi="Times New Roman" w:eastAsia="宋体" w:cs="Times New Roman"/>
                <w:b/>
                <w:color w:val="000000"/>
                <w:sz w:val="24"/>
                <w:szCs w:val="24"/>
                <w:u w:val="none"/>
                <w:lang w:eastAsia="zh-CN"/>
              </w:rPr>
            </w:pPr>
            <w:r>
              <w:rPr>
                <w:rFonts w:hint="default" w:ascii="Times New Roman" w:hAnsi="Times New Roman" w:eastAsia="宋体" w:cs="Times New Roman"/>
                <w:b/>
                <w:color w:val="000000"/>
                <w:sz w:val="24"/>
                <w:szCs w:val="24"/>
                <w:u w:val="none"/>
                <w:lang w:val="en-US" w:eastAsia="zh-CN"/>
              </w:rPr>
              <w:t>2</w:t>
            </w:r>
            <w:r>
              <w:rPr>
                <w:rFonts w:hint="default" w:ascii="Times New Roman" w:hAnsi="Times New Roman" w:eastAsia="宋体" w:cs="Times New Roman"/>
                <w:b/>
                <w:color w:val="000000"/>
                <w:sz w:val="24"/>
                <w:szCs w:val="24"/>
                <w:u w:val="none"/>
              </w:rPr>
              <w:t>、噪声</w:t>
            </w:r>
          </w:p>
          <w:p w14:paraId="2A016ABF">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施工期噪声执行《建筑施工场界环境噪声排放标准》</w:t>
            </w:r>
            <w:r>
              <w:rPr>
                <w:rFonts w:hint="default" w:ascii="Times New Roman" w:hAnsi="Times New Roman" w:eastAsia="宋体" w:cs="Times New Roman"/>
                <w:kern w:val="2"/>
                <w:sz w:val="24"/>
                <w:szCs w:val="24"/>
                <w:lang w:val="en-US" w:eastAsia="zh-CN" w:bidi="ar-SA"/>
              </w:rPr>
              <w:t>（GB12523-2011）</w:t>
            </w:r>
            <w:r>
              <w:rPr>
                <w:rFonts w:hint="eastAsia" w:ascii="Times New Roman" w:hAnsi="Times New Roman" w:eastAsia="宋体" w:cs="Times New Roman"/>
                <w:kern w:val="2"/>
                <w:sz w:val="24"/>
                <w:szCs w:val="24"/>
                <w:lang w:val="en-US" w:eastAsia="zh-CN" w:bidi="ar-SA"/>
              </w:rPr>
              <w:t>规定的噪声值。</w:t>
            </w:r>
          </w:p>
          <w:p w14:paraId="774E920F">
            <w:pPr>
              <w:pStyle w:val="118"/>
              <w:numPr>
                <w:ilvl w:val="0"/>
                <w:numId w:val="0"/>
              </w:numPr>
              <w:wordWrap w:val="0"/>
              <w:ind w:firstLine="480" w:firstLineChars="200"/>
              <w:rPr>
                <w:rFonts w:hint="eastAsia" w:ascii="Times New Roman" w:hAnsi="Times New Roman" w:eastAsia="宋体" w:cs="Times New Roman"/>
                <w:color w:val="000000"/>
                <w:sz w:val="24"/>
                <w:szCs w:val="24"/>
                <w:u w:val="none"/>
                <w:lang w:val="en-US" w:eastAsia="zh-CN"/>
              </w:rPr>
            </w:pPr>
            <w:r>
              <w:rPr>
                <w:rFonts w:hint="eastAsia" w:ascii="Times New Roman" w:cs="Times New Roman"/>
                <w:color w:val="000000"/>
                <w:sz w:val="24"/>
                <w:szCs w:val="24"/>
                <w:u w:val="none"/>
                <w:lang w:eastAsia="zh-CN"/>
              </w:rPr>
              <w:t>（</w:t>
            </w:r>
            <w:r>
              <w:rPr>
                <w:rFonts w:hint="eastAsia" w:ascii="Times New Roman" w:cs="Times New Roman"/>
                <w:color w:val="000000"/>
                <w:sz w:val="24"/>
                <w:szCs w:val="24"/>
                <w:u w:val="none"/>
                <w:lang w:val="en-US" w:eastAsia="zh-CN"/>
              </w:rPr>
              <w:t>2</w:t>
            </w:r>
            <w:r>
              <w:rPr>
                <w:rFonts w:hint="eastAsia" w:ascii="Times New Roman" w:cs="Times New Roman"/>
                <w:color w:val="000000"/>
                <w:sz w:val="24"/>
                <w:szCs w:val="24"/>
                <w:u w:val="none"/>
                <w:lang w:eastAsia="zh-CN"/>
              </w:rPr>
              <w:t>）</w:t>
            </w:r>
            <w:r>
              <w:rPr>
                <w:rFonts w:hint="default" w:ascii="Times New Roman" w:hAnsi="Times New Roman" w:eastAsia="宋体" w:cs="Times New Roman"/>
                <w:color w:val="000000"/>
                <w:sz w:val="24"/>
                <w:szCs w:val="24"/>
                <w:u w:val="none"/>
              </w:rPr>
              <w:t>营运期厂界噪声执行《工业企业厂界环境噪声排放标准》（GB12348－2008）</w:t>
            </w:r>
            <w:r>
              <w:rPr>
                <w:rFonts w:hint="eastAsia" w:ascii="Times New Roman" w:hAnsi="Times New Roman" w:eastAsia="宋体" w:cs="Times New Roman"/>
                <w:color w:val="000000"/>
                <w:sz w:val="24"/>
                <w:szCs w:val="24"/>
                <w:u w:val="none"/>
                <w:lang w:val="en-US" w:eastAsia="zh-CN"/>
              </w:rPr>
              <w:t>2</w:t>
            </w:r>
            <w:r>
              <w:rPr>
                <w:rFonts w:hint="default" w:ascii="Times New Roman" w:hAnsi="Times New Roman" w:eastAsia="宋体" w:cs="Times New Roman"/>
                <w:color w:val="000000"/>
                <w:sz w:val="24"/>
                <w:szCs w:val="24"/>
                <w:u w:val="none"/>
              </w:rPr>
              <w:t>类标准</w:t>
            </w:r>
            <w:r>
              <w:rPr>
                <w:rFonts w:hint="eastAsia" w:cs="Times New Roman"/>
                <w:color w:val="000000"/>
                <w:sz w:val="24"/>
                <w:szCs w:val="24"/>
                <w:u w:val="none"/>
                <w:lang w:eastAsia="zh-CN"/>
              </w:rPr>
              <w:t>。</w:t>
            </w:r>
          </w:p>
          <w:p w14:paraId="283A4255">
            <w:pPr>
              <w:pStyle w:val="85"/>
              <w:keepNext w:val="0"/>
              <w:keepLines w:val="0"/>
              <w:pageBreakBefore w:val="0"/>
              <w:widowControl/>
              <w:kinsoku/>
              <w:wordWrap w:val="0"/>
              <w:overflowPunct/>
              <w:topLinePunct w:val="0"/>
              <w:autoSpaceDE w:val="0"/>
              <w:autoSpaceDN w:val="0"/>
              <w:bidi w:val="0"/>
              <w:adjustRightInd/>
              <w:snapToGrid/>
              <w:spacing w:before="0" w:after="0" w:line="360" w:lineRule="auto"/>
              <w:ind w:left="0" w:right="0" w:firstLine="1560" w:firstLineChars="600"/>
              <w:jc w:val="both"/>
              <w:textAlignment w:val="auto"/>
              <w:rPr>
                <w:rFonts w:hint="default" w:ascii="Times New Roman" w:hAnsi="Times New Roman" w:eastAsia="黑体" w:cs="Times New Roman"/>
                <w:b w:val="0"/>
                <w:bCs w:val="0"/>
                <w:kern w:val="2"/>
                <w:sz w:val="24"/>
                <w:szCs w:val="24"/>
                <w:lang w:val="en-US" w:eastAsia="zh-CN" w:bidi="ar-SA"/>
              </w:rPr>
            </w:pPr>
            <w:r>
              <w:rPr>
                <w:rFonts w:hint="eastAsia" w:ascii="Times New Roman" w:hAnsi="Times New Roman" w:eastAsia="黑体" w:cs="Times New Roman"/>
                <w:b w:val="0"/>
                <w:color w:val="000000"/>
                <w:kern w:val="2"/>
                <w:sz w:val="24"/>
                <w:szCs w:val="24"/>
                <w:lang w:val="en-US" w:eastAsia="zh-CN" w:bidi="ar-SA"/>
              </w:rPr>
              <w:t>表3-</w:t>
            </w:r>
            <w:r>
              <w:rPr>
                <w:rFonts w:hint="eastAsia" w:eastAsia="黑体" w:cs="Times New Roman"/>
                <w:b w:val="0"/>
                <w:color w:val="000000"/>
                <w:kern w:val="2"/>
                <w:sz w:val="24"/>
                <w:szCs w:val="24"/>
                <w:lang w:val="en-US" w:eastAsia="zh-CN" w:bidi="ar-SA"/>
              </w:rPr>
              <w:t>6</w:t>
            </w:r>
            <w:r>
              <w:rPr>
                <w:rFonts w:hint="default" w:ascii="Times New Roman" w:hAnsi="Times New Roman" w:eastAsia="黑体" w:cs="Times New Roman"/>
                <w:b w:val="0"/>
                <w:color w:val="000000"/>
                <w:kern w:val="2"/>
                <w:sz w:val="24"/>
                <w:szCs w:val="24"/>
                <w:lang w:val="en-US" w:eastAsia="zh-CN" w:bidi="ar-SA"/>
              </w:rPr>
              <w:t xml:space="preserve">  </w:t>
            </w:r>
            <w:r>
              <w:rPr>
                <w:rFonts w:hint="eastAsia" w:ascii="Times New Roman" w:hAnsi="Times New Roman" w:eastAsia="黑体" w:cs="Times New Roman"/>
                <w:b w:val="0"/>
                <w:bCs w:val="0"/>
                <w:kern w:val="2"/>
                <w:sz w:val="24"/>
                <w:szCs w:val="24"/>
                <w:lang w:val="en-US" w:eastAsia="zh-CN" w:bidi="ar-SA"/>
              </w:rPr>
              <w:t xml:space="preserve"> 噪声排放标准限值一览表 </w:t>
            </w:r>
            <w:r>
              <w:rPr>
                <w:rFonts w:hint="default" w:ascii="Times New Roman" w:hAnsi="Times New Roman" w:eastAsia="黑体" w:cs="Times New Roman"/>
                <w:b w:val="0"/>
                <w:bCs w:val="0"/>
                <w:kern w:val="2"/>
                <w:sz w:val="24"/>
                <w:szCs w:val="24"/>
                <w:lang w:val="en-US" w:eastAsia="zh-CN" w:bidi="ar-SA"/>
              </w:rPr>
              <w:t xml:space="preserve">    </w:t>
            </w:r>
            <w:r>
              <w:rPr>
                <w:rFonts w:hint="eastAsia" w:ascii="Times New Roman" w:hAnsi="Times New Roman" w:eastAsia="黑体" w:cs="Times New Roman"/>
                <w:b w:val="0"/>
                <w:bCs w:val="0"/>
                <w:kern w:val="2"/>
                <w:sz w:val="24"/>
                <w:szCs w:val="24"/>
                <w:lang w:val="en-US" w:eastAsia="zh-CN" w:bidi="ar-SA"/>
              </w:rPr>
              <w:t>单位：dB（A）</w:t>
            </w:r>
          </w:p>
          <w:tbl>
            <w:tblPr>
              <w:tblStyle w:val="31"/>
              <w:tblW w:w="8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3"/>
              <w:gridCol w:w="877"/>
              <w:gridCol w:w="1168"/>
              <w:gridCol w:w="1179"/>
            </w:tblGrid>
            <w:tr w14:paraId="39DD3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3" w:type="dxa"/>
                  <w:tcBorders>
                    <w:tl2br w:val="nil"/>
                    <w:tr2bl w:val="nil"/>
                  </w:tcBorders>
                  <w:noWrap w:val="0"/>
                  <w:vAlign w:val="center"/>
                </w:tcPr>
                <w:p w14:paraId="634E8446">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标准名称</w:t>
                  </w:r>
                </w:p>
              </w:tc>
              <w:tc>
                <w:tcPr>
                  <w:tcW w:w="877" w:type="dxa"/>
                  <w:tcBorders>
                    <w:tl2br w:val="nil"/>
                    <w:tr2bl w:val="nil"/>
                  </w:tcBorders>
                  <w:noWrap w:val="0"/>
                  <w:vAlign w:val="center"/>
                </w:tcPr>
                <w:p w14:paraId="5A415840">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类别</w:t>
                  </w:r>
                </w:p>
              </w:tc>
              <w:tc>
                <w:tcPr>
                  <w:tcW w:w="1168" w:type="dxa"/>
                  <w:tcBorders>
                    <w:tl2br w:val="nil"/>
                    <w:tr2bl w:val="nil"/>
                  </w:tcBorders>
                  <w:noWrap w:val="0"/>
                  <w:vAlign w:val="center"/>
                </w:tcPr>
                <w:p w14:paraId="5680653B">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昼间</w:t>
                  </w:r>
                </w:p>
              </w:tc>
              <w:tc>
                <w:tcPr>
                  <w:tcW w:w="1179" w:type="dxa"/>
                  <w:tcBorders>
                    <w:tl2br w:val="nil"/>
                    <w:tr2bl w:val="nil"/>
                  </w:tcBorders>
                  <w:noWrap w:val="0"/>
                  <w:vAlign w:val="center"/>
                </w:tcPr>
                <w:p w14:paraId="74C6A23C">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夜间</w:t>
                  </w:r>
                </w:p>
              </w:tc>
            </w:tr>
            <w:tr w14:paraId="03299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870" w:type="dxa"/>
                  <w:gridSpan w:val="2"/>
                  <w:tcBorders>
                    <w:tl2br w:val="nil"/>
                    <w:tr2bl w:val="nil"/>
                  </w:tcBorders>
                  <w:noWrap w:val="0"/>
                  <w:vAlign w:val="center"/>
                </w:tcPr>
                <w:p w14:paraId="1BBEAA9D">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《建筑施工场界环境噪声排放标准》</w:t>
                  </w:r>
                  <w:r>
                    <w:rPr>
                      <w:rFonts w:hint="default" w:ascii="Times New Roman" w:hAnsi="Times New Roman" w:eastAsia="宋体" w:cs="Times New Roman"/>
                      <w:color w:val="000000"/>
                      <w:sz w:val="21"/>
                      <w:szCs w:val="21"/>
                      <w:u w:val="none"/>
                      <w:lang w:val="en-US" w:eastAsia="zh-CN"/>
                    </w:rPr>
                    <w:t>（GB12523-2011）</w:t>
                  </w:r>
                </w:p>
              </w:tc>
              <w:tc>
                <w:tcPr>
                  <w:tcW w:w="1168" w:type="dxa"/>
                  <w:tcBorders>
                    <w:tl2br w:val="nil"/>
                    <w:tr2bl w:val="nil"/>
                  </w:tcBorders>
                  <w:noWrap w:val="0"/>
                  <w:vAlign w:val="center"/>
                </w:tcPr>
                <w:p w14:paraId="187FFE14">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70</w:t>
                  </w:r>
                </w:p>
              </w:tc>
              <w:tc>
                <w:tcPr>
                  <w:tcW w:w="1179" w:type="dxa"/>
                  <w:tcBorders>
                    <w:tl2br w:val="nil"/>
                    <w:tr2bl w:val="nil"/>
                  </w:tcBorders>
                  <w:noWrap w:val="0"/>
                  <w:vAlign w:val="center"/>
                </w:tcPr>
                <w:p w14:paraId="4A3C939E">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55</w:t>
                  </w:r>
                </w:p>
              </w:tc>
            </w:tr>
            <w:tr w14:paraId="28BDE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993" w:type="dxa"/>
                  <w:tcBorders>
                    <w:tl2br w:val="nil"/>
                    <w:tr2bl w:val="nil"/>
                  </w:tcBorders>
                  <w:noWrap w:val="0"/>
                  <w:vAlign w:val="center"/>
                </w:tcPr>
                <w:p w14:paraId="5B61CC93">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《工业企业厂界环境噪声排放标准》（GB12348-2008）</w:t>
                  </w:r>
                </w:p>
              </w:tc>
              <w:tc>
                <w:tcPr>
                  <w:tcW w:w="877" w:type="dxa"/>
                  <w:tcBorders>
                    <w:tl2br w:val="nil"/>
                    <w:tr2bl w:val="nil"/>
                  </w:tcBorders>
                  <w:noWrap w:val="0"/>
                  <w:vAlign w:val="center"/>
                </w:tcPr>
                <w:p w14:paraId="180C690B">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2类</w:t>
                  </w:r>
                </w:p>
              </w:tc>
              <w:tc>
                <w:tcPr>
                  <w:tcW w:w="1168" w:type="dxa"/>
                  <w:tcBorders>
                    <w:tl2br w:val="nil"/>
                    <w:tr2bl w:val="nil"/>
                  </w:tcBorders>
                  <w:noWrap w:val="0"/>
                  <w:vAlign w:val="center"/>
                </w:tcPr>
                <w:p w14:paraId="008FAD45">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60</w:t>
                  </w:r>
                </w:p>
              </w:tc>
              <w:tc>
                <w:tcPr>
                  <w:tcW w:w="1179" w:type="dxa"/>
                  <w:tcBorders>
                    <w:tl2br w:val="nil"/>
                    <w:tr2bl w:val="nil"/>
                  </w:tcBorders>
                  <w:noWrap w:val="0"/>
                  <w:vAlign w:val="center"/>
                </w:tcPr>
                <w:p w14:paraId="2EF8ABC5">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50</w:t>
                  </w:r>
                </w:p>
              </w:tc>
            </w:tr>
          </w:tbl>
          <w:p w14:paraId="498F2C22">
            <w:pPr>
              <w:spacing w:line="520" w:lineRule="exact"/>
              <w:jc w:val="both"/>
              <w:rPr>
                <w:rFonts w:hint="default" w:ascii="Times New Roman" w:hAnsi="Times New Roman" w:cs="Times New Roman"/>
                <w:b/>
                <w:sz w:val="24"/>
              </w:rPr>
            </w:pPr>
            <w:r>
              <w:rPr>
                <w:rFonts w:hint="default" w:ascii="Times New Roman" w:hAnsi="Times New Roman" w:cs="Times New Roman"/>
                <w:b/>
                <w:sz w:val="24"/>
              </w:rPr>
              <w:t>3、固废</w:t>
            </w:r>
          </w:p>
          <w:p w14:paraId="15CF1DA0">
            <w:pPr>
              <w:pStyle w:val="78"/>
              <w:keepNext w:val="0"/>
              <w:keepLines w:val="0"/>
              <w:pageBreakBefore w:val="0"/>
              <w:widowControl/>
              <w:kinsoku/>
              <w:wordWrap/>
              <w:overflowPunct/>
              <w:topLinePunct w:val="0"/>
              <w:autoSpaceDE w:val="0"/>
              <w:autoSpaceDN w:val="0"/>
              <w:bidi w:val="0"/>
              <w:adjustRightInd/>
              <w:snapToGrid/>
              <w:spacing w:line="480" w:lineRule="exact"/>
              <w:ind w:firstLine="480"/>
              <w:textAlignment w:val="auto"/>
              <w:rPr>
                <w:rFonts w:hint="eastAsia" w:ascii="Times New Roman" w:hAnsi="Times New Roman" w:eastAsia="宋体" w:cs="Times New Roman"/>
                <w:color w:val="000000"/>
                <w:sz w:val="24"/>
                <w:lang w:eastAsia="zh-CN"/>
              </w:rPr>
            </w:pPr>
            <w:r>
              <w:rPr>
                <w:rFonts w:hint="eastAsia" w:ascii="Times New Roman" w:cs="Times New Roman"/>
                <w:color w:val="000000"/>
                <w:sz w:val="24"/>
                <w:lang w:eastAsia="zh-CN"/>
              </w:rPr>
              <w:t>（</w:t>
            </w:r>
            <w:r>
              <w:rPr>
                <w:rFonts w:hint="eastAsia" w:ascii="Times New Roman" w:cs="Times New Roman"/>
                <w:color w:val="000000"/>
                <w:sz w:val="24"/>
                <w:lang w:val="en-US" w:eastAsia="zh-CN"/>
              </w:rPr>
              <w:t>1</w:t>
            </w:r>
            <w:r>
              <w:rPr>
                <w:rFonts w:hint="eastAsia" w:ascii="Times New Roman" w:cs="Times New Roman"/>
                <w:color w:val="000000"/>
                <w:sz w:val="24"/>
                <w:lang w:eastAsia="zh-CN"/>
              </w:rPr>
              <w:t>）</w:t>
            </w:r>
            <w:r>
              <w:rPr>
                <w:rFonts w:hint="default" w:ascii="Times New Roman" w:hAnsi="Times New Roman" w:cs="Times New Roman"/>
                <w:color w:val="000000"/>
                <w:sz w:val="24"/>
              </w:rPr>
              <w:t>一般工业固体废物的贮存和处置方法执行《</w:t>
            </w:r>
            <w:r>
              <w:rPr>
                <w:rFonts w:hint="eastAsia" w:ascii="Times New Roman" w:hAnsi="Times New Roman" w:eastAsia="宋体" w:cs="Times New Roman"/>
                <w:color w:val="000000"/>
                <w:sz w:val="24"/>
                <w:lang w:eastAsia="zh-CN"/>
              </w:rPr>
              <w:t>一般工业固体废物贮存和填埋污染控制标准</w:t>
            </w:r>
            <w:r>
              <w:rPr>
                <w:rFonts w:hint="default" w:ascii="Times New Roman" w:hAnsi="Times New Roman" w:cs="Times New Roman"/>
                <w:color w:val="000000"/>
                <w:sz w:val="24"/>
              </w:rPr>
              <w:t>》（GB18599-20</w:t>
            </w:r>
            <w:r>
              <w:rPr>
                <w:rFonts w:hint="eastAsia" w:ascii="Times New Roman" w:hAnsi="Times New Roman" w:eastAsia="宋体" w:cs="Times New Roman"/>
                <w:color w:val="000000"/>
                <w:sz w:val="24"/>
                <w:lang w:val="en-US" w:eastAsia="zh-CN"/>
              </w:rPr>
              <w:t>20</w:t>
            </w:r>
            <w:r>
              <w:rPr>
                <w:rFonts w:hint="default" w:ascii="Times New Roman" w:hAnsi="Times New Roman" w:cs="Times New Roman"/>
                <w:color w:val="000000"/>
                <w:sz w:val="24"/>
              </w:rPr>
              <w:t>）</w:t>
            </w:r>
            <w:r>
              <w:rPr>
                <w:rFonts w:hint="eastAsia" w:ascii="Times New Roman" w:hAnsi="Times New Roman" w:eastAsia="宋体" w:cs="Times New Roman"/>
                <w:color w:val="000000"/>
                <w:sz w:val="24"/>
                <w:lang w:eastAsia="zh-CN"/>
              </w:rPr>
              <w:t>；</w:t>
            </w:r>
          </w:p>
          <w:p w14:paraId="2189CB0C">
            <w:pPr>
              <w:pStyle w:val="78"/>
              <w:keepNext w:val="0"/>
              <w:keepLines w:val="0"/>
              <w:pageBreakBefore w:val="0"/>
              <w:widowControl/>
              <w:kinsoku/>
              <w:wordWrap/>
              <w:overflowPunct/>
              <w:topLinePunct w:val="0"/>
              <w:autoSpaceDE w:val="0"/>
              <w:autoSpaceDN w:val="0"/>
              <w:bidi w:val="0"/>
              <w:adjustRightInd/>
              <w:snapToGrid/>
              <w:spacing w:line="480" w:lineRule="exact"/>
              <w:ind w:left="0" w:leftChars="0" w:firstLine="480" w:firstLineChars="200"/>
              <w:textAlignment w:val="auto"/>
              <w:rPr>
                <w:rFonts w:hint="eastAsia" w:ascii="Times New Roman" w:hAnsi="Times New Roman" w:eastAsia="宋体" w:cs="Times New Roman"/>
                <w:color w:val="000000"/>
                <w:sz w:val="24"/>
                <w:szCs w:val="24"/>
                <w:u w:val="none"/>
                <w:lang w:val="en-US" w:eastAsia="zh-CN"/>
              </w:rPr>
            </w:pPr>
            <w:r>
              <w:rPr>
                <w:rFonts w:hint="eastAsia" w:ascii="Times New Roman" w:cs="Times New Roman"/>
                <w:color w:val="000000"/>
                <w:sz w:val="24"/>
                <w:u w:val="none"/>
                <w:lang w:eastAsia="zh-CN"/>
              </w:rPr>
              <w:t>（</w:t>
            </w:r>
            <w:r>
              <w:rPr>
                <w:rFonts w:hint="eastAsia" w:ascii="Times New Roman" w:cs="Times New Roman"/>
                <w:color w:val="000000"/>
                <w:sz w:val="24"/>
                <w:u w:val="none"/>
                <w:lang w:val="en-US" w:eastAsia="zh-CN"/>
              </w:rPr>
              <w:t>2</w:t>
            </w:r>
            <w:r>
              <w:rPr>
                <w:rFonts w:hint="eastAsia" w:ascii="Times New Roman" w:cs="Times New Roman"/>
                <w:color w:val="000000"/>
                <w:sz w:val="24"/>
                <w:u w:val="none"/>
                <w:lang w:eastAsia="zh-CN"/>
              </w:rPr>
              <w:t>）</w:t>
            </w:r>
            <w:r>
              <w:rPr>
                <w:rFonts w:hint="eastAsia" w:ascii="Times New Roman" w:hAnsi="Times New Roman" w:eastAsia="宋体" w:cs="Times New Roman"/>
                <w:color w:val="000000"/>
                <w:sz w:val="24"/>
                <w:u w:val="none"/>
                <w:lang w:eastAsia="zh-CN"/>
              </w:rPr>
              <w:t>《</w:t>
            </w:r>
            <w:r>
              <w:rPr>
                <w:rFonts w:hint="eastAsia" w:ascii="Times New Roman" w:cs="Times New Roman"/>
                <w:color w:val="000000"/>
                <w:sz w:val="24"/>
                <w:u w:val="none"/>
                <w:lang w:val="en-US" w:eastAsia="zh-CN"/>
              </w:rPr>
              <w:t xml:space="preserve"> </w:t>
            </w:r>
            <w:r>
              <w:rPr>
                <w:rFonts w:hint="eastAsia" w:ascii="Times New Roman" w:hAnsi="Times New Roman" w:eastAsia="宋体" w:cs="Times New Roman"/>
                <w:color w:val="000000"/>
                <w:sz w:val="24"/>
                <w:u w:val="none"/>
                <w:lang w:eastAsia="zh-CN"/>
              </w:rPr>
              <w:t>危险废物贮存污染控制标准》（GB18597-20</w:t>
            </w:r>
            <w:r>
              <w:rPr>
                <w:rFonts w:hint="eastAsia" w:ascii="Times New Roman" w:hAnsi="Times New Roman" w:eastAsia="宋体" w:cs="Times New Roman"/>
                <w:color w:val="000000"/>
                <w:sz w:val="24"/>
                <w:u w:val="none"/>
                <w:lang w:val="en-US" w:eastAsia="zh-CN"/>
              </w:rPr>
              <w:t>23</w:t>
            </w:r>
            <w:r>
              <w:rPr>
                <w:rFonts w:hint="eastAsia" w:ascii="Times New Roman" w:hAnsi="Times New Roman" w:eastAsia="宋体" w:cs="Times New Roman"/>
                <w:color w:val="000000"/>
                <w:sz w:val="24"/>
                <w:u w:val="none"/>
                <w:lang w:eastAsia="zh-CN"/>
              </w:rPr>
              <w:t>）</w:t>
            </w:r>
            <w:r>
              <w:rPr>
                <w:rFonts w:hint="eastAsia" w:cs="Times New Roman"/>
                <w:color w:val="000000"/>
                <w:sz w:val="24"/>
                <w:u w:val="none"/>
                <w:lang w:eastAsia="zh-CN"/>
              </w:rPr>
              <w:t>。</w:t>
            </w:r>
          </w:p>
        </w:tc>
      </w:tr>
      <w:tr w14:paraId="01936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0" w:hRule="atLeast"/>
          <w:jc w:val="center"/>
        </w:trPr>
        <w:tc>
          <w:tcPr>
            <w:tcW w:w="456" w:type="dxa"/>
            <w:noWrap w:val="0"/>
            <w:vAlign w:val="center"/>
          </w:tcPr>
          <w:p w14:paraId="4A88666C">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总量</w:t>
            </w:r>
          </w:p>
          <w:p w14:paraId="5A6F0A9B">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控制</w:t>
            </w:r>
          </w:p>
          <w:p w14:paraId="16FC56BD">
            <w:pPr>
              <w:keepNext w:val="0"/>
              <w:keepLines w:val="0"/>
              <w:pageBreakBefore w:val="0"/>
              <w:kinsoku/>
              <w:wordWrap/>
              <w:overflowPunct/>
              <w:topLinePunct w:val="0"/>
              <w:bidi w:val="0"/>
              <w:adjustRightInd w:val="0"/>
              <w:snapToGrid w:val="0"/>
              <w:spacing w:line="48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指标</w:t>
            </w:r>
          </w:p>
        </w:tc>
        <w:tc>
          <w:tcPr>
            <w:tcW w:w="8465" w:type="dxa"/>
            <w:noWrap w:val="0"/>
            <w:vAlign w:val="center"/>
          </w:tcPr>
          <w:p w14:paraId="17FF8E7D">
            <w:pPr>
              <w:pStyle w:val="63"/>
              <w:ind w:firstLine="480"/>
              <w:rPr>
                <w:rFonts w:hint="eastAsia" w:ascii="Times New Roman" w:hAnsi="Times New Roman" w:eastAsia="宋体" w:cs="Times New Roman"/>
                <w:sz w:val="24"/>
                <w:szCs w:val="24"/>
                <w:u w:val="none"/>
                <w:lang w:val="en-US" w:eastAsia="zh-CN"/>
              </w:rPr>
            </w:pPr>
            <w:r>
              <w:rPr>
                <w:rFonts w:hint="eastAsia" w:cs="Times New Roman"/>
                <w:color w:val="auto"/>
                <w:sz w:val="24"/>
                <w:szCs w:val="24"/>
                <w:u w:val="single"/>
                <w:lang w:val="en-US" w:eastAsia="zh-CN"/>
              </w:rPr>
              <w:t>本项目</w:t>
            </w:r>
            <w:r>
              <w:rPr>
                <w:rFonts w:hint="eastAsia" w:ascii="Times New Roman" w:hAnsi="Times New Roman" w:eastAsia="宋体" w:cs="Times New Roman"/>
                <w:color w:val="auto"/>
                <w:sz w:val="24"/>
                <w:szCs w:val="24"/>
                <w:u w:val="single"/>
                <w:lang w:val="en-US" w:eastAsia="zh-CN"/>
              </w:rPr>
              <w:t>大气污染因子主要为颗粒物，本项目新增颗粒物排放量 0.</w:t>
            </w:r>
            <w:r>
              <w:rPr>
                <w:rFonts w:hint="eastAsia" w:cs="Times New Roman"/>
                <w:color w:val="auto"/>
                <w:sz w:val="24"/>
                <w:szCs w:val="24"/>
                <w:u w:val="single"/>
                <w:lang w:val="en-US" w:eastAsia="zh-CN"/>
              </w:rPr>
              <w:t>01154</w:t>
            </w:r>
            <w:r>
              <w:rPr>
                <w:rFonts w:hint="eastAsia" w:ascii="Times New Roman" w:hAnsi="Times New Roman" w:eastAsia="宋体" w:cs="Times New Roman"/>
                <w:color w:val="auto"/>
                <w:sz w:val="24"/>
                <w:szCs w:val="24"/>
                <w:u w:val="single"/>
                <w:lang w:val="en-US" w:eastAsia="zh-CN"/>
              </w:rPr>
              <w:t>t/a（有组织</w:t>
            </w:r>
            <w:r>
              <w:rPr>
                <w:rFonts w:hint="eastAsia" w:cs="Times New Roman"/>
                <w:color w:val="auto"/>
                <w:sz w:val="24"/>
                <w:szCs w:val="24"/>
                <w:u w:val="single"/>
                <w:lang w:val="en-US" w:eastAsia="zh-CN"/>
              </w:rPr>
              <w:t>）</w:t>
            </w:r>
            <w:r>
              <w:rPr>
                <w:rFonts w:hint="eastAsia" w:ascii="Times New Roman" w:hAnsi="Times New Roman" w:eastAsia="宋体" w:cs="Times New Roman"/>
                <w:sz w:val="24"/>
                <w:szCs w:val="24"/>
                <w:u w:val="none"/>
                <w:lang w:val="en-US" w:eastAsia="zh-CN"/>
              </w:rPr>
              <w:t>。</w:t>
            </w:r>
          </w:p>
          <w:p w14:paraId="1B4D55A2">
            <w:pPr>
              <w:pStyle w:val="63"/>
              <w:ind w:firstLine="480"/>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本项目生产废水循环使用，不外排；生活污水</w:t>
            </w:r>
            <w:r>
              <w:rPr>
                <w:rFonts w:hint="eastAsia" w:cs="Times New Roman"/>
                <w:sz w:val="24"/>
                <w:szCs w:val="24"/>
                <w:u w:val="none"/>
                <w:lang w:val="en-US" w:eastAsia="zh-CN"/>
              </w:rPr>
              <w:t>经</w:t>
            </w:r>
            <w:r>
              <w:rPr>
                <w:rFonts w:hint="eastAsia" w:ascii="Times New Roman" w:hAnsi="Times New Roman" w:eastAsia="宋体" w:cs="Times New Roman"/>
                <w:sz w:val="24"/>
                <w:szCs w:val="24"/>
                <w:u w:val="none"/>
                <w:lang w:val="en-US" w:eastAsia="zh-CN"/>
              </w:rPr>
              <w:t>化粪池处理后由周边农户肥田，因此，本项目不涉及废水总量控制指标。</w:t>
            </w:r>
          </w:p>
          <w:p w14:paraId="655537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color w:val="000000"/>
                <w:kern w:val="0"/>
                <w:sz w:val="24"/>
                <w:szCs w:val="24"/>
              </w:rPr>
            </w:pPr>
          </w:p>
        </w:tc>
      </w:tr>
    </w:tbl>
    <w:p w14:paraId="6C8CF471">
      <w:pPr>
        <w:pStyle w:val="28"/>
        <w:jc w:val="center"/>
        <w:outlineLvl w:val="0"/>
        <w:rPr>
          <w:rFonts w:hint="default" w:ascii="Times New Roman" w:hAnsi="Times New Roman" w:eastAsia="宋体" w:cs="Times New Roman"/>
          <w:bCs/>
          <w:color w:val="000000"/>
          <w:sz w:val="24"/>
          <w:szCs w:val="24"/>
        </w:rPr>
      </w:pPr>
      <w:r>
        <w:rPr>
          <w:rFonts w:hint="default" w:ascii="黑体" w:hAnsi="黑体" w:eastAsia="黑体"/>
          <w:snapToGrid w:val="0"/>
          <w:color w:val="000000"/>
          <w:sz w:val="30"/>
          <w:szCs w:val="30"/>
        </w:rPr>
        <w:t>四、主要环境影响和保护措施</w:t>
      </w:r>
    </w:p>
    <w:tbl>
      <w:tblPr>
        <w:tblStyle w:val="3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450"/>
      </w:tblGrid>
      <w:tr w14:paraId="476C1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3" w:hRule="atLeast"/>
          <w:jc w:val="center"/>
        </w:trPr>
        <w:tc>
          <w:tcPr>
            <w:tcW w:w="458" w:type="dxa"/>
            <w:noWrap w:val="0"/>
            <w:tcMar>
              <w:left w:w="28" w:type="dxa"/>
              <w:right w:w="28" w:type="dxa"/>
            </w:tcMar>
            <w:vAlign w:val="center"/>
          </w:tcPr>
          <w:p w14:paraId="293A2026">
            <w:pPr>
              <w:pStyle w:val="28"/>
              <w:adjustRightInd w:val="0"/>
              <w:snapToGrid w:val="0"/>
              <w:spacing w:before="0" w:beforeAutospacing="0" w:after="0" w:afterAutospacing="0" w:line="360" w:lineRule="auto"/>
              <w:jc w:val="center"/>
              <w:rPr>
                <w:rFonts w:cs="宋体"/>
                <w:kern w:val="2"/>
                <w:szCs w:val="24"/>
              </w:rPr>
            </w:pPr>
            <w:r>
              <w:rPr>
                <w:rFonts w:hint="eastAsia" w:cs="宋体"/>
                <w:kern w:val="2"/>
                <w:szCs w:val="24"/>
              </w:rPr>
              <w:t>施工</w:t>
            </w:r>
          </w:p>
          <w:p w14:paraId="22CC2C4D">
            <w:pPr>
              <w:pStyle w:val="28"/>
              <w:adjustRightInd w:val="0"/>
              <w:snapToGrid w:val="0"/>
              <w:spacing w:before="0" w:beforeAutospacing="0" w:after="0" w:afterAutospacing="0" w:line="360" w:lineRule="auto"/>
              <w:jc w:val="center"/>
              <w:rPr>
                <w:rFonts w:cs="宋体"/>
                <w:kern w:val="2"/>
                <w:szCs w:val="24"/>
              </w:rPr>
            </w:pPr>
            <w:r>
              <w:rPr>
                <w:rFonts w:hint="eastAsia" w:cs="宋体"/>
                <w:kern w:val="2"/>
                <w:szCs w:val="24"/>
              </w:rPr>
              <w:t>期环</w:t>
            </w:r>
          </w:p>
          <w:p w14:paraId="39BF8A24">
            <w:pPr>
              <w:pStyle w:val="28"/>
              <w:adjustRightInd w:val="0"/>
              <w:snapToGrid w:val="0"/>
              <w:spacing w:before="0" w:beforeAutospacing="0" w:after="0" w:afterAutospacing="0" w:line="360" w:lineRule="auto"/>
              <w:jc w:val="center"/>
              <w:rPr>
                <w:rFonts w:cs="宋体"/>
                <w:kern w:val="2"/>
                <w:szCs w:val="24"/>
              </w:rPr>
            </w:pPr>
            <w:r>
              <w:rPr>
                <w:rFonts w:hint="eastAsia" w:cs="宋体"/>
                <w:kern w:val="2"/>
                <w:szCs w:val="24"/>
              </w:rPr>
              <w:t>境保</w:t>
            </w:r>
          </w:p>
          <w:p w14:paraId="76F69FB0">
            <w:pPr>
              <w:pStyle w:val="28"/>
              <w:adjustRightInd w:val="0"/>
              <w:snapToGrid w:val="0"/>
              <w:spacing w:before="0" w:beforeAutospacing="0" w:after="0" w:afterAutospacing="0" w:line="360" w:lineRule="auto"/>
              <w:jc w:val="center"/>
              <w:rPr>
                <w:rFonts w:cs="宋体"/>
                <w:kern w:val="2"/>
                <w:szCs w:val="24"/>
              </w:rPr>
            </w:pPr>
            <w:r>
              <w:rPr>
                <w:rFonts w:hint="eastAsia" w:cs="宋体"/>
                <w:kern w:val="2"/>
                <w:szCs w:val="24"/>
              </w:rPr>
              <w:t>护措</w:t>
            </w:r>
          </w:p>
          <w:p w14:paraId="69266405">
            <w:pPr>
              <w:pStyle w:val="28"/>
              <w:adjustRightInd w:val="0"/>
              <w:snapToGrid w:val="0"/>
              <w:spacing w:before="0" w:beforeAutospacing="0" w:after="0" w:afterAutospacing="0" w:line="360" w:lineRule="auto"/>
              <w:jc w:val="center"/>
              <w:rPr>
                <w:rFonts w:cs="宋体"/>
                <w:bCs/>
                <w:kern w:val="2"/>
                <w:sz w:val="21"/>
                <w:szCs w:val="21"/>
              </w:rPr>
            </w:pPr>
            <w:r>
              <w:rPr>
                <w:rFonts w:hint="eastAsia" w:cs="宋体"/>
                <w:kern w:val="2"/>
                <w:szCs w:val="24"/>
              </w:rPr>
              <w:t>施</w:t>
            </w:r>
          </w:p>
        </w:tc>
        <w:tc>
          <w:tcPr>
            <w:tcW w:w="8450" w:type="dxa"/>
            <w:noWrap w:val="0"/>
            <w:vAlign w:val="top"/>
          </w:tcPr>
          <w:p w14:paraId="6DF24637">
            <w:pPr>
              <w:pStyle w:val="3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479" w:leftChars="228" w:right="0" w:rightChars="0" w:firstLine="0" w:firstLineChars="0"/>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本项目尾矿砂浆输送系统和溢流水自流系统、充填站、搅拌系统、充填料</w:t>
            </w:r>
          </w:p>
          <w:p w14:paraId="40BF7E44">
            <w:pPr>
              <w:pStyle w:val="3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Times New Roman" w:hAnsi="Times New Roman" w:eastAsia="宋体"/>
                <w:color w:val="000000"/>
                <w:sz w:val="24"/>
                <w:lang w:val="en-US" w:eastAsia="zh-CN"/>
              </w:rPr>
            </w:pPr>
            <w:r>
              <w:rPr>
                <w:rFonts w:hint="eastAsia" w:ascii="Times New Roman" w:hAnsi="Times New Roman" w:eastAsia="宋体" w:cs="Times New Roman"/>
                <w:color w:val="auto"/>
                <w:sz w:val="24"/>
                <w:szCs w:val="24"/>
                <w:u w:val="none"/>
                <w:lang w:val="en-US" w:eastAsia="zh-CN"/>
              </w:rPr>
              <w:t>浆输送管线等主体工程已经建设完成</w:t>
            </w:r>
            <w:r>
              <w:rPr>
                <w:rFonts w:hint="eastAsia" w:cs="Times New Roman"/>
                <w:color w:val="auto"/>
                <w:sz w:val="24"/>
                <w:szCs w:val="24"/>
                <w:u w:val="none"/>
                <w:lang w:val="en-US" w:eastAsia="zh-CN"/>
              </w:rPr>
              <w:t>，生活用房主体结构已经完工，</w:t>
            </w:r>
            <w:r>
              <w:rPr>
                <w:rFonts w:hint="eastAsia" w:ascii="Times New Roman" w:hAnsi="Times New Roman" w:eastAsia="宋体" w:cs="Times New Roman"/>
                <w:color w:val="auto"/>
                <w:sz w:val="24"/>
                <w:szCs w:val="24"/>
                <w:u w:val="none"/>
                <w:lang w:val="en-US" w:eastAsia="zh-CN"/>
              </w:rPr>
              <w:t>后期只进行场地清理及生活房</w:t>
            </w:r>
            <w:r>
              <w:rPr>
                <w:rFonts w:hint="eastAsia" w:cs="Times New Roman"/>
                <w:color w:val="auto"/>
                <w:sz w:val="24"/>
                <w:szCs w:val="24"/>
                <w:u w:val="none"/>
                <w:lang w:val="en-US" w:eastAsia="zh-CN"/>
              </w:rPr>
              <w:t>装修</w:t>
            </w:r>
            <w:r>
              <w:rPr>
                <w:rFonts w:hint="eastAsia" w:ascii="Times New Roman" w:hAnsi="Times New Roman" w:eastAsia="宋体" w:cs="Times New Roman"/>
                <w:color w:val="000000"/>
                <w:sz w:val="24"/>
                <w:szCs w:val="24"/>
                <w:u w:val="none"/>
                <w:lang w:val="en-US" w:eastAsia="zh-CN"/>
              </w:rPr>
              <w:t>，在</w:t>
            </w:r>
            <w:r>
              <w:rPr>
                <w:rFonts w:hint="eastAsia" w:cs="Times New Roman"/>
                <w:color w:val="000000"/>
                <w:sz w:val="24"/>
                <w:szCs w:val="24"/>
                <w:u w:val="none"/>
                <w:lang w:val="en-US" w:eastAsia="zh-CN"/>
              </w:rPr>
              <w:t>房屋装修</w:t>
            </w:r>
            <w:r>
              <w:rPr>
                <w:rFonts w:hint="eastAsia" w:ascii="Times New Roman" w:hAnsi="Times New Roman" w:eastAsia="宋体" w:cs="Times New Roman"/>
                <w:color w:val="000000"/>
                <w:sz w:val="24"/>
                <w:szCs w:val="24"/>
                <w:u w:val="none"/>
                <w:lang w:val="en-US" w:eastAsia="zh-CN"/>
              </w:rPr>
              <w:t>时会产生少量的金属废弃物、建筑垃圾及施工人员生活垃圾等。在施工期对外界环境的影响是局部的，且安装期较短，影响较小，因此本评价不再进一步分析施工期影响。</w:t>
            </w:r>
          </w:p>
          <w:p w14:paraId="7C50EC91">
            <w:pPr>
              <w:pStyle w:val="3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479" w:leftChars="228" w:right="0" w:rightChars="0" w:firstLine="0" w:firstLineChars="0"/>
              <w:textAlignment w:val="auto"/>
              <w:rPr>
                <w:rFonts w:hint="eastAsia" w:ascii="Times New Roman" w:hAnsi="Times New Roman" w:eastAsia="宋体"/>
                <w:color w:val="000000"/>
                <w:sz w:val="24"/>
                <w:lang w:val="en-US" w:eastAsia="zh-CN"/>
              </w:rPr>
            </w:pPr>
          </w:p>
          <w:p w14:paraId="6186D0F6">
            <w:pPr>
              <w:pStyle w:val="3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479" w:leftChars="228" w:right="0" w:rightChars="0" w:firstLine="0" w:firstLineChars="0"/>
              <w:textAlignment w:val="auto"/>
              <w:rPr>
                <w:rFonts w:hint="eastAsia" w:ascii="Times New Roman" w:hAnsi="Times New Roman" w:eastAsia="宋体"/>
                <w:color w:val="000000"/>
                <w:sz w:val="24"/>
                <w:lang w:val="en-US" w:eastAsia="zh-CN"/>
              </w:rPr>
            </w:pPr>
          </w:p>
          <w:p w14:paraId="29C15D97">
            <w:pPr>
              <w:pStyle w:val="30"/>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479" w:leftChars="228" w:right="0" w:rightChars="0" w:firstLine="0" w:firstLineChars="0"/>
              <w:textAlignment w:val="auto"/>
              <w:rPr>
                <w:rFonts w:hint="eastAsia" w:ascii="Times New Roman" w:hAnsi="Times New Roman" w:eastAsia="宋体"/>
                <w:color w:val="000000"/>
                <w:sz w:val="24"/>
                <w:lang w:val="en-US" w:eastAsia="zh-CN"/>
              </w:rPr>
            </w:pPr>
          </w:p>
          <w:p w14:paraId="09838B52">
            <w:pPr>
              <w:numPr>
                <w:ilvl w:val="0"/>
                <w:numId w:val="0"/>
              </w:numPr>
              <w:bidi w:val="0"/>
              <w:spacing w:line="360" w:lineRule="auto"/>
              <w:ind w:leftChars="-200"/>
              <w:rPr>
                <w:rFonts w:hint="eastAsia"/>
                <w:sz w:val="24"/>
                <w:szCs w:val="24"/>
                <w:lang w:val="en-US" w:eastAsia="zh-CN"/>
              </w:rPr>
            </w:pPr>
            <w:r>
              <w:rPr>
                <w:rFonts w:hint="eastAsia"/>
                <w:sz w:val="24"/>
                <w:szCs w:val="24"/>
                <w:lang w:val="en-US" w:eastAsia="zh-CN"/>
              </w:rPr>
              <w:t>置</w:t>
            </w:r>
          </w:p>
          <w:p w14:paraId="5E61BD1F">
            <w:pPr>
              <w:numPr>
                <w:ilvl w:val="0"/>
                <w:numId w:val="0"/>
              </w:numPr>
              <w:bidi w:val="0"/>
              <w:spacing w:line="360" w:lineRule="auto"/>
              <w:ind w:leftChars="-200"/>
              <w:rPr>
                <w:rFonts w:hint="eastAsia"/>
                <w:sz w:val="24"/>
                <w:szCs w:val="24"/>
                <w:lang w:val="en-US" w:eastAsia="zh-CN"/>
              </w:rPr>
            </w:pPr>
            <w:r>
              <w:rPr>
                <w:rFonts w:hint="eastAsia"/>
                <w:sz w:val="24"/>
                <w:szCs w:val="24"/>
                <w:lang w:val="en-US" w:eastAsia="zh-CN"/>
              </w:rPr>
              <w:t>置。</w:t>
            </w:r>
          </w:p>
          <w:p w14:paraId="6005D49F">
            <w:pPr>
              <w:keepNext w:val="0"/>
              <w:keepLines w:val="0"/>
              <w:pageBreakBefore w:val="0"/>
              <w:widowControl/>
              <w:suppressLineNumbers w:val="0"/>
              <w:kinsoku/>
              <w:wordWrap/>
              <w:overflowPunct/>
              <w:topLinePunct w:val="0"/>
              <w:autoSpaceDE/>
              <w:autoSpaceDN/>
              <w:bidi w:val="0"/>
              <w:adjustRightInd/>
              <w:snapToGrid/>
              <w:spacing w:line="360" w:lineRule="auto"/>
              <w:ind w:left="480" w:hanging="480" w:hangingChars="200"/>
              <w:jc w:val="both"/>
              <w:textAlignment w:val="auto"/>
              <w:rPr>
                <w:rFonts w:hint="default" w:hAnsi="宋体" w:eastAsia="宋体"/>
                <w:sz w:val="24"/>
                <w:lang w:val="en-US" w:eastAsia="zh-CN"/>
              </w:rPr>
            </w:pPr>
          </w:p>
        </w:tc>
      </w:tr>
    </w:tbl>
    <w:p w14:paraId="4C02735A">
      <w:pPr>
        <w:adjustRightInd w:val="0"/>
        <w:snapToGrid w:val="0"/>
        <w:spacing w:line="440" w:lineRule="exact"/>
        <w:ind w:firstLine="420" w:firstLineChars="200"/>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1"/>
        <w:tblW w:w="14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988"/>
      </w:tblGrid>
      <w:tr w14:paraId="0FA7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5" w:hRule="atLeast"/>
        </w:trPr>
        <w:tc>
          <w:tcPr>
            <w:tcW w:w="426" w:type="dxa"/>
            <w:noWrap w:val="0"/>
            <w:vAlign w:val="center"/>
          </w:tcPr>
          <w:p w14:paraId="0654B853">
            <w:pPr>
              <w:adjustRightInd w:val="0"/>
              <w:snapToGrid w:val="0"/>
              <w:jc w:val="center"/>
              <w:rPr>
                <w:rFonts w:hint="eastAsia"/>
                <w:b/>
                <w:bCs/>
                <w:color w:val="auto"/>
                <w:sz w:val="24"/>
              </w:rPr>
            </w:pPr>
            <w:r>
              <w:rPr>
                <w:rFonts w:hint="eastAsia"/>
                <w:b/>
                <w:bCs/>
                <w:color w:val="auto"/>
                <w:sz w:val="24"/>
              </w:rPr>
              <w:t>运营</w:t>
            </w:r>
          </w:p>
          <w:p w14:paraId="13E2410F">
            <w:pPr>
              <w:adjustRightInd w:val="0"/>
              <w:snapToGrid w:val="0"/>
              <w:jc w:val="center"/>
              <w:rPr>
                <w:rFonts w:hint="eastAsia"/>
                <w:b/>
                <w:bCs/>
                <w:color w:val="auto"/>
                <w:sz w:val="24"/>
              </w:rPr>
            </w:pPr>
            <w:r>
              <w:rPr>
                <w:rFonts w:hint="eastAsia"/>
                <w:b/>
                <w:bCs/>
                <w:color w:val="auto"/>
                <w:sz w:val="24"/>
              </w:rPr>
              <w:t>期环</w:t>
            </w:r>
          </w:p>
          <w:p w14:paraId="197C2747">
            <w:pPr>
              <w:adjustRightInd w:val="0"/>
              <w:snapToGrid w:val="0"/>
              <w:jc w:val="center"/>
              <w:rPr>
                <w:rFonts w:hint="eastAsia"/>
                <w:b/>
                <w:bCs/>
                <w:color w:val="auto"/>
                <w:sz w:val="24"/>
              </w:rPr>
            </w:pPr>
            <w:r>
              <w:rPr>
                <w:rFonts w:hint="eastAsia"/>
                <w:b/>
                <w:bCs/>
                <w:color w:val="auto"/>
                <w:sz w:val="24"/>
              </w:rPr>
              <w:t>境影</w:t>
            </w:r>
          </w:p>
          <w:p w14:paraId="7FD7CB7A">
            <w:pPr>
              <w:adjustRightInd w:val="0"/>
              <w:snapToGrid w:val="0"/>
              <w:jc w:val="center"/>
              <w:rPr>
                <w:rFonts w:hint="eastAsia"/>
                <w:b/>
                <w:bCs/>
                <w:color w:val="auto"/>
                <w:sz w:val="24"/>
              </w:rPr>
            </w:pPr>
            <w:r>
              <w:rPr>
                <w:rFonts w:hint="eastAsia"/>
                <w:b/>
                <w:bCs/>
                <w:color w:val="auto"/>
                <w:sz w:val="24"/>
              </w:rPr>
              <w:t>响和</w:t>
            </w:r>
          </w:p>
          <w:p w14:paraId="0B4CD6AC">
            <w:pPr>
              <w:adjustRightInd w:val="0"/>
              <w:snapToGrid w:val="0"/>
              <w:jc w:val="center"/>
              <w:rPr>
                <w:rFonts w:hint="eastAsia"/>
                <w:b/>
                <w:bCs/>
                <w:color w:val="auto"/>
                <w:sz w:val="24"/>
              </w:rPr>
            </w:pPr>
            <w:r>
              <w:rPr>
                <w:rFonts w:hint="eastAsia"/>
                <w:b/>
                <w:bCs/>
                <w:color w:val="auto"/>
                <w:sz w:val="24"/>
              </w:rPr>
              <w:t>保护</w:t>
            </w:r>
          </w:p>
          <w:p w14:paraId="2093F090">
            <w:pPr>
              <w:adjustRightInd w:val="0"/>
              <w:snapToGrid w:val="0"/>
              <w:jc w:val="center"/>
              <w:rPr>
                <w:rFonts w:hint="eastAsia"/>
                <w:b/>
                <w:bCs/>
                <w:color w:val="auto"/>
                <w:sz w:val="24"/>
              </w:rPr>
            </w:pPr>
            <w:r>
              <w:rPr>
                <w:rFonts w:hint="eastAsia"/>
                <w:b/>
                <w:bCs/>
                <w:color w:val="auto"/>
                <w:sz w:val="24"/>
              </w:rPr>
              <w:t>措施</w:t>
            </w:r>
          </w:p>
        </w:tc>
        <w:tc>
          <w:tcPr>
            <w:tcW w:w="13988" w:type="dxa"/>
            <w:noWrap w:val="0"/>
            <w:vAlign w:val="top"/>
          </w:tcPr>
          <w:p w14:paraId="226CB2DF">
            <w:pPr>
              <w:numPr>
                <w:ilvl w:val="0"/>
                <w:numId w:val="17"/>
              </w:numPr>
              <w:adjustRightInd w:val="0"/>
              <w:snapToGrid w:val="0"/>
              <w:spacing w:line="440" w:lineRule="exact"/>
              <w:ind w:left="663" w:hanging="663" w:hangingChars="300"/>
              <w:rPr>
                <w:b/>
                <w:color w:val="auto"/>
                <w:spacing w:val="-10"/>
                <w:sz w:val="24"/>
                <w:highlight w:val="none"/>
              </w:rPr>
            </w:pPr>
            <w:r>
              <w:rPr>
                <w:b/>
                <w:color w:val="auto"/>
                <w:spacing w:val="-10"/>
                <w:sz w:val="24"/>
                <w:highlight w:val="none"/>
              </w:rPr>
              <w:t>废气</w:t>
            </w:r>
          </w:p>
          <w:p w14:paraId="02CFFEC5">
            <w:pPr>
              <w:numPr>
                <w:ilvl w:val="0"/>
                <w:numId w:val="0"/>
              </w:numPr>
              <w:adjustRightInd w:val="0"/>
              <w:snapToGrid w:val="0"/>
              <w:spacing w:line="440" w:lineRule="exact"/>
              <w:ind w:leftChars="-300"/>
              <w:rPr>
                <w:rFonts w:hint="default" w:eastAsia="宋体"/>
                <w:b w:val="0"/>
                <w:bCs/>
                <w:color w:val="auto"/>
                <w:spacing w:val="-10"/>
                <w:sz w:val="24"/>
                <w:highlight w:val="none"/>
                <w:lang w:val="en-US" w:eastAsia="zh-CN"/>
              </w:rPr>
            </w:pPr>
            <w:r>
              <w:rPr>
                <w:rFonts w:hint="eastAsia"/>
                <w:b/>
                <w:color w:val="auto"/>
                <w:spacing w:val="-10"/>
                <w:sz w:val="24"/>
                <w:highlight w:val="none"/>
                <w:lang w:val="en-US" w:eastAsia="zh-CN"/>
              </w:rPr>
              <w:t xml:space="preserve">本项     </w:t>
            </w:r>
            <w:r>
              <w:rPr>
                <w:rFonts w:hint="eastAsia"/>
                <w:b w:val="0"/>
                <w:bCs/>
                <w:color w:val="auto"/>
                <w:spacing w:val="-10"/>
                <w:sz w:val="24"/>
                <w:highlight w:val="none"/>
                <w:lang w:val="en-US" w:eastAsia="zh-CN"/>
              </w:rPr>
              <w:t>本项目大气污染物主要为水泥入料粉尘。废气污染物产、排情况见下表。</w:t>
            </w:r>
          </w:p>
          <w:p w14:paraId="6784CBB9">
            <w:pPr>
              <w:adjustRightInd w:val="0"/>
              <w:snapToGrid w:val="0"/>
              <w:spacing w:line="440" w:lineRule="exact"/>
              <w:rPr>
                <w:rFonts w:hint="eastAsia"/>
                <w:b/>
                <w:color w:val="auto"/>
                <w:spacing w:val="-10"/>
                <w:sz w:val="24"/>
                <w:highlight w:val="none"/>
              </w:rPr>
            </w:pPr>
            <w:r>
              <w:rPr>
                <w:rFonts w:hint="eastAsia"/>
                <w:b/>
                <w:color w:val="auto"/>
                <w:spacing w:val="-10"/>
                <w:sz w:val="24"/>
                <w:highlight w:val="none"/>
              </w:rPr>
              <w:t>1.1废气污染源情况</w:t>
            </w:r>
          </w:p>
          <w:p w14:paraId="5F1C9D5E">
            <w:pPr>
              <w:pStyle w:val="95"/>
              <w:numPr>
                <w:ilvl w:val="0"/>
                <w:numId w:val="0"/>
              </w:numPr>
              <w:autoSpaceDE w:val="0"/>
              <w:autoSpaceDN w:val="0"/>
              <w:adjustRightInd/>
              <w:spacing w:before="0" w:after="0" w:line="320" w:lineRule="exact"/>
              <w:ind w:left="567" w:leftChars="0" w:right="0" w:rightChars="0"/>
              <w:jc w:val="center"/>
              <w:textAlignment w:val="auto"/>
              <w:rPr>
                <w:rFonts w:hint="eastAsia" w:ascii="黑体" w:hAnsi="黑体" w:eastAsia="黑体" w:cs="宋体"/>
                <w:bCs/>
                <w:color w:val="auto"/>
                <w:kern w:val="0"/>
                <w:szCs w:val="24"/>
                <w:highlight w:val="none"/>
                <w:u w:val="single"/>
                <w:lang w:val="en-US" w:eastAsia="zh-CN" w:bidi="zh-CN"/>
              </w:rPr>
            </w:pPr>
            <w:r>
              <w:rPr>
                <w:rFonts w:hint="eastAsia" w:ascii="黑体" w:hAnsi="黑体" w:eastAsia="黑体" w:cs="宋体"/>
                <w:bCs/>
                <w:color w:val="auto"/>
                <w:kern w:val="0"/>
                <w:szCs w:val="24"/>
                <w:highlight w:val="none"/>
                <w:u w:val="single"/>
                <w:lang w:val="en-US" w:eastAsia="zh-CN" w:bidi="zh-CN"/>
              </w:rPr>
              <w:t>表4-1    废气污染源产生、正常排放汇总表</w:t>
            </w:r>
          </w:p>
          <w:tbl>
            <w:tblPr>
              <w:tblStyle w:val="31"/>
              <w:tblW w:w="13788" w:type="dxa"/>
              <w:tblInd w:w="-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78"/>
              <w:gridCol w:w="453"/>
              <w:gridCol w:w="440"/>
              <w:gridCol w:w="661"/>
              <w:gridCol w:w="720"/>
              <w:gridCol w:w="696"/>
              <w:gridCol w:w="684"/>
              <w:gridCol w:w="588"/>
              <w:gridCol w:w="648"/>
              <w:gridCol w:w="381"/>
              <w:gridCol w:w="879"/>
              <w:gridCol w:w="569"/>
              <w:gridCol w:w="750"/>
              <w:gridCol w:w="956"/>
              <w:gridCol w:w="823"/>
              <w:gridCol w:w="460"/>
              <w:gridCol w:w="520"/>
              <w:gridCol w:w="556"/>
              <w:gridCol w:w="606"/>
              <w:gridCol w:w="955"/>
              <w:gridCol w:w="533"/>
              <w:gridCol w:w="532"/>
            </w:tblGrid>
            <w:tr w14:paraId="297EEF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05" w:hRule="atLeast"/>
              </w:trPr>
              <w:tc>
                <w:tcPr>
                  <w:tcW w:w="378" w:type="dxa"/>
                  <w:vMerge w:val="restart"/>
                  <w:tcBorders>
                    <w:tl2br w:val="nil"/>
                    <w:tr2bl w:val="nil"/>
                  </w:tcBorders>
                  <w:noWrap w:val="0"/>
                  <w:vAlign w:val="center"/>
                </w:tcPr>
                <w:p w14:paraId="266AF1EF">
                  <w:pPr>
                    <w:adjustRightInd w:val="0"/>
                    <w:snapToGrid w:val="0"/>
                    <w:spacing w:line="240" w:lineRule="exact"/>
                    <w:jc w:val="center"/>
                    <w:rPr>
                      <w:b w:val="0"/>
                      <w:bCs w:val="0"/>
                      <w:color w:val="auto"/>
                      <w:szCs w:val="21"/>
                    </w:rPr>
                  </w:pPr>
                  <w:r>
                    <w:rPr>
                      <w:b w:val="0"/>
                      <w:bCs w:val="0"/>
                      <w:color w:val="auto"/>
                      <w:szCs w:val="21"/>
                    </w:rPr>
                    <w:t>排放形式</w:t>
                  </w:r>
                </w:p>
              </w:tc>
              <w:tc>
                <w:tcPr>
                  <w:tcW w:w="453" w:type="dxa"/>
                  <w:vMerge w:val="restart"/>
                  <w:tcBorders>
                    <w:tl2br w:val="nil"/>
                    <w:tr2bl w:val="nil"/>
                  </w:tcBorders>
                  <w:noWrap w:val="0"/>
                  <w:vAlign w:val="center"/>
                </w:tcPr>
                <w:p w14:paraId="37FEA936">
                  <w:pPr>
                    <w:adjustRightInd w:val="0"/>
                    <w:snapToGrid w:val="0"/>
                    <w:spacing w:line="240" w:lineRule="exact"/>
                    <w:jc w:val="center"/>
                    <w:rPr>
                      <w:b w:val="0"/>
                      <w:bCs w:val="0"/>
                      <w:color w:val="auto"/>
                      <w:szCs w:val="21"/>
                    </w:rPr>
                  </w:pPr>
                  <w:r>
                    <w:rPr>
                      <w:b w:val="0"/>
                      <w:bCs w:val="0"/>
                      <w:color w:val="auto"/>
                      <w:szCs w:val="21"/>
                    </w:rPr>
                    <w:t>产排污环节</w:t>
                  </w:r>
                </w:p>
              </w:tc>
              <w:tc>
                <w:tcPr>
                  <w:tcW w:w="440" w:type="dxa"/>
                  <w:vMerge w:val="restart"/>
                  <w:tcBorders>
                    <w:tl2br w:val="nil"/>
                    <w:tr2bl w:val="nil"/>
                  </w:tcBorders>
                  <w:noWrap w:val="0"/>
                  <w:vAlign w:val="center"/>
                </w:tcPr>
                <w:p w14:paraId="0B27B64C">
                  <w:pPr>
                    <w:adjustRightInd w:val="0"/>
                    <w:snapToGrid w:val="0"/>
                    <w:spacing w:line="240" w:lineRule="exact"/>
                    <w:jc w:val="center"/>
                    <w:rPr>
                      <w:b w:val="0"/>
                      <w:bCs w:val="0"/>
                      <w:color w:val="auto"/>
                      <w:szCs w:val="21"/>
                    </w:rPr>
                  </w:pPr>
                  <w:r>
                    <w:rPr>
                      <w:b w:val="0"/>
                      <w:bCs w:val="0"/>
                      <w:color w:val="auto"/>
                      <w:szCs w:val="21"/>
                    </w:rPr>
                    <w:t>污染物</w:t>
                  </w:r>
                </w:p>
                <w:p w14:paraId="55B23959">
                  <w:pPr>
                    <w:adjustRightInd w:val="0"/>
                    <w:snapToGrid w:val="0"/>
                    <w:spacing w:line="240" w:lineRule="exact"/>
                    <w:jc w:val="center"/>
                    <w:rPr>
                      <w:b w:val="0"/>
                      <w:bCs w:val="0"/>
                      <w:color w:val="auto"/>
                      <w:szCs w:val="21"/>
                    </w:rPr>
                  </w:pPr>
                  <w:r>
                    <w:rPr>
                      <w:b w:val="0"/>
                      <w:bCs w:val="0"/>
                      <w:color w:val="auto"/>
                      <w:szCs w:val="21"/>
                    </w:rPr>
                    <w:t>种类</w:t>
                  </w:r>
                </w:p>
              </w:tc>
              <w:tc>
                <w:tcPr>
                  <w:tcW w:w="2077" w:type="dxa"/>
                  <w:gridSpan w:val="3"/>
                  <w:tcBorders>
                    <w:tl2br w:val="nil"/>
                    <w:tr2bl w:val="nil"/>
                  </w:tcBorders>
                  <w:noWrap w:val="0"/>
                  <w:vAlign w:val="center"/>
                </w:tcPr>
                <w:p w14:paraId="482500A6">
                  <w:pPr>
                    <w:adjustRightInd w:val="0"/>
                    <w:snapToGrid w:val="0"/>
                    <w:spacing w:line="240" w:lineRule="exact"/>
                    <w:jc w:val="center"/>
                    <w:rPr>
                      <w:b w:val="0"/>
                      <w:bCs w:val="0"/>
                      <w:color w:val="auto"/>
                      <w:szCs w:val="21"/>
                    </w:rPr>
                  </w:pPr>
                  <w:r>
                    <w:rPr>
                      <w:b w:val="0"/>
                      <w:bCs w:val="0"/>
                      <w:color w:val="auto"/>
                      <w:szCs w:val="21"/>
                    </w:rPr>
                    <w:t>污染物产生量和浓度</w:t>
                  </w:r>
                </w:p>
              </w:tc>
              <w:tc>
                <w:tcPr>
                  <w:tcW w:w="3180" w:type="dxa"/>
                  <w:gridSpan w:val="5"/>
                  <w:tcBorders>
                    <w:tl2br w:val="nil"/>
                    <w:tr2bl w:val="nil"/>
                  </w:tcBorders>
                  <w:noWrap w:val="0"/>
                  <w:vAlign w:val="center"/>
                </w:tcPr>
                <w:p w14:paraId="62096CA2">
                  <w:pPr>
                    <w:adjustRightInd w:val="0"/>
                    <w:snapToGrid w:val="0"/>
                    <w:spacing w:line="240" w:lineRule="exact"/>
                    <w:jc w:val="center"/>
                    <w:rPr>
                      <w:b w:val="0"/>
                      <w:bCs w:val="0"/>
                      <w:color w:val="auto"/>
                      <w:szCs w:val="21"/>
                    </w:rPr>
                  </w:pPr>
                  <w:r>
                    <w:rPr>
                      <w:b w:val="0"/>
                      <w:bCs w:val="0"/>
                      <w:color w:val="auto"/>
                      <w:szCs w:val="21"/>
                    </w:rPr>
                    <w:t>污染治理设施</w:t>
                  </w:r>
                </w:p>
              </w:tc>
              <w:tc>
                <w:tcPr>
                  <w:tcW w:w="2275" w:type="dxa"/>
                  <w:gridSpan w:val="3"/>
                  <w:tcBorders>
                    <w:tl2br w:val="nil"/>
                    <w:tr2bl w:val="nil"/>
                  </w:tcBorders>
                  <w:noWrap w:val="0"/>
                  <w:vAlign w:val="center"/>
                </w:tcPr>
                <w:p w14:paraId="08AED8AF">
                  <w:pPr>
                    <w:adjustRightInd w:val="0"/>
                    <w:snapToGrid w:val="0"/>
                    <w:spacing w:line="240" w:lineRule="exact"/>
                    <w:jc w:val="center"/>
                    <w:rPr>
                      <w:b w:val="0"/>
                      <w:bCs w:val="0"/>
                      <w:color w:val="auto"/>
                      <w:szCs w:val="21"/>
                    </w:rPr>
                  </w:pPr>
                  <w:r>
                    <w:rPr>
                      <w:b w:val="0"/>
                      <w:bCs w:val="0"/>
                      <w:color w:val="auto"/>
                      <w:szCs w:val="21"/>
                    </w:rPr>
                    <w:t>污染物排放量和浓度</w:t>
                  </w:r>
                </w:p>
              </w:tc>
              <w:tc>
                <w:tcPr>
                  <w:tcW w:w="3920" w:type="dxa"/>
                  <w:gridSpan w:val="6"/>
                  <w:tcBorders>
                    <w:tl2br w:val="nil"/>
                    <w:tr2bl w:val="nil"/>
                  </w:tcBorders>
                  <w:noWrap w:val="0"/>
                  <w:vAlign w:val="center"/>
                </w:tcPr>
                <w:p w14:paraId="437235A4">
                  <w:pPr>
                    <w:adjustRightInd w:val="0"/>
                    <w:snapToGrid w:val="0"/>
                    <w:spacing w:line="240" w:lineRule="exact"/>
                    <w:jc w:val="center"/>
                    <w:rPr>
                      <w:b w:val="0"/>
                      <w:bCs w:val="0"/>
                      <w:color w:val="auto"/>
                      <w:szCs w:val="21"/>
                    </w:rPr>
                  </w:pPr>
                  <w:r>
                    <w:rPr>
                      <w:b w:val="0"/>
                      <w:bCs w:val="0"/>
                      <w:color w:val="auto"/>
                      <w:szCs w:val="21"/>
                    </w:rPr>
                    <w:t>排放口基本情况</w:t>
                  </w:r>
                </w:p>
              </w:tc>
              <w:tc>
                <w:tcPr>
                  <w:tcW w:w="1065" w:type="dxa"/>
                  <w:gridSpan w:val="2"/>
                  <w:tcBorders>
                    <w:tl2br w:val="nil"/>
                    <w:tr2bl w:val="nil"/>
                  </w:tcBorders>
                  <w:noWrap w:val="0"/>
                  <w:vAlign w:val="center"/>
                </w:tcPr>
                <w:p w14:paraId="2D854FF7">
                  <w:pPr>
                    <w:adjustRightInd w:val="0"/>
                    <w:snapToGrid w:val="0"/>
                    <w:spacing w:line="240" w:lineRule="exact"/>
                    <w:jc w:val="center"/>
                    <w:rPr>
                      <w:b w:val="0"/>
                      <w:bCs w:val="0"/>
                      <w:color w:val="auto"/>
                      <w:szCs w:val="21"/>
                    </w:rPr>
                  </w:pPr>
                  <w:r>
                    <w:rPr>
                      <w:b w:val="0"/>
                      <w:bCs w:val="0"/>
                      <w:color w:val="auto"/>
                      <w:szCs w:val="21"/>
                    </w:rPr>
                    <w:t>排放标准</w:t>
                  </w:r>
                </w:p>
              </w:tc>
            </w:tr>
            <w:tr w14:paraId="3B7F17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378" w:type="dxa"/>
                  <w:vMerge w:val="continue"/>
                  <w:tcBorders>
                    <w:tl2br w:val="nil"/>
                    <w:tr2bl w:val="nil"/>
                  </w:tcBorders>
                  <w:noWrap w:val="0"/>
                  <w:vAlign w:val="center"/>
                </w:tcPr>
                <w:p w14:paraId="336FAC92">
                  <w:pPr>
                    <w:adjustRightInd w:val="0"/>
                    <w:snapToGrid w:val="0"/>
                    <w:spacing w:line="240" w:lineRule="exact"/>
                    <w:jc w:val="center"/>
                    <w:rPr>
                      <w:b w:val="0"/>
                      <w:bCs w:val="0"/>
                      <w:color w:val="auto"/>
                      <w:szCs w:val="21"/>
                    </w:rPr>
                  </w:pPr>
                </w:p>
              </w:tc>
              <w:tc>
                <w:tcPr>
                  <w:tcW w:w="453" w:type="dxa"/>
                  <w:vMerge w:val="continue"/>
                  <w:tcBorders>
                    <w:tl2br w:val="nil"/>
                    <w:tr2bl w:val="nil"/>
                  </w:tcBorders>
                  <w:noWrap w:val="0"/>
                  <w:vAlign w:val="center"/>
                </w:tcPr>
                <w:p w14:paraId="28A6A011">
                  <w:pPr>
                    <w:adjustRightInd w:val="0"/>
                    <w:snapToGrid w:val="0"/>
                    <w:spacing w:line="240" w:lineRule="exact"/>
                    <w:jc w:val="center"/>
                    <w:rPr>
                      <w:b w:val="0"/>
                      <w:bCs w:val="0"/>
                      <w:color w:val="auto"/>
                      <w:szCs w:val="21"/>
                    </w:rPr>
                  </w:pPr>
                </w:p>
              </w:tc>
              <w:tc>
                <w:tcPr>
                  <w:tcW w:w="440" w:type="dxa"/>
                  <w:vMerge w:val="continue"/>
                  <w:tcBorders>
                    <w:tl2br w:val="nil"/>
                    <w:tr2bl w:val="nil"/>
                  </w:tcBorders>
                  <w:noWrap w:val="0"/>
                  <w:vAlign w:val="center"/>
                </w:tcPr>
                <w:p w14:paraId="773A9224">
                  <w:pPr>
                    <w:adjustRightInd w:val="0"/>
                    <w:snapToGrid w:val="0"/>
                    <w:spacing w:line="240" w:lineRule="exact"/>
                    <w:jc w:val="center"/>
                    <w:rPr>
                      <w:b w:val="0"/>
                      <w:bCs w:val="0"/>
                      <w:color w:val="auto"/>
                      <w:szCs w:val="21"/>
                    </w:rPr>
                  </w:pPr>
                </w:p>
              </w:tc>
              <w:tc>
                <w:tcPr>
                  <w:tcW w:w="661" w:type="dxa"/>
                  <w:tcBorders>
                    <w:tl2br w:val="nil"/>
                    <w:tr2bl w:val="nil"/>
                  </w:tcBorders>
                  <w:noWrap w:val="0"/>
                  <w:vAlign w:val="center"/>
                </w:tcPr>
                <w:p w14:paraId="1BEB0F7D">
                  <w:pPr>
                    <w:adjustRightInd w:val="0"/>
                    <w:snapToGrid w:val="0"/>
                    <w:spacing w:line="240" w:lineRule="exact"/>
                    <w:jc w:val="center"/>
                    <w:rPr>
                      <w:b w:val="0"/>
                      <w:bCs w:val="0"/>
                      <w:color w:val="auto"/>
                      <w:szCs w:val="21"/>
                    </w:rPr>
                  </w:pPr>
                  <w:r>
                    <w:rPr>
                      <w:b w:val="0"/>
                      <w:bCs w:val="0"/>
                      <w:color w:val="auto"/>
                      <w:szCs w:val="21"/>
                    </w:rPr>
                    <w:t>产生浓度</w:t>
                  </w:r>
                </w:p>
                <w:p w14:paraId="4421B665">
                  <w:pPr>
                    <w:adjustRightInd w:val="0"/>
                    <w:snapToGrid w:val="0"/>
                    <w:spacing w:line="240" w:lineRule="exact"/>
                    <w:jc w:val="center"/>
                    <w:rPr>
                      <w:b w:val="0"/>
                      <w:bCs w:val="0"/>
                      <w:color w:val="auto"/>
                      <w:szCs w:val="21"/>
                    </w:rPr>
                  </w:pPr>
                  <w:r>
                    <w:rPr>
                      <w:b w:val="0"/>
                      <w:bCs w:val="0"/>
                      <w:color w:val="auto"/>
                      <w:szCs w:val="21"/>
                    </w:rPr>
                    <w:t>mg/</w:t>
                  </w:r>
                  <w:r>
                    <w:rPr>
                      <w:rFonts w:hint="eastAsia"/>
                      <w:b w:val="0"/>
                      <w:bCs w:val="0"/>
                      <w:color w:val="auto"/>
                      <w:szCs w:val="21"/>
                      <w:lang w:val="en-US" w:eastAsia="zh-CN"/>
                    </w:rPr>
                    <w:t>m</w:t>
                  </w:r>
                  <w:r>
                    <w:rPr>
                      <w:b w:val="0"/>
                      <w:bCs w:val="0"/>
                      <w:color w:val="auto"/>
                      <w:szCs w:val="21"/>
                      <w:vertAlign w:val="superscript"/>
                    </w:rPr>
                    <w:t>3</w:t>
                  </w:r>
                </w:p>
              </w:tc>
              <w:tc>
                <w:tcPr>
                  <w:tcW w:w="720" w:type="dxa"/>
                  <w:tcBorders>
                    <w:tl2br w:val="nil"/>
                    <w:tr2bl w:val="nil"/>
                  </w:tcBorders>
                  <w:noWrap w:val="0"/>
                  <w:vAlign w:val="center"/>
                </w:tcPr>
                <w:p w14:paraId="3FC75EB3">
                  <w:pPr>
                    <w:adjustRightInd w:val="0"/>
                    <w:snapToGrid w:val="0"/>
                    <w:spacing w:line="240" w:lineRule="exact"/>
                    <w:jc w:val="center"/>
                    <w:rPr>
                      <w:rFonts w:hint="eastAsia"/>
                      <w:b w:val="0"/>
                      <w:bCs w:val="0"/>
                      <w:color w:val="auto"/>
                      <w:szCs w:val="21"/>
                      <w:lang w:val="en-US" w:eastAsia="zh-CN"/>
                    </w:rPr>
                  </w:pPr>
                  <w:r>
                    <w:rPr>
                      <w:rFonts w:hint="eastAsia"/>
                      <w:b w:val="0"/>
                      <w:bCs w:val="0"/>
                      <w:color w:val="auto"/>
                      <w:szCs w:val="21"/>
                      <w:lang w:val="en-US" w:eastAsia="zh-CN"/>
                    </w:rPr>
                    <w:t>产生速率</w:t>
                  </w:r>
                </w:p>
                <w:p w14:paraId="1E65080D">
                  <w:pPr>
                    <w:adjustRightInd w:val="0"/>
                    <w:snapToGrid w:val="0"/>
                    <w:spacing w:line="240" w:lineRule="exact"/>
                    <w:jc w:val="center"/>
                    <w:rPr>
                      <w:b w:val="0"/>
                      <w:bCs w:val="0"/>
                      <w:color w:val="auto"/>
                      <w:szCs w:val="21"/>
                    </w:rPr>
                  </w:pPr>
                  <w:r>
                    <w:rPr>
                      <w:b w:val="0"/>
                      <w:bCs w:val="0"/>
                      <w:color w:val="auto"/>
                      <w:szCs w:val="21"/>
                    </w:rPr>
                    <w:t>kg/h</w:t>
                  </w:r>
                </w:p>
              </w:tc>
              <w:tc>
                <w:tcPr>
                  <w:tcW w:w="696" w:type="dxa"/>
                  <w:tcBorders>
                    <w:tl2br w:val="nil"/>
                    <w:tr2bl w:val="nil"/>
                  </w:tcBorders>
                  <w:noWrap w:val="0"/>
                  <w:vAlign w:val="center"/>
                </w:tcPr>
                <w:p w14:paraId="3E5A0925">
                  <w:pPr>
                    <w:adjustRightInd w:val="0"/>
                    <w:snapToGrid w:val="0"/>
                    <w:spacing w:line="240" w:lineRule="exact"/>
                    <w:jc w:val="center"/>
                    <w:rPr>
                      <w:b w:val="0"/>
                      <w:bCs w:val="0"/>
                      <w:color w:val="auto"/>
                      <w:szCs w:val="21"/>
                    </w:rPr>
                  </w:pPr>
                  <w:r>
                    <w:rPr>
                      <w:b w:val="0"/>
                      <w:bCs w:val="0"/>
                      <w:color w:val="auto"/>
                      <w:szCs w:val="21"/>
                    </w:rPr>
                    <w:t>产生量</w:t>
                  </w:r>
                </w:p>
                <w:p w14:paraId="389A1AED">
                  <w:pPr>
                    <w:adjustRightInd w:val="0"/>
                    <w:snapToGrid w:val="0"/>
                    <w:spacing w:line="240" w:lineRule="exact"/>
                    <w:jc w:val="center"/>
                    <w:rPr>
                      <w:b w:val="0"/>
                      <w:bCs w:val="0"/>
                      <w:color w:val="auto"/>
                      <w:szCs w:val="21"/>
                    </w:rPr>
                  </w:pPr>
                  <w:r>
                    <w:rPr>
                      <w:b w:val="0"/>
                      <w:bCs w:val="0"/>
                      <w:color w:val="auto"/>
                      <w:szCs w:val="21"/>
                    </w:rPr>
                    <w:t>t/a</w:t>
                  </w:r>
                </w:p>
              </w:tc>
              <w:tc>
                <w:tcPr>
                  <w:tcW w:w="684" w:type="dxa"/>
                  <w:tcBorders>
                    <w:tl2br w:val="nil"/>
                    <w:tr2bl w:val="nil"/>
                  </w:tcBorders>
                  <w:noWrap w:val="0"/>
                  <w:vAlign w:val="center"/>
                </w:tcPr>
                <w:p w14:paraId="747A85E5">
                  <w:pPr>
                    <w:adjustRightInd w:val="0"/>
                    <w:snapToGrid w:val="0"/>
                    <w:spacing w:line="240" w:lineRule="exact"/>
                    <w:jc w:val="center"/>
                    <w:rPr>
                      <w:b w:val="0"/>
                      <w:bCs w:val="0"/>
                      <w:color w:val="auto"/>
                      <w:szCs w:val="21"/>
                    </w:rPr>
                  </w:pPr>
                  <w:r>
                    <w:rPr>
                      <w:b w:val="0"/>
                      <w:bCs w:val="0"/>
                      <w:color w:val="auto"/>
                      <w:szCs w:val="21"/>
                    </w:rPr>
                    <w:t>排气量</w:t>
                  </w:r>
                </w:p>
                <w:p w14:paraId="17E1966C">
                  <w:pPr>
                    <w:adjustRightInd w:val="0"/>
                    <w:snapToGrid w:val="0"/>
                    <w:spacing w:line="240" w:lineRule="exact"/>
                    <w:jc w:val="center"/>
                    <w:rPr>
                      <w:b w:val="0"/>
                      <w:bCs w:val="0"/>
                      <w:color w:val="auto"/>
                      <w:szCs w:val="21"/>
                    </w:rPr>
                  </w:pPr>
                  <w:r>
                    <w:rPr>
                      <w:b w:val="0"/>
                      <w:bCs w:val="0"/>
                      <w:color w:val="auto"/>
                      <w:szCs w:val="21"/>
                    </w:rPr>
                    <w:t>m</w:t>
                  </w:r>
                  <w:r>
                    <w:rPr>
                      <w:b w:val="0"/>
                      <w:bCs w:val="0"/>
                      <w:color w:val="auto"/>
                      <w:szCs w:val="21"/>
                      <w:vertAlign w:val="superscript"/>
                    </w:rPr>
                    <w:t>3</w:t>
                  </w:r>
                  <w:r>
                    <w:rPr>
                      <w:b w:val="0"/>
                      <w:bCs w:val="0"/>
                      <w:color w:val="auto"/>
                      <w:szCs w:val="21"/>
                    </w:rPr>
                    <w:t>/h</w:t>
                  </w:r>
                </w:p>
              </w:tc>
              <w:tc>
                <w:tcPr>
                  <w:tcW w:w="588" w:type="dxa"/>
                  <w:tcBorders>
                    <w:tl2br w:val="nil"/>
                    <w:tr2bl w:val="nil"/>
                  </w:tcBorders>
                  <w:noWrap w:val="0"/>
                  <w:vAlign w:val="center"/>
                </w:tcPr>
                <w:p w14:paraId="32BAAC22">
                  <w:pPr>
                    <w:adjustRightInd w:val="0"/>
                    <w:snapToGrid w:val="0"/>
                    <w:spacing w:line="240" w:lineRule="exact"/>
                    <w:jc w:val="center"/>
                    <w:rPr>
                      <w:b w:val="0"/>
                      <w:bCs w:val="0"/>
                      <w:color w:val="auto"/>
                      <w:szCs w:val="21"/>
                    </w:rPr>
                  </w:pPr>
                  <w:r>
                    <w:rPr>
                      <w:b w:val="0"/>
                      <w:bCs w:val="0"/>
                      <w:color w:val="auto"/>
                      <w:szCs w:val="21"/>
                    </w:rPr>
                    <w:t>收集效率</w:t>
                  </w:r>
                </w:p>
                <w:p w14:paraId="1A01820D">
                  <w:pPr>
                    <w:adjustRightInd w:val="0"/>
                    <w:snapToGrid w:val="0"/>
                    <w:spacing w:line="240" w:lineRule="exact"/>
                    <w:jc w:val="center"/>
                    <w:rPr>
                      <w:b w:val="0"/>
                      <w:bCs w:val="0"/>
                      <w:color w:val="auto"/>
                      <w:szCs w:val="21"/>
                    </w:rPr>
                  </w:pPr>
                  <w:r>
                    <w:rPr>
                      <w:b w:val="0"/>
                      <w:bCs w:val="0"/>
                      <w:color w:val="auto"/>
                      <w:szCs w:val="21"/>
                    </w:rPr>
                    <w:t>%</w:t>
                  </w:r>
                </w:p>
              </w:tc>
              <w:tc>
                <w:tcPr>
                  <w:tcW w:w="648" w:type="dxa"/>
                  <w:tcBorders>
                    <w:tl2br w:val="nil"/>
                    <w:tr2bl w:val="nil"/>
                  </w:tcBorders>
                  <w:noWrap w:val="0"/>
                  <w:vAlign w:val="center"/>
                </w:tcPr>
                <w:p w14:paraId="797410EB">
                  <w:pPr>
                    <w:adjustRightInd w:val="0"/>
                    <w:snapToGrid w:val="0"/>
                    <w:spacing w:line="240" w:lineRule="exact"/>
                    <w:jc w:val="center"/>
                    <w:rPr>
                      <w:b w:val="0"/>
                      <w:bCs w:val="0"/>
                      <w:color w:val="auto"/>
                      <w:szCs w:val="21"/>
                    </w:rPr>
                  </w:pPr>
                  <w:r>
                    <w:rPr>
                      <w:b w:val="0"/>
                      <w:bCs w:val="0"/>
                      <w:color w:val="auto"/>
                      <w:szCs w:val="21"/>
                    </w:rPr>
                    <w:t>去除效率</w:t>
                  </w:r>
                </w:p>
                <w:p w14:paraId="334F20B9">
                  <w:pPr>
                    <w:adjustRightInd w:val="0"/>
                    <w:snapToGrid w:val="0"/>
                    <w:spacing w:line="240" w:lineRule="exact"/>
                    <w:jc w:val="center"/>
                    <w:rPr>
                      <w:b w:val="0"/>
                      <w:bCs w:val="0"/>
                      <w:color w:val="auto"/>
                      <w:szCs w:val="21"/>
                    </w:rPr>
                  </w:pPr>
                  <w:r>
                    <w:rPr>
                      <w:b w:val="0"/>
                      <w:bCs w:val="0"/>
                      <w:color w:val="auto"/>
                      <w:szCs w:val="21"/>
                    </w:rPr>
                    <w:t>%</w:t>
                  </w:r>
                </w:p>
              </w:tc>
              <w:tc>
                <w:tcPr>
                  <w:tcW w:w="381" w:type="dxa"/>
                  <w:tcBorders>
                    <w:tl2br w:val="nil"/>
                    <w:tr2bl w:val="nil"/>
                  </w:tcBorders>
                  <w:noWrap w:val="0"/>
                  <w:vAlign w:val="center"/>
                </w:tcPr>
                <w:p w14:paraId="75896B0F">
                  <w:pPr>
                    <w:adjustRightInd w:val="0"/>
                    <w:snapToGrid w:val="0"/>
                    <w:spacing w:line="240" w:lineRule="exact"/>
                    <w:jc w:val="center"/>
                    <w:rPr>
                      <w:b w:val="0"/>
                      <w:bCs w:val="0"/>
                      <w:color w:val="auto"/>
                      <w:szCs w:val="21"/>
                    </w:rPr>
                  </w:pPr>
                  <w:r>
                    <w:rPr>
                      <w:b w:val="0"/>
                      <w:bCs w:val="0"/>
                      <w:color w:val="auto"/>
                      <w:szCs w:val="21"/>
                    </w:rPr>
                    <w:t>是否可行技术</w:t>
                  </w:r>
                </w:p>
              </w:tc>
              <w:tc>
                <w:tcPr>
                  <w:tcW w:w="879" w:type="dxa"/>
                  <w:tcBorders>
                    <w:tl2br w:val="nil"/>
                    <w:tr2bl w:val="nil"/>
                  </w:tcBorders>
                  <w:noWrap w:val="0"/>
                  <w:vAlign w:val="center"/>
                </w:tcPr>
                <w:p w14:paraId="0E8BBB42">
                  <w:pPr>
                    <w:adjustRightInd w:val="0"/>
                    <w:snapToGrid w:val="0"/>
                    <w:spacing w:line="240" w:lineRule="exact"/>
                    <w:jc w:val="center"/>
                    <w:rPr>
                      <w:b w:val="0"/>
                      <w:bCs w:val="0"/>
                      <w:color w:val="auto"/>
                      <w:szCs w:val="21"/>
                    </w:rPr>
                  </w:pPr>
                  <w:r>
                    <w:rPr>
                      <w:rFonts w:hint="eastAsia"/>
                      <w:b w:val="0"/>
                      <w:bCs w:val="0"/>
                      <w:color w:val="auto"/>
                      <w:szCs w:val="21"/>
                      <w:lang w:val="en-US" w:eastAsia="zh-CN"/>
                    </w:rPr>
                    <w:t>治理</w:t>
                  </w:r>
                  <w:r>
                    <w:rPr>
                      <w:b w:val="0"/>
                      <w:bCs w:val="0"/>
                      <w:color w:val="auto"/>
                      <w:szCs w:val="21"/>
                    </w:rPr>
                    <w:t>工艺</w:t>
                  </w:r>
                </w:p>
              </w:tc>
              <w:tc>
                <w:tcPr>
                  <w:tcW w:w="569" w:type="dxa"/>
                  <w:tcBorders>
                    <w:tl2br w:val="nil"/>
                    <w:tr2bl w:val="nil"/>
                  </w:tcBorders>
                  <w:noWrap w:val="0"/>
                  <w:vAlign w:val="center"/>
                </w:tcPr>
                <w:p w14:paraId="29B27033">
                  <w:pPr>
                    <w:adjustRightInd w:val="0"/>
                    <w:snapToGrid w:val="0"/>
                    <w:spacing w:line="240" w:lineRule="exact"/>
                    <w:jc w:val="center"/>
                    <w:rPr>
                      <w:b w:val="0"/>
                      <w:bCs w:val="0"/>
                      <w:color w:val="auto"/>
                      <w:szCs w:val="21"/>
                    </w:rPr>
                  </w:pPr>
                  <w:r>
                    <w:rPr>
                      <w:b w:val="0"/>
                      <w:bCs w:val="0"/>
                      <w:color w:val="auto"/>
                      <w:szCs w:val="21"/>
                    </w:rPr>
                    <w:t>排放浓度</w:t>
                  </w:r>
                </w:p>
                <w:p w14:paraId="6C26E7B3">
                  <w:pPr>
                    <w:adjustRightInd w:val="0"/>
                    <w:snapToGrid w:val="0"/>
                    <w:spacing w:line="240" w:lineRule="exact"/>
                    <w:jc w:val="center"/>
                    <w:rPr>
                      <w:b w:val="0"/>
                      <w:bCs w:val="0"/>
                      <w:color w:val="auto"/>
                      <w:szCs w:val="21"/>
                    </w:rPr>
                  </w:pPr>
                  <w:r>
                    <w:rPr>
                      <w:b w:val="0"/>
                      <w:bCs w:val="0"/>
                      <w:color w:val="auto"/>
                      <w:szCs w:val="21"/>
                    </w:rPr>
                    <w:t>mg/m</w:t>
                  </w:r>
                  <w:r>
                    <w:rPr>
                      <w:b w:val="0"/>
                      <w:bCs w:val="0"/>
                      <w:color w:val="auto"/>
                      <w:szCs w:val="21"/>
                      <w:vertAlign w:val="superscript"/>
                    </w:rPr>
                    <w:t>3</w:t>
                  </w:r>
                </w:p>
              </w:tc>
              <w:tc>
                <w:tcPr>
                  <w:tcW w:w="750" w:type="dxa"/>
                  <w:tcBorders>
                    <w:tl2br w:val="nil"/>
                    <w:tr2bl w:val="nil"/>
                  </w:tcBorders>
                  <w:noWrap w:val="0"/>
                  <w:vAlign w:val="center"/>
                </w:tcPr>
                <w:p w14:paraId="7FEC401A">
                  <w:pPr>
                    <w:adjustRightInd w:val="0"/>
                    <w:snapToGrid w:val="0"/>
                    <w:spacing w:line="240" w:lineRule="exact"/>
                    <w:jc w:val="center"/>
                    <w:rPr>
                      <w:b w:val="0"/>
                      <w:bCs w:val="0"/>
                      <w:color w:val="auto"/>
                      <w:szCs w:val="21"/>
                    </w:rPr>
                  </w:pPr>
                  <w:r>
                    <w:rPr>
                      <w:b w:val="0"/>
                      <w:bCs w:val="0"/>
                      <w:color w:val="auto"/>
                      <w:szCs w:val="21"/>
                    </w:rPr>
                    <w:t>排放</w:t>
                  </w:r>
                  <w:r>
                    <w:rPr>
                      <w:rFonts w:hint="eastAsia"/>
                      <w:b w:val="0"/>
                      <w:bCs w:val="0"/>
                      <w:color w:val="auto"/>
                      <w:szCs w:val="21"/>
                      <w:lang w:val="en-US" w:eastAsia="zh-CN"/>
                    </w:rPr>
                    <w:t>速率</w:t>
                  </w:r>
                </w:p>
                <w:p w14:paraId="73025DB8">
                  <w:pPr>
                    <w:adjustRightInd w:val="0"/>
                    <w:snapToGrid w:val="0"/>
                    <w:spacing w:line="240" w:lineRule="exact"/>
                    <w:jc w:val="center"/>
                    <w:rPr>
                      <w:b w:val="0"/>
                      <w:bCs w:val="0"/>
                      <w:color w:val="auto"/>
                      <w:szCs w:val="21"/>
                    </w:rPr>
                  </w:pPr>
                  <w:r>
                    <w:rPr>
                      <w:b w:val="0"/>
                      <w:bCs w:val="0"/>
                      <w:color w:val="auto"/>
                      <w:szCs w:val="21"/>
                    </w:rPr>
                    <w:t>kg/h</w:t>
                  </w:r>
                </w:p>
              </w:tc>
              <w:tc>
                <w:tcPr>
                  <w:tcW w:w="956" w:type="dxa"/>
                  <w:tcBorders>
                    <w:tl2br w:val="nil"/>
                    <w:tr2bl w:val="nil"/>
                  </w:tcBorders>
                  <w:noWrap w:val="0"/>
                  <w:vAlign w:val="center"/>
                </w:tcPr>
                <w:p w14:paraId="09AF9203">
                  <w:pPr>
                    <w:adjustRightInd w:val="0"/>
                    <w:snapToGrid w:val="0"/>
                    <w:spacing w:line="240" w:lineRule="exact"/>
                    <w:jc w:val="center"/>
                    <w:rPr>
                      <w:rFonts w:hint="eastAsia"/>
                      <w:b w:val="0"/>
                      <w:bCs w:val="0"/>
                      <w:color w:val="auto"/>
                      <w:szCs w:val="21"/>
                      <w:lang w:val="en-US" w:eastAsia="zh-CN"/>
                    </w:rPr>
                  </w:pPr>
                  <w:r>
                    <w:rPr>
                      <w:rFonts w:hint="eastAsia"/>
                      <w:b w:val="0"/>
                      <w:bCs w:val="0"/>
                      <w:color w:val="auto"/>
                      <w:szCs w:val="21"/>
                      <w:lang w:val="en-US" w:eastAsia="zh-CN"/>
                    </w:rPr>
                    <w:t>排放量</w:t>
                  </w:r>
                </w:p>
                <w:p w14:paraId="05B59A84">
                  <w:pPr>
                    <w:adjustRightInd w:val="0"/>
                    <w:snapToGrid w:val="0"/>
                    <w:spacing w:line="240" w:lineRule="exact"/>
                    <w:jc w:val="center"/>
                    <w:rPr>
                      <w:b w:val="0"/>
                      <w:bCs w:val="0"/>
                      <w:color w:val="auto"/>
                      <w:szCs w:val="21"/>
                    </w:rPr>
                  </w:pPr>
                  <w:r>
                    <w:rPr>
                      <w:b w:val="0"/>
                      <w:bCs w:val="0"/>
                      <w:color w:val="auto"/>
                      <w:szCs w:val="21"/>
                    </w:rPr>
                    <w:t>t/a</w:t>
                  </w:r>
                </w:p>
              </w:tc>
              <w:tc>
                <w:tcPr>
                  <w:tcW w:w="823" w:type="dxa"/>
                  <w:tcBorders>
                    <w:tl2br w:val="nil"/>
                    <w:tr2bl w:val="nil"/>
                  </w:tcBorders>
                  <w:noWrap w:val="0"/>
                  <w:vAlign w:val="center"/>
                </w:tcPr>
                <w:p w14:paraId="1C519D6C">
                  <w:pPr>
                    <w:adjustRightInd w:val="0"/>
                    <w:snapToGrid w:val="0"/>
                    <w:spacing w:line="240" w:lineRule="exact"/>
                    <w:jc w:val="center"/>
                    <w:rPr>
                      <w:b w:val="0"/>
                      <w:bCs w:val="0"/>
                      <w:color w:val="auto"/>
                      <w:szCs w:val="21"/>
                    </w:rPr>
                  </w:pPr>
                  <w:r>
                    <w:rPr>
                      <w:b w:val="0"/>
                      <w:bCs w:val="0"/>
                      <w:color w:val="auto"/>
                      <w:spacing w:val="-10"/>
                      <w:szCs w:val="21"/>
                    </w:rPr>
                    <w:t>编号及名称</w:t>
                  </w:r>
                </w:p>
              </w:tc>
              <w:tc>
                <w:tcPr>
                  <w:tcW w:w="460" w:type="dxa"/>
                  <w:tcBorders>
                    <w:tl2br w:val="nil"/>
                    <w:tr2bl w:val="nil"/>
                  </w:tcBorders>
                  <w:noWrap w:val="0"/>
                  <w:vAlign w:val="center"/>
                </w:tcPr>
                <w:p w14:paraId="6180A78A">
                  <w:pPr>
                    <w:adjustRightInd w:val="0"/>
                    <w:snapToGrid w:val="0"/>
                    <w:spacing w:line="240" w:lineRule="exact"/>
                    <w:jc w:val="center"/>
                    <w:rPr>
                      <w:b w:val="0"/>
                      <w:bCs w:val="0"/>
                      <w:color w:val="auto"/>
                      <w:szCs w:val="21"/>
                    </w:rPr>
                  </w:pPr>
                  <w:r>
                    <w:rPr>
                      <w:b w:val="0"/>
                      <w:bCs w:val="0"/>
                      <w:color w:val="auto"/>
                      <w:szCs w:val="21"/>
                    </w:rPr>
                    <w:t>高度</w:t>
                  </w:r>
                </w:p>
                <w:p w14:paraId="10E95163">
                  <w:pPr>
                    <w:adjustRightInd w:val="0"/>
                    <w:snapToGrid w:val="0"/>
                    <w:spacing w:line="240" w:lineRule="exact"/>
                    <w:jc w:val="center"/>
                    <w:rPr>
                      <w:b w:val="0"/>
                      <w:bCs w:val="0"/>
                      <w:color w:val="auto"/>
                      <w:szCs w:val="21"/>
                    </w:rPr>
                  </w:pPr>
                  <w:r>
                    <w:rPr>
                      <w:b w:val="0"/>
                      <w:bCs w:val="0"/>
                      <w:color w:val="auto"/>
                      <w:szCs w:val="21"/>
                    </w:rPr>
                    <w:t>m</w:t>
                  </w:r>
                </w:p>
              </w:tc>
              <w:tc>
                <w:tcPr>
                  <w:tcW w:w="520" w:type="dxa"/>
                  <w:tcBorders>
                    <w:tl2br w:val="nil"/>
                    <w:tr2bl w:val="nil"/>
                  </w:tcBorders>
                  <w:noWrap w:val="0"/>
                  <w:vAlign w:val="center"/>
                </w:tcPr>
                <w:p w14:paraId="7635856F">
                  <w:pPr>
                    <w:adjustRightInd w:val="0"/>
                    <w:snapToGrid w:val="0"/>
                    <w:spacing w:line="240" w:lineRule="exact"/>
                    <w:jc w:val="center"/>
                    <w:rPr>
                      <w:b w:val="0"/>
                      <w:bCs w:val="0"/>
                      <w:color w:val="auto"/>
                      <w:szCs w:val="21"/>
                    </w:rPr>
                  </w:pPr>
                  <w:r>
                    <w:rPr>
                      <w:b w:val="0"/>
                      <w:bCs w:val="0"/>
                      <w:color w:val="auto"/>
                      <w:szCs w:val="21"/>
                    </w:rPr>
                    <w:t>内径</w:t>
                  </w:r>
                </w:p>
                <w:p w14:paraId="738FA0EF">
                  <w:pPr>
                    <w:adjustRightInd w:val="0"/>
                    <w:snapToGrid w:val="0"/>
                    <w:spacing w:line="240" w:lineRule="exact"/>
                    <w:jc w:val="center"/>
                    <w:rPr>
                      <w:b w:val="0"/>
                      <w:bCs w:val="0"/>
                      <w:color w:val="auto"/>
                      <w:szCs w:val="21"/>
                    </w:rPr>
                  </w:pPr>
                  <w:r>
                    <w:rPr>
                      <w:b w:val="0"/>
                      <w:bCs w:val="0"/>
                      <w:color w:val="auto"/>
                      <w:szCs w:val="21"/>
                    </w:rPr>
                    <w:t>m</w:t>
                  </w:r>
                </w:p>
              </w:tc>
              <w:tc>
                <w:tcPr>
                  <w:tcW w:w="556" w:type="dxa"/>
                  <w:tcBorders>
                    <w:tl2br w:val="nil"/>
                    <w:tr2bl w:val="nil"/>
                  </w:tcBorders>
                  <w:noWrap w:val="0"/>
                  <w:vAlign w:val="center"/>
                </w:tcPr>
                <w:p w14:paraId="062188CF">
                  <w:pPr>
                    <w:adjustRightInd w:val="0"/>
                    <w:snapToGrid w:val="0"/>
                    <w:spacing w:line="240" w:lineRule="exact"/>
                    <w:jc w:val="center"/>
                    <w:rPr>
                      <w:b w:val="0"/>
                      <w:bCs w:val="0"/>
                      <w:color w:val="auto"/>
                      <w:szCs w:val="21"/>
                    </w:rPr>
                  </w:pPr>
                  <w:r>
                    <w:rPr>
                      <w:b w:val="0"/>
                      <w:bCs w:val="0"/>
                      <w:color w:val="auto"/>
                      <w:szCs w:val="21"/>
                    </w:rPr>
                    <w:t>温度</w:t>
                  </w:r>
                </w:p>
                <w:p w14:paraId="3D9C8C98">
                  <w:pPr>
                    <w:adjustRightInd w:val="0"/>
                    <w:snapToGrid w:val="0"/>
                    <w:spacing w:line="240" w:lineRule="exact"/>
                    <w:jc w:val="center"/>
                    <w:rPr>
                      <w:b w:val="0"/>
                      <w:bCs w:val="0"/>
                      <w:color w:val="auto"/>
                      <w:szCs w:val="21"/>
                    </w:rPr>
                  </w:pPr>
                  <w:r>
                    <w:rPr>
                      <w:b w:val="0"/>
                      <w:bCs w:val="0"/>
                      <w:color w:val="auto"/>
                      <w:szCs w:val="21"/>
                    </w:rPr>
                    <w:t>℃</w:t>
                  </w:r>
                </w:p>
              </w:tc>
              <w:tc>
                <w:tcPr>
                  <w:tcW w:w="606" w:type="dxa"/>
                  <w:tcBorders>
                    <w:tl2br w:val="nil"/>
                    <w:tr2bl w:val="nil"/>
                  </w:tcBorders>
                  <w:noWrap w:val="0"/>
                  <w:vAlign w:val="center"/>
                </w:tcPr>
                <w:p w14:paraId="3C3DB4F1">
                  <w:pPr>
                    <w:adjustRightInd w:val="0"/>
                    <w:snapToGrid w:val="0"/>
                    <w:spacing w:line="240" w:lineRule="exact"/>
                    <w:jc w:val="center"/>
                    <w:rPr>
                      <w:b w:val="0"/>
                      <w:bCs w:val="0"/>
                      <w:color w:val="auto"/>
                      <w:szCs w:val="21"/>
                    </w:rPr>
                  </w:pPr>
                  <w:r>
                    <w:rPr>
                      <w:b w:val="0"/>
                      <w:bCs w:val="0"/>
                      <w:color w:val="auto"/>
                      <w:szCs w:val="21"/>
                    </w:rPr>
                    <w:t>类型</w:t>
                  </w:r>
                </w:p>
              </w:tc>
              <w:tc>
                <w:tcPr>
                  <w:tcW w:w="955" w:type="dxa"/>
                  <w:tcBorders>
                    <w:tl2br w:val="nil"/>
                    <w:tr2bl w:val="nil"/>
                  </w:tcBorders>
                  <w:noWrap w:val="0"/>
                  <w:vAlign w:val="center"/>
                </w:tcPr>
                <w:p w14:paraId="594D28A3">
                  <w:pPr>
                    <w:adjustRightInd w:val="0"/>
                    <w:snapToGrid w:val="0"/>
                    <w:spacing w:line="240" w:lineRule="exact"/>
                    <w:jc w:val="center"/>
                    <w:rPr>
                      <w:b w:val="0"/>
                      <w:bCs w:val="0"/>
                      <w:color w:val="auto"/>
                      <w:szCs w:val="21"/>
                    </w:rPr>
                  </w:pPr>
                  <w:r>
                    <w:rPr>
                      <w:b w:val="0"/>
                      <w:bCs w:val="0"/>
                      <w:color w:val="auto"/>
                      <w:szCs w:val="21"/>
                    </w:rPr>
                    <w:t>地理</w:t>
                  </w:r>
                </w:p>
                <w:p w14:paraId="4420157F">
                  <w:pPr>
                    <w:adjustRightInd w:val="0"/>
                    <w:snapToGrid w:val="0"/>
                    <w:spacing w:line="240" w:lineRule="exact"/>
                    <w:jc w:val="center"/>
                    <w:rPr>
                      <w:b w:val="0"/>
                      <w:bCs w:val="0"/>
                      <w:color w:val="auto"/>
                      <w:szCs w:val="21"/>
                    </w:rPr>
                  </w:pPr>
                  <w:r>
                    <w:rPr>
                      <w:b w:val="0"/>
                      <w:bCs w:val="0"/>
                      <w:color w:val="auto"/>
                      <w:szCs w:val="21"/>
                    </w:rPr>
                    <w:t>坐标</w:t>
                  </w:r>
                </w:p>
              </w:tc>
              <w:tc>
                <w:tcPr>
                  <w:tcW w:w="533" w:type="dxa"/>
                  <w:tcBorders>
                    <w:tl2br w:val="nil"/>
                    <w:tr2bl w:val="nil"/>
                  </w:tcBorders>
                  <w:noWrap w:val="0"/>
                  <w:vAlign w:val="center"/>
                </w:tcPr>
                <w:p w14:paraId="44FAEEC2">
                  <w:pPr>
                    <w:adjustRightInd w:val="0"/>
                    <w:snapToGrid w:val="0"/>
                    <w:spacing w:line="240" w:lineRule="exact"/>
                    <w:jc w:val="center"/>
                    <w:rPr>
                      <w:b w:val="0"/>
                      <w:bCs w:val="0"/>
                      <w:color w:val="auto"/>
                      <w:szCs w:val="21"/>
                    </w:rPr>
                  </w:pPr>
                  <w:r>
                    <w:rPr>
                      <w:b w:val="0"/>
                      <w:bCs w:val="0"/>
                      <w:color w:val="auto"/>
                      <w:szCs w:val="21"/>
                    </w:rPr>
                    <w:t>浓度</w:t>
                  </w:r>
                </w:p>
                <w:p w14:paraId="14C2B547">
                  <w:pPr>
                    <w:adjustRightInd w:val="0"/>
                    <w:snapToGrid w:val="0"/>
                    <w:spacing w:line="240" w:lineRule="exact"/>
                    <w:jc w:val="center"/>
                    <w:rPr>
                      <w:b w:val="0"/>
                      <w:bCs w:val="0"/>
                      <w:color w:val="auto"/>
                      <w:szCs w:val="21"/>
                    </w:rPr>
                  </w:pPr>
                  <w:r>
                    <w:rPr>
                      <w:b w:val="0"/>
                      <w:bCs w:val="0"/>
                      <w:color w:val="auto"/>
                      <w:szCs w:val="21"/>
                    </w:rPr>
                    <w:t>mg/m</w:t>
                  </w:r>
                  <w:r>
                    <w:rPr>
                      <w:b w:val="0"/>
                      <w:bCs w:val="0"/>
                      <w:color w:val="auto"/>
                      <w:szCs w:val="21"/>
                      <w:vertAlign w:val="superscript"/>
                    </w:rPr>
                    <w:t>3</w:t>
                  </w:r>
                </w:p>
              </w:tc>
              <w:tc>
                <w:tcPr>
                  <w:tcW w:w="532" w:type="dxa"/>
                  <w:tcBorders>
                    <w:tl2br w:val="nil"/>
                    <w:tr2bl w:val="nil"/>
                  </w:tcBorders>
                  <w:noWrap w:val="0"/>
                  <w:vAlign w:val="center"/>
                </w:tcPr>
                <w:p w14:paraId="4BFD2960">
                  <w:pPr>
                    <w:adjustRightInd w:val="0"/>
                    <w:snapToGrid w:val="0"/>
                    <w:spacing w:line="240" w:lineRule="exact"/>
                    <w:jc w:val="center"/>
                    <w:rPr>
                      <w:b w:val="0"/>
                      <w:bCs w:val="0"/>
                      <w:color w:val="auto"/>
                      <w:szCs w:val="21"/>
                    </w:rPr>
                  </w:pPr>
                  <w:r>
                    <w:rPr>
                      <w:b w:val="0"/>
                      <w:bCs w:val="0"/>
                      <w:color w:val="auto"/>
                      <w:szCs w:val="21"/>
                    </w:rPr>
                    <w:t>速率</w:t>
                  </w:r>
                </w:p>
                <w:p w14:paraId="4700FF5C">
                  <w:pPr>
                    <w:adjustRightInd w:val="0"/>
                    <w:snapToGrid w:val="0"/>
                    <w:spacing w:line="240" w:lineRule="exact"/>
                    <w:jc w:val="center"/>
                    <w:rPr>
                      <w:b w:val="0"/>
                      <w:bCs w:val="0"/>
                      <w:color w:val="auto"/>
                      <w:szCs w:val="21"/>
                    </w:rPr>
                  </w:pPr>
                  <w:r>
                    <w:rPr>
                      <w:b w:val="0"/>
                      <w:bCs w:val="0"/>
                      <w:color w:val="auto"/>
                      <w:szCs w:val="21"/>
                    </w:rPr>
                    <w:t>kg/h</w:t>
                  </w:r>
                </w:p>
              </w:tc>
            </w:tr>
            <w:tr w14:paraId="1FA304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96" w:hRule="atLeast"/>
              </w:trPr>
              <w:tc>
                <w:tcPr>
                  <w:tcW w:w="378" w:type="dxa"/>
                  <w:tcBorders>
                    <w:tl2br w:val="nil"/>
                    <w:tr2bl w:val="nil"/>
                  </w:tcBorders>
                  <w:noWrap w:val="0"/>
                  <w:vAlign w:val="center"/>
                </w:tcPr>
                <w:p w14:paraId="51B879D4">
                  <w:pPr>
                    <w:snapToGrid w:val="0"/>
                    <w:spacing w:line="240" w:lineRule="atLeast"/>
                    <w:jc w:val="center"/>
                    <w:rPr>
                      <w:bCs/>
                      <w:color w:val="auto"/>
                      <w:szCs w:val="21"/>
                    </w:rPr>
                  </w:pPr>
                  <w:r>
                    <w:rPr>
                      <w:color w:val="auto"/>
                      <w:szCs w:val="21"/>
                    </w:rPr>
                    <w:t>有组织</w:t>
                  </w:r>
                </w:p>
              </w:tc>
              <w:tc>
                <w:tcPr>
                  <w:tcW w:w="453" w:type="dxa"/>
                  <w:tcBorders>
                    <w:tl2br w:val="nil"/>
                    <w:tr2bl w:val="nil"/>
                  </w:tcBorders>
                  <w:noWrap w:val="0"/>
                  <w:vAlign w:val="center"/>
                </w:tcPr>
                <w:p w14:paraId="2D3A01E5">
                  <w:pPr>
                    <w:snapToGrid w:val="0"/>
                    <w:spacing w:line="240" w:lineRule="atLeast"/>
                    <w:jc w:val="center"/>
                    <w:rPr>
                      <w:rFonts w:hint="default" w:eastAsia="宋体"/>
                      <w:bCs/>
                      <w:color w:val="auto"/>
                      <w:szCs w:val="21"/>
                      <w:lang w:val="en-US" w:eastAsia="zh-CN"/>
                    </w:rPr>
                  </w:pPr>
                  <w:r>
                    <w:rPr>
                      <w:rFonts w:hint="eastAsia"/>
                      <w:bCs/>
                      <w:color w:val="auto"/>
                      <w:szCs w:val="21"/>
                      <w:lang w:val="en-US" w:eastAsia="zh-CN"/>
                    </w:rPr>
                    <w:t>水泥罐入料工序</w:t>
                  </w:r>
                </w:p>
              </w:tc>
              <w:tc>
                <w:tcPr>
                  <w:tcW w:w="440" w:type="dxa"/>
                  <w:tcBorders>
                    <w:tl2br w:val="nil"/>
                    <w:tr2bl w:val="nil"/>
                  </w:tcBorders>
                  <w:noWrap w:val="0"/>
                  <w:vAlign w:val="center"/>
                </w:tcPr>
                <w:p w14:paraId="6A6CA5FA">
                  <w:pPr>
                    <w:adjustRightInd w:val="0"/>
                    <w:snapToGrid w:val="0"/>
                    <w:spacing w:line="240" w:lineRule="atLeast"/>
                    <w:jc w:val="center"/>
                    <w:rPr>
                      <w:rFonts w:hint="default" w:eastAsia="宋体"/>
                      <w:bCs/>
                      <w:color w:val="auto"/>
                      <w:szCs w:val="21"/>
                      <w:lang w:val="en-US" w:eastAsia="zh-CN"/>
                    </w:rPr>
                  </w:pPr>
                  <w:r>
                    <w:rPr>
                      <w:rFonts w:hint="eastAsia"/>
                      <w:color w:val="auto"/>
                      <w:szCs w:val="21"/>
                      <w:lang w:val="en-US" w:eastAsia="zh-CN"/>
                    </w:rPr>
                    <w:t>颗粒物</w:t>
                  </w:r>
                </w:p>
              </w:tc>
              <w:tc>
                <w:tcPr>
                  <w:tcW w:w="661" w:type="dxa"/>
                  <w:tcBorders>
                    <w:tl2br w:val="nil"/>
                    <w:tr2bl w:val="nil"/>
                  </w:tcBorders>
                  <w:noWrap w:val="0"/>
                  <w:vAlign w:val="center"/>
                </w:tcPr>
                <w:p w14:paraId="635520C4">
                  <w:pPr>
                    <w:spacing w:line="340" w:lineRule="exact"/>
                    <w:jc w:val="center"/>
                    <w:rPr>
                      <w:rFonts w:hint="default" w:eastAsia="等线"/>
                      <w:color w:val="auto"/>
                      <w:szCs w:val="21"/>
                      <w:lang w:val="en-US" w:eastAsia="zh-CN"/>
                    </w:rPr>
                  </w:pPr>
                  <w:r>
                    <w:rPr>
                      <w:rFonts w:hint="eastAsia" w:eastAsia="等线"/>
                      <w:color w:val="auto"/>
                      <w:szCs w:val="21"/>
                      <w:lang w:val="en-US" w:eastAsia="zh-CN"/>
                    </w:rPr>
                    <w:t>1908</w:t>
                  </w:r>
                </w:p>
              </w:tc>
              <w:tc>
                <w:tcPr>
                  <w:tcW w:w="720" w:type="dxa"/>
                  <w:tcBorders>
                    <w:tl2br w:val="nil"/>
                    <w:tr2bl w:val="nil"/>
                  </w:tcBorders>
                  <w:noWrap w:val="0"/>
                  <w:vAlign w:val="center"/>
                </w:tcPr>
                <w:p w14:paraId="52F23D38">
                  <w:pPr>
                    <w:spacing w:line="340" w:lineRule="exact"/>
                    <w:jc w:val="center"/>
                    <w:rPr>
                      <w:rFonts w:hint="default" w:eastAsia="等线"/>
                      <w:color w:val="auto"/>
                      <w:szCs w:val="21"/>
                      <w:lang w:val="en-US" w:eastAsia="zh-CN"/>
                    </w:rPr>
                  </w:pPr>
                  <w:r>
                    <w:rPr>
                      <w:rFonts w:hint="eastAsia" w:eastAsia="等线"/>
                      <w:color w:val="auto"/>
                      <w:szCs w:val="21"/>
                      <w:lang w:val="en-US" w:eastAsia="zh-CN"/>
                    </w:rPr>
                    <w:t>4.58</w:t>
                  </w:r>
                </w:p>
              </w:tc>
              <w:tc>
                <w:tcPr>
                  <w:tcW w:w="696" w:type="dxa"/>
                  <w:tcBorders>
                    <w:tl2br w:val="nil"/>
                    <w:tr2bl w:val="nil"/>
                  </w:tcBorders>
                  <w:noWrap w:val="0"/>
                  <w:vAlign w:val="center"/>
                </w:tcPr>
                <w:p w14:paraId="09943D84">
                  <w:pPr>
                    <w:spacing w:line="340" w:lineRule="exact"/>
                    <w:jc w:val="center"/>
                    <w:rPr>
                      <w:rFonts w:hint="default" w:eastAsia="等线"/>
                      <w:color w:val="auto"/>
                      <w:szCs w:val="21"/>
                      <w:lang w:val="en-US" w:eastAsia="zh-CN"/>
                    </w:rPr>
                  </w:pPr>
                  <w:r>
                    <w:rPr>
                      <w:rFonts w:hint="eastAsia" w:eastAsia="等线"/>
                      <w:color w:val="auto"/>
                      <w:szCs w:val="21"/>
                      <w:lang w:val="en-US" w:eastAsia="zh-CN"/>
                    </w:rPr>
                    <w:t>2.885</w:t>
                  </w:r>
                </w:p>
              </w:tc>
              <w:tc>
                <w:tcPr>
                  <w:tcW w:w="684" w:type="dxa"/>
                  <w:tcBorders>
                    <w:tl2br w:val="nil"/>
                    <w:tr2bl w:val="nil"/>
                  </w:tcBorders>
                  <w:noWrap w:val="0"/>
                  <w:vAlign w:val="center"/>
                </w:tcPr>
                <w:p w14:paraId="7E457CA1">
                  <w:pPr>
                    <w:adjustRightInd w:val="0"/>
                    <w:snapToGrid w:val="0"/>
                    <w:spacing w:line="240" w:lineRule="exact"/>
                    <w:jc w:val="center"/>
                    <w:rPr>
                      <w:rFonts w:hint="default"/>
                      <w:bCs/>
                      <w:color w:val="auto"/>
                      <w:szCs w:val="21"/>
                      <w:lang w:val="en-US"/>
                    </w:rPr>
                  </w:pPr>
                  <w:r>
                    <w:rPr>
                      <w:rFonts w:hint="eastAsia"/>
                      <w:color w:val="auto"/>
                      <w:lang w:val="en-US" w:eastAsia="zh-CN"/>
                    </w:rPr>
                    <w:t>2400</w:t>
                  </w:r>
                </w:p>
              </w:tc>
              <w:tc>
                <w:tcPr>
                  <w:tcW w:w="588" w:type="dxa"/>
                  <w:tcBorders>
                    <w:tl2br w:val="nil"/>
                    <w:tr2bl w:val="nil"/>
                  </w:tcBorders>
                  <w:noWrap w:val="0"/>
                  <w:vAlign w:val="center"/>
                </w:tcPr>
                <w:p w14:paraId="5CC4E3E7">
                  <w:pPr>
                    <w:adjustRightInd w:val="0"/>
                    <w:snapToGrid w:val="0"/>
                    <w:spacing w:line="240" w:lineRule="exact"/>
                    <w:jc w:val="center"/>
                    <w:rPr>
                      <w:rFonts w:hint="default" w:eastAsia="宋体"/>
                      <w:bCs/>
                      <w:color w:val="auto"/>
                      <w:szCs w:val="21"/>
                      <w:lang w:val="en-US" w:eastAsia="zh-CN"/>
                    </w:rPr>
                  </w:pPr>
                  <w:r>
                    <w:rPr>
                      <w:rFonts w:hint="eastAsia"/>
                      <w:bCs/>
                      <w:color w:val="auto"/>
                      <w:szCs w:val="21"/>
                      <w:lang w:val="en-US" w:eastAsia="zh-CN"/>
                    </w:rPr>
                    <w:t>100</w:t>
                  </w:r>
                </w:p>
              </w:tc>
              <w:tc>
                <w:tcPr>
                  <w:tcW w:w="648" w:type="dxa"/>
                  <w:tcBorders>
                    <w:tl2br w:val="nil"/>
                    <w:tr2bl w:val="nil"/>
                  </w:tcBorders>
                  <w:noWrap w:val="0"/>
                  <w:vAlign w:val="center"/>
                </w:tcPr>
                <w:p w14:paraId="6ED8AFA3">
                  <w:pPr>
                    <w:adjustRightInd w:val="0"/>
                    <w:snapToGrid w:val="0"/>
                    <w:spacing w:line="240" w:lineRule="exact"/>
                    <w:jc w:val="center"/>
                    <w:rPr>
                      <w:rFonts w:hint="default" w:eastAsia="宋体"/>
                      <w:bCs/>
                      <w:color w:val="auto"/>
                      <w:szCs w:val="21"/>
                      <w:lang w:val="en-US" w:eastAsia="zh-CN"/>
                    </w:rPr>
                  </w:pPr>
                  <w:r>
                    <w:rPr>
                      <w:rFonts w:hint="eastAsia"/>
                      <w:bCs/>
                      <w:color w:val="auto"/>
                      <w:szCs w:val="21"/>
                      <w:lang w:val="en-US" w:eastAsia="zh-CN"/>
                    </w:rPr>
                    <w:t>99.6</w:t>
                  </w:r>
                </w:p>
              </w:tc>
              <w:tc>
                <w:tcPr>
                  <w:tcW w:w="381" w:type="dxa"/>
                  <w:tcBorders>
                    <w:tl2br w:val="nil"/>
                    <w:tr2bl w:val="nil"/>
                  </w:tcBorders>
                  <w:noWrap w:val="0"/>
                  <w:vAlign w:val="center"/>
                </w:tcPr>
                <w:p w14:paraId="413C74A6">
                  <w:pPr>
                    <w:adjustRightInd w:val="0"/>
                    <w:snapToGrid w:val="0"/>
                    <w:spacing w:line="240" w:lineRule="exact"/>
                    <w:jc w:val="center"/>
                    <w:rPr>
                      <w:bCs/>
                      <w:color w:val="auto"/>
                      <w:szCs w:val="21"/>
                    </w:rPr>
                  </w:pPr>
                  <w:r>
                    <w:rPr>
                      <w:bCs/>
                      <w:color w:val="auto"/>
                      <w:szCs w:val="21"/>
                    </w:rPr>
                    <w:t>是</w:t>
                  </w:r>
                </w:p>
              </w:tc>
              <w:tc>
                <w:tcPr>
                  <w:tcW w:w="879" w:type="dxa"/>
                  <w:tcBorders>
                    <w:tl2br w:val="nil"/>
                    <w:tr2bl w:val="nil"/>
                  </w:tcBorders>
                  <w:noWrap w:val="0"/>
                  <w:vAlign w:val="center"/>
                </w:tcPr>
                <w:p w14:paraId="51335ED5">
                  <w:pPr>
                    <w:adjustRightInd w:val="0"/>
                    <w:snapToGrid w:val="0"/>
                    <w:spacing w:line="240" w:lineRule="exact"/>
                    <w:jc w:val="center"/>
                    <w:rPr>
                      <w:bCs/>
                      <w:color w:val="auto"/>
                      <w:szCs w:val="21"/>
                    </w:rPr>
                  </w:pPr>
                  <w:r>
                    <w:rPr>
                      <w:rFonts w:hint="eastAsia"/>
                      <w:color w:val="auto"/>
                      <w:szCs w:val="21"/>
                      <w:lang w:val="en-US" w:eastAsia="zh-CN"/>
                    </w:rPr>
                    <w:t>覆膜袋式除尘器</w:t>
                  </w:r>
                  <w:r>
                    <w:rPr>
                      <w:color w:val="auto"/>
                      <w:szCs w:val="21"/>
                    </w:rPr>
                    <w:t>处理后15m排气筒排放</w:t>
                  </w:r>
                </w:p>
              </w:tc>
              <w:tc>
                <w:tcPr>
                  <w:tcW w:w="569" w:type="dxa"/>
                  <w:tcBorders>
                    <w:tl2br w:val="nil"/>
                    <w:tr2bl w:val="nil"/>
                  </w:tcBorders>
                  <w:noWrap w:val="0"/>
                  <w:vAlign w:val="center"/>
                </w:tcPr>
                <w:p w14:paraId="20CE0ADC">
                  <w:pPr>
                    <w:spacing w:line="340" w:lineRule="exact"/>
                    <w:jc w:val="center"/>
                    <w:rPr>
                      <w:rFonts w:hint="default" w:eastAsia="等线"/>
                      <w:color w:val="auto"/>
                      <w:kern w:val="0"/>
                      <w:szCs w:val="21"/>
                      <w:lang w:val="en-US" w:eastAsia="zh-CN"/>
                    </w:rPr>
                  </w:pPr>
                  <w:r>
                    <w:rPr>
                      <w:rFonts w:hint="eastAsia" w:eastAsia="等线"/>
                      <w:color w:val="auto"/>
                      <w:kern w:val="0"/>
                      <w:szCs w:val="21"/>
                      <w:lang w:val="en-US" w:eastAsia="zh-CN"/>
                    </w:rPr>
                    <w:t>7.5</w:t>
                  </w:r>
                </w:p>
              </w:tc>
              <w:tc>
                <w:tcPr>
                  <w:tcW w:w="750" w:type="dxa"/>
                  <w:tcBorders>
                    <w:tl2br w:val="nil"/>
                    <w:tr2bl w:val="nil"/>
                  </w:tcBorders>
                  <w:noWrap w:val="0"/>
                  <w:vAlign w:val="center"/>
                </w:tcPr>
                <w:p w14:paraId="34AA61FF">
                  <w:pPr>
                    <w:spacing w:line="340" w:lineRule="exact"/>
                    <w:jc w:val="center"/>
                    <w:rPr>
                      <w:rFonts w:hint="default" w:eastAsia="等线"/>
                      <w:color w:val="auto"/>
                      <w:szCs w:val="21"/>
                      <w:lang w:val="en-US" w:eastAsia="zh-CN"/>
                    </w:rPr>
                  </w:pPr>
                  <w:r>
                    <w:rPr>
                      <w:rFonts w:hint="eastAsia" w:eastAsia="等线"/>
                      <w:color w:val="auto"/>
                      <w:szCs w:val="21"/>
                      <w:lang w:val="en-US" w:eastAsia="zh-CN"/>
                    </w:rPr>
                    <w:t>0.018</w:t>
                  </w:r>
                </w:p>
              </w:tc>
              <w:tc>
                <w:tcPr>
                  <w:tcW w:w="956" w:type="dxa"/>
                  <w:tcBorders>
                    <w:tl2br w:val="nil"/>
                    <w:tr2bl w:val="nil"/>
                  </w:tcBorders>
                  <w:noWrap w:val="0"/>
                  <w:vAlign w:val="center"/>
                </w:tcPr>
                <w:p w14:paraId="446AA27B">
                  <w:pPr>
                    <w:spacing w:line="340" w:lineRule="exact"/>
                    <w:jc w:val="center"/>
                    <w:rPr>
                      <w:rFonts w:hint="default" w:eastAsia="等线"/>
                      <w:color w:val="auto"/>
                      <w:szCs w:val="21"/>
                      <w:lang w:val="en-US" w:eastAsia="zh-CN"/>
                    </w:rPr>
                  </w:pPr>
                  <w:r>
                    <w:rPr>
                      <w:rFonts w:hint="eastAsia" w:eastAsia="等线"/>
                      <w:color w:val="auto"/>
                      <w:szCs w:val="21"/>
                      <w:lang w:val="en-US" w:eastAsia="zh-CN"/>
                    </w:rPr>
                    <w:t>0.01154</w:t>
                  </w:r>
                </w:p>
              </w:tc>
              <w:tc>
                <w:tcPr>
                  <w:tcW w:w="823" w:type="dxa"/>
                  <w:tcBorders>
                    <w:tl2br w:val="nil"/>
                    <w:tr2bl w:val="nil"/>
                  </w:tcBorders>
                  <w:noWrap w:val="0"/>
                  <w:vAlign w:val="center"/>
                </w:tcPr>
                <w:p w14:paraId="78647BE8">
                  <w:pPr>
                    <w:adjustRightInd w:val="0"/>
                    <w:snapToGrid w:val="0"/>
                    <w:spacing w:line="240" w:lineRule="exact"/>
                    <w:jc w:val="center"/>
                    <w:rPr>
                      <w:rFonts w:hint="default" w:eastAsia="宋体"/>
                      <w:bCs/>
                      <w:color w:val="auto"/>
                      <w:szCs w:val="21"/>
                      <w:lang w:val="en-US" w:eastAsia="zh-CN"/>
                    </w:rPr>
                  </w:pPr>
                  <w:r>
                    <w:rPr>
                      <w:rFonts w:hint="eastAsia"/>
                      <w:bCs/>
                      <w:color w:val="auto"/>
                      <w:szCs w:val="21"/>
                      <w:lang w:val="en-US" w:eastAsia="zh-CN"/>
                    </w:rPr>
                    <w:t>DA001排气筒</w:t>
                  </w:r>
                </w:p>
              </w:tc>
              <w:tc>
                <w:tcPr>
                  <w:tcW w:w="460" w:type="dxa"/>
                  <w:tcBorders>
                    <w:tl2br w:val="nil"/>
                    <w:tr2bl w:val="nil"/>
                  </w:tcBorders>
                  <w:noWrap w:val="0"/>
                  <w:vAlign w:val="center"/>
                </w:tcPr>
                <w:p w14:paraId="20006595">
                  <w:pPr>
                    <w:adjustRightInd w:val="0"/>
                    <w:snapToGrid w:val="0"/>
                    <w:spacing w:line="240" w:lineRule="exact"/>
                    <w:jc w:val="center"/>
                    <w:rPr>
                      <w:bCs/>
                      <w:color w:val="auto"/>
                      <w:szCs w:val="21"/>
                    </w:rPr>
                  </w:pPr>
                  <w:r>
                    <w:rPr>
                      <w:bCs/>
                      <w:color w:val="auto"/>
                      <w:szCs w:val="21"/>
                    </w:rPr>
                    <w:t>15</w:t>
                  </w:r>
                </w:p>
              </w:tc>
              <w:tc>
                <w:tcPr>
                  <w:tcW w:w="520" w:type="dxa"/>
                  <w:tcBorders>
                    <w:tl2br w:val="nil"/>
                    <w:tr2bl w:val="nil"/>
                  </w:tcBorders>
                  <w:noWrap w:val="0"/>
                  <w:vAlign w:val="center"/>
                </w:tcPr>
                <w:p w14:paraId="3EC07ACA">
                  <w:pPr>
                    <w:widowControl/>
                    <w:snapToGrid w:val="0"/>
                    <w:spacing w:line="240" w:lineRule="atLeast"/>
                    <w:jc w:val="center"/>
                    <w:rPr>
                      <w:rFonts w:hint="eastAsia"/>
                      <w:bCs/>
                      <w:color w:val="auto"/>
                      <w:szCs w:val="21"/>
                    </w:rPr>
                  </w:pPr>
                  <w:r>
                    <w:rPr>
                      <w:color w:val="auto"/>
                      <w:szCs w:val="21"/>
                    </w:rPr>
                    <w:t>0.</w:t>
                  </w:r>
                  <w:r>
                    <w:rPr>
                      <w:rFonts w:hint="eastAsia"/>
                      <w:color w:val="auto"/>
                      <w:szCs w:val="21"/>
                    </w:rPr>
                    <w:t>3</w:t>
                  </w:r>
                </w:p>
              </w:tc>
              <w:tc>
                <w:tcPr>
                  <w:tcW w:w="556" w:type="dxa"/>
                  <w:tcBorders>
                    <w:tl2br w:val="nil"/>
                    <w:tr2bl w:val="nil"/>
                  </w:tcBorders>
                  <w:noWrap w:val="0"/>
                  <w:vAlign w:val="center"/>
                </w:tcPr>
                <w:p w14:paraId="6FB1039D">
                  <w:pPr>
                    <w:adjustRightInd w:val="0"/>
                    <w:snapToGrid w:val="0"/>
                    <w:spacing w:line="240" w:lineRule="exact"/>
                    <w:jc w:val="center"/>
                    <w:rPr>
                      <w:rFonts w:hint="eastAsia" w:eastAsia="宋体"/>
                      <w:bCs/>
                      <w:color w:val="auto"/>
                      <w:szCs w:val="21"/>
                      <w:lang w:eastAsia="zh-CN"/>
                    </w:rPr>
                  </w:pPr>
                  <w:r>
                    <w:rPr>
                      <w:bCs/>
                      <w:color w:val="auto"/>
                      <w:szCs w:val="21"/>
                    </w:rPr>
                    <w:t>2</w:t>
                  </w:r>
                  <w:r>
                    <w:rPr>
                      <w:rFonts w:hint="eastAsia"/>
                      <w:bCs/>
                      <w:color w:val="auto"/>
                      <w:szCs w:val="21"/>
                      <w:lang w:val="en-US" w:eastAsia="zh-CN"/>
                    </w:rPr>
                    <w:t>5</w:t>
                  </w:r>
                </w:p>
              </w:tc>
              <w:tc>
                <w:tcPr>
                  <w:tcW w:w="606" w:type="dxa"/>
                  <w:tcBorders>
                    <w:tl2br w:val="nil"/>
                    <w:tr2bl w:val="nil"/>
                  </w:tcBorders>
                  <w:noWrap w:val="0"/>
                  <w:vAlign w:val="center"/>
                </w:tcPr>
                <w:p w14:paraId="39BF47B8">
                  <w:pPr>
                    <w:adjustRightInd w:val="0"/>
                    <w:snapToGrid w:val="0"/>
                    <w:spacing w:line="240" w:lineRule="exact"/>
                    <w:jc w:val="center"/>
                    <w:rPr>
                      <w:bCs/>
                      <w:color w:val="auto"/>
                      <w:szCs w:val="21"/>
                    </w:rPr>
                  </w:pPr>
                  <w:r>
                    <w:rPr>
                      <w:bCs/>
                      <w:color w:val="auto"/>
                      <w:szCs w:val="21"/>
                    </w:rPr>
                    <w:t>一般排放口</w:t>
                  </w:r>
                </w:p>
              </w:tc>
              <w:tc>
                <w:tcPr>
                  <w:tcW w:w="955" w:type="dxa"/>
                  <w:tcBorders>
                    <w:tl2br w:val="nil"/>
                    <w:tr2bl w:val="nil"/>
                  </w:tcBorders>
                  <w:noWrap w:val="0"/>
                  <w:vAlign w:val="center"/>
                </w:tcPr>
                <w:p w14:paraId="3EFE5D37">
                  <w:pPr>
                    <w:adjustRightInd w:val="0"/>
                    <w:snapToGrid w:val="0"/>
                    <w:jc w:val="center"/>
                    <w:rPr>
                      <w:bCs/>
                      <w:color w:val="auto"/>
                      <w:szCs w:val="21"/>
                    </w:rPr>
                  </w:pPr>
                  <w:r>
                    <w:rPr>
                      <w:bCs/>
                      <w:color w:val="auto"/>
                      <w:szCs w:val="21"/>
                    </w:rPr>
                    <w:t>E：</w:t>
                  </w:r>
                  <w:r>
                    <w:rPr>
                      <w:rFonts w:hint="eastAsia" w:ascii="Times New Roman" w:hAnsi="Times New Roman" w:eastAsia="宋体" w:cs="Times New Roman"/>
                      <w:sz w:val="21"/>
                      <w:szCs w:val="21"/>
                      <w:lang w:val="en-US" w:eastAsia="zh-CN"/>
                    </w:rPr>
                    <w:t>111°19′36.830″</w:t>
                  </w:r>
                </w:p>
                <w:p w14:paraId="433E3E38">
                  <w:pPr>
                    <w:adjustRightInd w:val="0"/>
                    <w:snapToGrid w:val="0"/>
                    <w:spacing w:line="240" w:lineRule="exact"/>
                    <w:jc w:val="center"/>
                    <w:rPr>
                      <w:bCs/>
                      <w:color w:val="0000FF"/>
                      <w:szCs w:val="21"/>
                    </w:rPr>
                  </w:pPr>
                  <w:r>
                    <w:rPr>
                      <w:bCs/>
                      <w:color w:val="auto"/>
                      <w:szCs w:val="21"/>
                    </w:rPr>
                    <w:t>N：</w:t>
                  </w:r>
                  <w:r>
                    <w:rPr>
                      <w:rFonts w:hint="eastAsia" w:ascii="Times New Roman" w:hAnsi="Times New Roman" w:eastAsia="宋体" w:cs="Times New Roman"/>
                      <w:sz w:val="21"/>
                      <w:szCs w:val="21"/>
                      <w:lang w:val="en-US" w:eastAsia="zh-CN"/>
                    </w:rPr>
                    <w:t>33°55′58.750″</w:t>
                  </w:r>
                </w:p>
              </w:tc>
              <w:tc>
                <w:tcPr>
                  <w:tcW w:w="533" w:type="dxa"/>
                  <w:tcBorders>
                    <w:tl2br w:val="nil"/>
                    <w:tr2bl w:val="nil"/>
                  </w:tcBorders>
                  <w:noWrap w:val="0"/>
                  <w:vAlign w:val="center"/>
                </w:tcPr>
                <w:p w14:paraId="00F85A62">
                  <w:pPr>
                    <w:widowControl/>
                    <w:snapToGrid w:val="0"/>
                    <w:spacing w:line="240" w:lineRule="atLeast"/>
                    <w:jc w:val="center"/>
                    <w:textAlignment w:val="center"/>
                    <w:rPr>
                      <w:rFonts w:hint="default" w:eastAsia="宋体"/>
                      <w:bCs/>
                      <w:color w:val="auto"/>
                      <w:szCs w:val="21"/>
                      <w:lang w:val="en-US" w:eastAsia="zh-CN"/>
                    </w:rPr>
                  </w:pPr>
                  <w:r>
                    <w:rPr>
                      <w:rFonts w:hint="eastAsia"/>
                      <w:color w:val="auto"/>
                      <w:szCs w:val="21"/>
                      <w:lang w:val="en-US" w:eastAsia="zh-CN"/>
                    </w:rPr>
                    <w:t>10</w:t>
                  </w:r>
                </w:p>
              </w:tc>
              <w:tc>
                <w:tcPr>
                  <w:tcW w:w="532" w:type="dxa"/>
                  <w:tcBorders>
                    <w:tl2br w:val="nil"/>
                    <w:tr2bl w:val="nil"/>
                  </w:tcBorders>
                  <w:noWrap w:val="0"/>
                  <w:vAlign w:val="center"/>
                </w:tcPr>
                <w:p w14:paraId="3AC0332E">
                  <w:pPr>
                    <w:snapToGrid w:val="0"/>
                    <w:spacing w:line="240" w:lineRule="atLeast"/>
                    <w:jc w:val="center"/>
                    <w:rPr>
                      <w:rFonts w:hint="eastAsia" w:eastAsia="宋体"/>
                      <w:bCs/>
                      <w:color w:val="auto"/>
                      <w:szCs w:val="21"/>
                      <w:lang w:eastAsia="zh-CN"/>
                    </w:rPr>
                  </w:pPr>
                  <w:r>
                    <w:rPr>
                      <w:rFonts w:hint="eastAsia"/>
                      <w:color w:val="auto"/>
                      <w:szCs w:val="21"/>
                      <w:lang w:val="en-US" w:eastAsia="zh-CN"/>
                    </w:rPr>
                    <w:t>/</w:t>
                  </w:r>
                </w:p>
              </w:tc>
            </w:tr>
          </w:tbl>
          <w:p w14:paraId="2FBC0FE8">
            <w:pPr>
              <w:spacing w:line="360" w:lineRule="auto"/>
              <w:rPr>
                <w:rFonts w:hint="eastAsia" w:ascii="Times New Roman" w:hAnsi="Times New Roman" w:eastAsia="宋体" w:cs="Times New Roman"/>
                <w:color w:val="0000FF"/>
                <w:sz w:val="24"/>
                <w:lang w:val="en-US" w:eastAsia="zh-CN"/>
              </w:rPr>
            </w:pPr>
          </w:p>
        </w:tc>
      </w:tr>
    </w:tbl>
    <w:p w14:paraId="6CB14FB3">
      <w:pPr>
        <w:adjustRightInd w:val="0"/>
        <w:snapToGrid w:val="0"/>
        <w:spacing w:line="440" w:lineRule="exact"/>
        <w:ind w:firstLine="420" w:firstLineChars="200"/>
        <w:sectPr>
          <w:pgSz w:w="16840" w:h="11907" w:orient="landscape"/>
          <w:pgMar w:top="1361" w:right="1247" w:bottom="1361" w:left="1332" w:header="851" w:footer="851" w:gutter="0"/>
          <w:pgBorders>
            <w:top w:val="none" w:sz="0" w:space="0"/>
            <w:left w:val="none" w:sz="0" w:space="0"/>
            <w:bottom w:val="none" w:sz="0" w:space="0"/>
            <w:right w:val="none" w:sz="0" w:space="0"/>
          </w:pgBorders>
          <w:cols w:space="720" w:num="1"/>
          <w:docGrid w:linePitch="312" w:charSpace="0"/>
        </w:sectPr>
      </w:pPr>
    </w:p>
    <w:tbl>
      <w:tblPr>
        <w:tblStyle w:val="31"/>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3"/>
        <w:gridCol w:w="8588"/>
      </w:tblGrid>
      <w:tr w14:paraId="52D7E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2" w:hRule="atLeast"/>
          <w:jc w:val="center"/>
        </w:trPr>
        <w:tc>
          <w:tcPr>
            <w:tcW w:w="393" w:type="dxa"/>
            <w:noWrap w:val="0"/>
            <w:tcMar>
              <w:left w:w="28" w:type="dxa"/>
              <w:right w:w="28" w:type="dxa"/>
            </w:tcMar>
            <w:vAlign w:val="center"/>
          </w:tcPr>
          <w:p w14:paraId="7E234CA3">
            <w:pPr>
              <w:adjustRightInd w:val="0"/>
              <w:snapToGrid w:val="0"/>
              <w:spacing w:line="360" w:lineRule="auto"/>
              <w:jc w:val="center"/>
              <w:rPr>
                <w:rFonts w:ascii="宋体" w:hAnsi="宋体" w:cs="宋体"/>
                <w:bCs/>
                <w:sz w:val="24"/>
              </w:rPr>
            </w:pPr>
            <w:r>
              <w:rPr>
                <w:rFonts w:hint="eastAsia" w:ascii="宋体" w:hAnsi="宋体" w:cs="宋体"/>
                <w:bCs/>
                <w:sz w:val="24"/>
              </w:rPr>
              <w:t>运营</w:t>
            </w:r>
          </w:p>
          <w:p w14:paraId="1CECD328">
            <w:pPr>
              <w:adjustRightInd w:val="0"/>
              <w:snapToGrid w:val="0"/>
              <w:spacing w:line="360" w:lineRule="auto"/>
              <w:jc w:val="center"/>
              <w:rPr>
                <w:rFonts w:ascii="宋体" w:hAnsi="宋体" w:cs="宋体"/>
                <w:bCs/>
                <w:sz w:val="24"/>
              </w:rPr>
            </w:pPr>
            <w:r>
              <w:rPr>
                <w:rFonts w:hint="eastAsia" w:ascii="宋体" w:hAnsi="宋体" w:cs="宋体"/>
                <w:bCs/>
                <w:sz w:val="24"/>
              </w:rPr>
              <w:t>期环</w:t>
            </w:r>
          </w:p>
          <w:p w14:paraId="6FE4739D">
            <w:pPr>
              <w:adjustRightInd w:val="0"/>
              <w:snapToGrid w:val="0"/>
              <w:spacing w:line="360" w:lineRule="auto"/>
              <w:jc w:val="center"/>
              <w:rPr>
                <w:rFonts w:ascii="宋体" w:hAnsi="宋体" w:cs="宋体"/>
                <w:bCs/>
                <w:sz w:val="24"/>
              </w:rPr>
            </w:pPr>
            <w:r>
              <w:rPr>
                <w:rFonts w:hint="eastAsia" w:ascii="宋体" w:hAnsi="宋体" w:cs="宋体"/>
                <w:bCs/>
                <w:sz w:val="24"/>
              </w:rPr>
              <w:t>境影</w:t>
            </w:r>
          </w:p>
          <w:p w14:paraId="1905DA21">
            <w:pPr>
              <w:adjustRightInd w:val="0"/>
              <w:snapToGrid w:val="0"/>
              <w:spacing w:line="360" w:lineRule="auto"/>
              <w:jc w:val="center"/>
              <w:rPr>
                <w:rFonts w:ascii="宋体" w:hAnsi="宋体" w:cs="宋体"/>
                <w:bCs/>
                <w:sz w:val="24"/>
              </w:rPr>
            </w:pPr>
            <w:r>
              <w:rPr>
                <w:rFonts w:hint="eastAsia" w:ascii="宋体" w:hAnsi="宋体" w:cs="宋体"/>
                <w:bCs/>
                <w:sz w:val="24"/>
              </w:rPr>
              <w:t>响和</w:t>
            </w:r>
          </w:p>
          <w:p w14:paraId="5F4A60C3">
            <w:pPr>
              <w:adjustRightInd w:val="0"/>
              <w:snapToGrid w:val="0"/>
              <w:spacing w:line="360" w:lineRule="auto"/>
              <w:jc w:val="center"/>
              <w:rPr>
                <w:rFonts w:ascii="宋体" w:hAnsi="宋体" w:cs="宋体"/>
                <w:bCs/>
                <w:sz w:val="24"/>
              </w:rPr>
            </w:pPr>
            <w:r>
              <w:rPr>
                <w:rFonts w:hint="eastAsia" w:ascii="宋体" w:hAnsi="宋体" w:cs="宋体"/>
                <w:bCs/>
                <w:sz w:val="24"/>
              </w:rPr>
              <w:t>保护</w:t>
            </w:r>
          </w:p>
          <w:p w14:paraId="055D7E14">
            <w:pPr>
              <w:adjustRightInd w:val="0"/>
              <w:snapToGrid w:val="0"/>
              <w:spacing w:line="360" w:lineRule="auto"/>
              <w:jc w:val="center"/>
              <w:rPr>
                <w:rFonts w:ascii="宋体" w:hAnsi="宋体" w:cs="宋体"/>
                <w:bCs/>
                <w:sz w:val="24"/>
              </w:rPr>
            </w:pPr>
            <w:r>
              <w:rPr>
                <w:rFonts w:hint="eastAsia" w:ascii="宋体" w:hAnsi="宋体" w:cs="宋体"/>
                <w:bCs/>
                <w:sz w:val="24"/>
              </w:rPr>
              <w:t>措施</w:t>
            </w:r>
          </w:p>
        </w:tc>
        <w:tc>
          <w:tcPr>
            <w:tcW w:w="8588" w:type="dxa"/>
            <w:noWrap w:val="0"/>
            <w:vAlign w:val="center"/>
          </w:tcPr>
          <w:p w14:paraId="5065DA54">
            <w:pPr>
              <w:autoSpaceDE w:val="0"/>
              <w:autoSpaceDN w:val="0"/>
              <w:spacing w:line="360" w:lineRule="auto"/>
              <w:jc w:val="left"/>
              <w:rPr>
                <w:b/>
                <w:bCs/>
                <w:sz w:val="24"/>
              </w:rPr>
            </w:pPr>
            <w:r>
              <w:rPr>
                <w:b/>
                <w:bCs/>
                <w:sz w:val="24"/>
              </w:rPr>
              <w:t>1.</w:t>
            </w:r>
            <w:r>
              <w:rPr>
                <w:rFonts w:hint="eastAsia"/>
                <w:b/>
                <w:bCs/>
                <w:sz w:val="24"/>
              </w:rPr>
              <w:t>2</w:t>
            </w:r>
            <w:r>
              <w:rPr>
                <w:rFonts w:hint="eastAsia"/>
                <w:b/>
                <w:bCs/>
                <w:sz w:val="24"/>
                <w:lang w:val="en-US" w:eastAsia="zh-CN"/>
              </w:rPr>
              <w:t xml:space="preserve"> 废气污染产排情况</w:t>
            </w:r>
          </w:p>
          <w:p w14:paraId="67B26F0D">
            <w:pPr>
              <w:autoSpaceDE w:val="0"/>
              <w:autoSpaceDN w:val="0"/>
              <w:spacing w:line="360" w:lineRule="auto"/>
              <w:ind w:firstLine="480" w:firstLineChars="200"/>
              <w:rPr>
                <w:rFonts w:hint="default"/>
                <w:sz w:val="24"/>
                <w:lang w:val="en-US"/>
              </w:rPr>
            </w:pPr>
            <w:r>
              <w:rPr>
                <w:rFonts w:hint="eastAsia"/>
                <w:sz w:val="24"/>
                <w:u w:val="single"/>
                <w:lang w:val="en-US" w:eastAsia="zh-CN"/>
              </w:rPr>
              <w:t>本项目运营期废气主要为水泥罐入料粉尘。搅拌工序中尾砂通过浓密机底部输送系统进入搅拌机内，水泥经密闭螺旋输送机输送至搅拌机内，搅拌机为全封闭设备，投料及搅拌过程均在密闭条件下进行，过程中不会产生粉尘，因此，不再考虑搅拌过程粉尘</w:t>
            </w:r>
            <w:r>
              <w:rPr>
                <w:rFonts w:hint="eastAsia"/>
                <w:sz w:val="24"/>
                <w:lang w:val="en-US" w:eastAsia="zh-CN"/>
              </w:rPr>
              <w:t>。</w:t>
            </w:r>
          </w:p>
          <w:p w14:paraId="7427F5A4">
            <w:pPr>
              <w:autoSpaceDE w:val="0"/>
              <w:autoSpaceDN w:val="0"/>
              <w:spacing w:line="360" w:lineRule="auto"/>
              <w:ind w:firstLine="480" w:firstLineChars="200"/>
              <w:rPr>
                <w:rFonts w:hint="eastAsia"/>
                <w:sz w:val="24"/>
              </w:rPr>
            </w:pPr>
            <w:r>
              <w:rPr>
                <w:rFonts w:hint="eastAsia"/>
                <w:sz w:val="24"/>
              </w:rPr>
              <w:t>各环节污染物产生量及采取措施如下：</w:t>
            </w:r>
          </w:p>
          <w:p w14:paraId="05FF536F">
            <w:pPr>
              <w:numPr>
                <w:ilvl w:val="0"/>
                <w:numId w:val="18"/>
              </w:numPr>
              <w:autoSpaceDE w:val="0"/>
              <w:autoSpaceDN w:val="0"/>
              <w:spacing w:line="360" w:lineRule="auto"/>
              <w:ind w:leftChars="228"/>
              <w:rPr>
                <w:rFonts w:hint="eastAsia"/>
                <w:sz w:val="24"/>
                <w:lang w:val="en-US" w:eastAsia="zh-CN"/>
              </w:rPr>
            </w:pPr>
            <w:r>
              <w:rPr>
                <w:rFonts w:hint="eastAsia"/>
                <w:sz w:val="24"/>
                <w:lang w:val="en-US" w:eastAsia="zh-CN"/>
              </w:rPr>
              <w:t>水泥仓入料粉尘</w:t>
            </w:r>
            <w:r>
              <w:rPr>
                <w:rFonts w:hint="eastAsia"/>
                <w:sz w:val="24"/>
                <w:lang w:val="en-US" w:eastAsia="zh-CN"/>
              </w:rPr>
              <w:br w:type="textWrapping"/>
            </w:r>
            <w:r>
              <w:rPr>
                <w:rFonts w:hint="eastAsia"/>
                <w:sz w:val="24"/>
                <w:lang w:val="en-US" w:eastAsia="zh-CN"/>
              </w:rPr>
              <w:t>本项目设置1个水泥罐，水泥仓容重为300t，项目原料水泥由专用罐车运输，</w:t>
            </w:r>
          </w:p>
          <w:p w14:paraId="6FDE242D">
            <w:pPr>
              <w:numPr>
                <w:ilvl w:val="0"/>
                <w:numId w:val="0"/>
              </w:numPr>
              <w:autoSpaceDE w:val="0"/>
              <w:autoSpaceDN w:val="0"/>
              <w:spacing w:line="360" w:lineRule="auto"/>
              <w:rPr>
                <w:rFonts w:hint="eastAsia"/>
                <w:sz w:val="24"/>
                <w:lang w:val="en-US" w:eastAsia="zh-CN"/>
              </w:rPr>
            </w:pPr>
            <w:r>
              <w:rPr>
                <w:rFonts w:hint="eastAsia"/>
                <w:sz w:val="24"/>
                <w:lang w:val="en-US" w:eastAsia="zh-CN"/>
              </w:rPr>
              <w:t>入厂后经气泵充至水泥筒仓密闭储存，</w:t>
            </w:r>
            <w:r>
              <w:rPr>
                <w:rFonts w:ascii="宋体" w:hAnsi="宋体" w:eastAsia="宋体" w:cs="宋体"/>
                <w:spacing w:val="-1"/>
                <w:sz w:val="24"/>
                <w:szCs w:val="24"/>
              </w:rPr>
              <w:t>根</w:t>
            </w:r>
            <w:r>
              <w:rPr>
                <w:rFonts w:ascii="宋体" w:hAnsi="宋体" w:eastAsia="宋体" w:cs="宋体"/>
                <w:sz w:val="24"/>
                <w:szCs w:val="24"/>
              </w:rPr>
              <w:t>据《逸散性工业粉尘控制技术》</w:t>
            </w:r>
            <w:r>
              <w:rPr>
                <w:rFonts w:hint="eastAsia" w:ascii="宋体" w:hAnsi="宋体" w:cs="宋体"/>
                <w:sz w:val="24"/>
                <w:szCs w:val="24"/>
                <w:lang w:eastAsia="zh-CN"/>
              </w:rPr>
              <w:t>（</w:t>
            </w:r>
            <w:r>
              <w:rPr>
                <w:rFonts w:ascii="宋体" w:hAnsi="宋体" w:eastAsia="宋体" w:cs="宋体"/>
                <w:sz w:val="24"/>
                <w:szCs w:val="24"/>
              </w:rPr>
              <w:t>中国环境科学出版社，</w:t>
            </w:r>
            <w:r>
              <w:rPr>
                <w:rFonts w:ascii="Times New Roman" w:hAnsi="Times New Roman" w:eastAsia="Times New Roman" w:cs="Times New Roman"/>
                <w:sz w:val="24"/>
                <w:szCs w:val="24"/>
              </w:rPr>
              <w:t>1989</w:t>
            </w:r>
            <w:r>
              <w:rPr>
                <w:rFonts w:hint="eastAsia" w:eastAsia="宋体" w:cs="Times New Roman"/>
                <w:sz w:val="24"/>
                <w:szCs w:val="24"/>
                <w:lang w:eastAsia="zh-CN"/>
              </w:rPr>
              <w:t>）</w:t>
            </w:r>
            <w:r>
              <w:rPr>
                <w:rFonts w:ascii="宋体" w:hAnsi="宋体" w:eastAsia="宋体" w:cs="宋体"/>
                <w:sz w:val="24"/>
                <w:szCs w:val="24"/>
              </w:rPr>
              <w:t>第</w:t>
            </w:r>
            <w:r>
              <w:rPr>
                <w:rFonts w:hint="eastAsia" w:ascii="宋体" w:hAnsi="宋体" w:cs="宋体"/>
                <w:sz w:val="24"/>
                <w:szCs w:val="24"/>
                <w:lang w:val="en-US" w:eastAsia="zh-CN"/>
              </w:rPr>
              <w:t>十三</w:t>
            </w:r>
            <w:r>
              <w:rPr>
                <w:rFonts w:ascii="宋体" w:hAnsi="宋体" w:eastAsia="宋体" w:cs="宋体"/>
                <w:sz w:val="24"/>
                <w:szCs w:val="24"/>
              </w:rPr>
              <w:t>章</w:t>
            </w:r>
            <w:r>
              <w:rPr>
                <w:rFonts w:hint="eastAsia" w:ascii="宋体" w:hAnsi="宋体" w:cs="宋体"/>
                <w:sz w:val="24"/>
                <w:szCs w:val="24"/>
                <w:lang w:val="en-US" w:eastAsia="zh-CN"/>
              </w:rPr>
              <w:t>水泥</w:t>
            </w:r>
            <w:r>
              <w:rPr>
                <w:rFonts w:ascii="宋体" w:hAnsi="宋体" w:eastAsia="宋体" w:cs="宋体"/>
                <w:spacing w:val="8"/>
                <w:sz w:val="24"/>
                <w:szCs w:val="24"/>
              </w:rPr>
              <w:t>厂给出</w:t>
            </w:r>
            <w:r>
              <w:rPr>
                <w:rFonts w:hint="eastAsia" w:ascii="宋体" w:hAnsi="宋体" w:cs="宋体"/>
                <w:spacing w:val="8"/>
                <w:sz w:val="24"/>
                <w:szCs w:val="24"/>
                <w:lang w:val="en-US" w:eastAsia="zh-CN"/>
              </w:rPr>
              <w:t>的</w:t>
            </w:r>
            <w:r>
              <w:rPr>
                <w:rFonts w:ascii="宋体" w:hAnsi="宋体" w:eastAsia="宋体" w:cs="宋体"/>
                <w:spacing w:val="8"/>
                <w:sz w:val="24"/>
                <w:szCs w:val="24"/>
              </w:rPr>
              <w:t>卸水泥至料仓排气过程逸散性粉尘的排放因子为</w:t>
            </w:r>
            <w:r>
              <w:rPr>
                <w:rFonts w:hint="default" w:ascii="Times New Roman" w:hAnsi="Times New Roman" w:eastAsia="Times New Roman" w:cs="Times New Roman"/>
                <w:spacing w:val="-4"/>
                <w:sz w:val="24"/>
                <w:szCs w:val="24"/>
              </w:rPr>
              <w:t>0.1</w:t>
            </w:r>
            <w:r>
              <w:rPr>
                <w:rFonts w:hint="eastAsia" w:eastAsia="宋体" w:cs="Times New Roman"/>
                <w:spacing w:val="-4"/>
                <w:sz w:val="24"/>
                <w:szCs w:val="24"/>
                <w:lang w:val="en-US" w:eastAsia="zh-CN"/>
              </w:rPr>
              <w:t>18</w:t>
            </w:r>
            <w:r>
              <w:rPr>
                <w:rFonts w:hint="default" w:ascii="Times New Roman" w:hAnsi="Times New Roman" w:eastAsia="Times New Roman" w:cs="Times New Roman"/>
                <w:spacing w:val="-2"/>
                <w:sz w:val="24"/>
                <w:szCs w:val="24"/>
              </w:rPr>
              <w:t>kg</w:t>
            </w:r>
            <w:r>
              <w:rPr>
                <w:rFonts w:hint="default" w:ascii="Times New Roman" w:hAnsi="Times New Roman" w:eastAsia="Times New Roman" w:cs="Times New Roman"/>
                <w:spacing w:val="-4"/>
                <w:sz w:val="24"/>
                <w:szCs w:val="24"/>
              </w:rPr>
              <w:t>/</w:t>
            </w:r>
            <w:r>
              <w:rPr>
                <w:rFonts w:hint="default" w:ascii="Times New Roman" w:hAnsi="Times New Roman" w:eastAsia="Times New Roman" w:cs="Times New Roman"/>
                <w:spacing w:val="-2"/>
                <w:sz w:val="24"/>
                <w:szCs w:val="24"/>
              </w:rPr>
              <w:t xml:space="preserve">t </w:t>
            </w:r>
            <w:r>
              <w:rPr>
                <w:rFonts w:hint="default" w:ascii="Times New Roman" w:hAnsi="Times New Roman" w:eastAsia="宋体" w:cs="Times New Roman"/>
                <w:spacing w:val="-2"/>
                <w:sz w:val="24"/>
                <w:szCs w:val="24"/>
              </w:rPr>
              <w:t>，</w:t>
            </w:r>
            <w:r>
              <w:rPr>
                <w:rFonts w:hint="eastAsia" w:cs="Times New Roman"/>
                <w:spacing w:val="-2"/>
                <w:sz w:val="24"/>
                <w:szCs w:val="24"/>
                <w:lang w:val="en-US" w:eastAsia="zh-CN"/>
              </w:rPr>
              <w:t>本项目水泥总使用量为2.4446万</w:t>
            </w:r>
            <w:r>
              <w:rPr>
                <w:rFonts w:hint="eastAsia" w:ascii="Times New Roman" w:hAnsi="Times New Roman" w:eastAsia="宋体" w:cs="黑体"/>
                <w:sz w:val="24"/>
                <w:lang w:val="en-US" w:eastAsia="zh-CN"/>
              </w:rPr>
              <w:t>t/a</w:t>
            </w:r>
            <w:r>
              <w:rPr>
                <w:rFonts w:hint="eastAsia" w:cs="黑体"/>
                <w:sz w:val="24"/>
                <w:lang w:val="en-US" w:eastAsia="zh-CN"/>
              </w:rPr>
              <w:t>（81.49</w:t>
            </w:r>
            <w:r>
              <w:rPr>
                <w:rFonts w:hint="eastAsia" w:ascii="Times New Roman" w:hAnsi="Times New Roman" w:eastAsia="宋体" w:cs="黑体"/>
                <w:sz w:val="24"/>
                <w:lang w:val="en-US" w:eastAsia="zh-CN"/>
              </w:rPr>
              <w:t>t/d</w:t>
            </w:r>
            <w:r>
              <w:rPr>
                <w:rFonts w:hint="eastAsia" w:cs="黑体"/>
                <w:sz w:val="24"/>
                <w:lang w:val="en-US" w:eastAsia="zh-CN"/>
              </w:rPr>
              <w:t>）</w:t>
            </w:r>
            <w:r>
              <w:rPr>
                <w:rFonts w:hint="eastAsia" w:ascii="Times New Roman" w:hAnsi="Times New Roman" w:eastAsia="宋体" w:cs="黑体"/>
                <w:sz w:val="24"/>
                <w:lang w:val="en-US" w:eastAsia="zh-CN"/>
              </w:rPr>
              <w:t>，</w:t>
            </w:r>
            <w:r>
              <w:rPr>
                <w:rFonts w:hint="eastAsia" w:cs="Times New Roman"/>
                <w:spacing w:val="-2"/>
                <w:sz w:val="24"/>
                <w:szCs w:val="24"/>
                <w:lang w:val="en-US" w:eastAsia="zh-CN"/>
              </w:rPr>
              <w:t>则水泥罐上料粉尘产生量为2.885t/a。</w:t>
            </w:r>
            <w:r>
              <w:rPr>
                <w:rFonts w:hint="eastAsia"/>
                <w:color w:val="000000"/>
                <w:sz w:val="24"/>
                <w:szCs w:val="24"/>
                <w:u w:val="none"/>
                <w:lang w:val="en-US" w:eastAsia="zh-CN"/>
              </w:rPr>
              <w:t>根据建设单位提供建设方案可知，水泥罐单次进料量33t，平均每天进料2.5车次，每车次进料时间约50min，则水泥罐平均日上料时间为2.1h，则年上料时间为630h，</w:t>
            </w:r>
            <w:r>
              <w:rPr>
                <w:rFonts w:hint="default" w:ascii="Times New Roman" w:hAnsi="Times New Roman" w:eastAsia="宋体" w:cs="Times New Roman"/>
                <w:sz w:val="24"/>
                <w:szCs w:val="32"/>
                <w:u w:val="none"/>
                <w:lang w:val="en-US" w:eastAsia="zh-CN"/>
              </w:rPr>
              <w:t>项目采用单独除尘的方式对</w:t>
            </w:r>
            <w:r>
              <w:rPr>
                <w:rFonts w:hint="eastAsia" w:cs="Times New Roman"/>
                <w:sz w:val="24"/>
                <w:szCs w:val="32"/>
                <w:u w:val="none"/>
                <w:lang w:val="en-US" w:eastAsia="zh-CN"/>
              </w:rPr>
              <w:t>水泥罐</w:t>
            </w:r>
            <w:r>
              <w:rPr>
                <w:rFonts w:hint="default" w:ascii="Times New Roman" w:hAnsi="Times New Roman" w:eastAsia="宋体" w:cs="Times New Roman"/>
                <w:sz w:val="24"/>
                <w:szCs w:val="32"/>
                <w:u w:val="none"/>
                <w:lang w:val="en-US" w:eastAsia="zh-CN"/>
              </w:rPr>
              <w:t>的呼吸孔粉尘进行处理，</w:t>
            </w:r>
            <w:r>
              <w:rPr>
                <w:rFonts w:hint="eastAsia" w:cs="Times New Roman"/>
                <w:sz w:val="24"/>
                <w:szCs w:val="32"/>
                <w:u w:val="none"/>
                <w:lang w:val="en-US" w:eastAsia="zh-CN"/>
              </w:rPr>
              <w:t>水泥罐</w:t>
            </w:r>
            <w:r>
              <w:rPr>
                <w:rFonts w:hint="default" w:ascii="Times New Roman" w:hAnsi="Times New Roman" w:eastAsia="宋体" w:cs="Times New Roman"/>
                <w:sz w:val="24"/>
                <w:szCs w:val="32"/>
                <w:u w:val="none"/>
                <w:lang w:val="en-US" w:eastAsia="zh-CN"/>
              </w:rPr>
              <w:t>设置一台仓顶覆膜袋式除尘器，</w:t>
            </w:r>
            <w:r>
              <w:rPr>
                <w:rFonts w:hint="eastAsia" w:cs="Times New Roman"/>
                <w:sz w:val="24"/>
                <w:szCs w:val="32"/>
                <w:u w:val="none"/>
                <w:lang w:val="en-US" w:eastAsia="zh-CN"/>
              </w:rPr>
              <w:t>废气收集效率为100%，除尘器除尘效率为99.6%，除尘器配套的风机风量为</w:t>
            </w:r>
            <w:r>
              <w:rPr>
                <w:rFonts w:hint="eastAsia" w:cs="Times New Roman"/>
                <w:color w:val="auto"/>
                <w:sz w:val="24"/>
                <w:szCs w:val="32"/>
                <w:u w:val="none"/>
                <w:lang w:val="en-US" w:eastAsia="zh-CN"/>
              </w:rPr>
              <w:t>2400</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lang w:val="en-US" w:eastAsia="zh-CN"/>
              </w:rPr>
              <w:t>/h，</w:t>
            </w:r>
            <w:r>
              <w:rPr>
                <w:rFonts w:hint="eastAsia"/>
                <w:sz w:val="24"/>
                <w:lang w:val="en-US" w:eastAsia="zh-CN"/>
              </w:rPr>
              <w:t>水泥罐产生的粉尘经覆膜袋式除尘器处理后分别经15m高排气筒（DA001）排放。则水泥筒仓卸料过程的粉尘产排情况见下表。</w:t>
            </w:r>
          </w:p>
          <w:p w14:paraId="2ACDE0B2">
            <w:pPr>
              <w:pStyle w:val="119"/>
              <w:numPr>
                <w:ilvl w:val="0"/>
                <w:numId w:val="0"/>
              </w:numPr>
              <w:ind w:leftChars="0"/>
              <w:jc w:val="center"/>
              <w:rPr>
                <w:rFonts w:hint="default" w:ascii="黑体" w:hAnsi="黑体" w:eastAsia="黑体" w:cs="宋体"/>
                <w:bCs/>
                <w:color w:val="auto"/>
                <w:kern w:val="0"/>
                <w:sz w:val="24"/>
                <w:szCs w:val="24"/>
                <w:highlight w:val="none"/>
                <w:lang w:val="en-US" w:eastAsia="zh-CN" w:bidi="zh-CN"/>
              </w:rPr>
            </w:pPr>
            <w:r>
              <w:rPr>
                <w:rFonts w:hint="default" w:ascii="黑体" w:hAnsi="黑体" w:eastAsia="黑体" w:cs="宋体"/>
                <w:bCs/>
                <w:color w:val="auto"/>
                <w:kern w:val="0"/>
                <w:sz w:val="24"/>
                <w:szCs w:val="24"/>
                <w:highlight w:val="none"/>
                <w:lang w:val="en-US" w:eastAsia="zh-CN" w:bidi="zh-CN"/>
              </w:rPr>
              <w:t>表4-</w:t>
            </w:r>
            <w:r>
              <w:rPr>
                <w:rFonts w:hint="eastAsia" w:ascii="黑体" w:hAnsi="黑体" w:eastAsia="黑体" w:cs="宋体"/>
                <w:bCs/>
                <w:color w:val="auto"/>
                <w:kern w:val="0"/>
                <w:sz w:val="24"/>
                <w:szCs w:val="24"/>
                <w:highlight w:val="none"/>
                <w:lang w:val="en-US" w:eastAsia="zh-CN" w:bidi="zh-CN"/>
              </w:rPr>
              <w:t>2</w:t>
            </w:r>
            <w:r>
              <w:rPr>
                <w:rFonts w:hint="default" w:ascii="黑体" w:hAnsi="黑体" w:eastAsia="黑体" w:cs="宋体"/>
                <w:bCs/>
                <w:color w:val="auto"/>
                <w:kern w:val="0"/>
                <w:sz w:val="24"/>
                <w:szCs w:val="24"/>
                <w:highlight w:val="none"/>
                <w:lang w:val="en-US" w:eastAsia="zh-CN" w:bidi="zh-CN"/>
              </w:rPr>
              <w:t xml:space="preserve">   </w:t>
            </w:r>
            <w:r>
              <w:rPr>
                <w:rFonts w:hint="eastAsia" w:ascii="黑体" w:hAnsi="黑体" w:eastAsia="黑体" w:cs="宋体"/>
                <w:bCs/>
                <w:color w:val="auto"/>
                <w:kern w:val="0"/>
                <w:sz w:val="24"/>
                <w:szCs w:val="24"/>
                <w:highlight w:val="none"/>
                <w:lang w:val="en-US" w:eastAsia="zh-CN" w:bidi="zh-CN"/>
              </w:rPr>
              <w:t>水泥罐入</w:t>
            </w:r>
            <w:r>
              <w:rPr>
                <w:rFonts w:hint="default" w:ascii="黑体" w:hAnsi="黑体" w:eastAsia="黑体" w:cs="宋体"/>
                <w:bCs/>
                <w:color w:val="auto"/>
                <w:kern w:val="0"/>
                <w:sz w:val="24"/>
                <w:szCs w:val="24"/>
                <w:highlight w:val="none"/>
                <w:lang w:val="en-US" w:eastAsia="zh-CN" w:bidi="zh-CN"/>
              </w:rPr>
              <w:t>料过程废气产排情况一览表</w:t>
            </w:r>
          </w:p>
          <w:tbl>
            <w:tblPr>
              <w:tblStyle w:val="32"/>
              <w:tblW w:w="8311"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34"/>
              <w:gridCol w:w="821"/>
              <w:gridCol w:w="816"/>
              <w:gridCol w:w="792"/>
              <w:gridCol w:w="396"/>
              <w:gridCol w:w="1512"/>
              <w:gridCol w:w="929"/>
              <w:gridCol w:w="787"/>
              <w:gridCol w:w="672"/>
              <w:gridCol w:w="852"/>
            </w:tblGrid>
            <w:tr w14:paraId="1393C5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34" w:type="dxa"/>
                  <w:vMerge w:val="restart"/>
                  <w:tcBorders>
                    <w:tl2br w:val="nil"/>
                    <w:tr2bl w:val="nil"/>
                  </w:tcBorders>
                  <w:noWrap w:val="0"/>
                  <w:vAlign w:val="center"/>
                </w:tcPr>
                <w:p w14:paraId="4B0933C1">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default" w:ascii="Times New Roman" w:hAnsi="Times New Roman" w:eastAsia="宋体" w:cs="Times New Roman"/>
                      <w:b w:val="0"/>
                      <w:bCs w:val="0"/>
                      <w:kern w:val="0"/>
                      <w:sz w:val="21"/>
                      <w:szCs w:val="21"/>
                      <w:u w:val="none"/>
                      <w:vertAlign w:val="baseline"/>
                      <w:lang w:val="en-US" w:eastAsia="zh-CN"/>
                    </w:rPr>
                    <w:t>产污环节</w:t>
                  </w:r>
                </w:p>
              </w:tc>
              <w:tc>
                <w:tcPr>
                  <w:tcW w:w="821" w:type="dxa"/>
                  <w:vMerge w:val="restart"/>
                  <w:tcBorders>
                    <w:tl2br w:val="nil"/>
                    <w:tr2bl w:val="nil"/>
                  </w:tcBorders>
                  <w:noWrap w:val="0"/>
                  <w:vAlign w:val="center"/>
                </w:tcPr>
                <w:p w14:paraId="219E296F">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default" w:ascii="Times New Roman" w:hAnsi="Times New Roman" w:eastAsia="宋体" w:cs="Times New Roman"/>
                      <w:b w:val="0"/>
                      <w:bCs w:val="0"/>
                      <w:kern w:val="0"/>
                      <w:sz w:val="21"/>
                      <w:szCs w:val="21"/>
                      <w:u w:val="none"/>
                      <w:vertAlign w:val="baseline"/>
                      <w:lang w:val="en-US" w:eastAsia="zh-CN"/>
                    </w:rPr>
                    <w:t>颗粒物产生量（t/a）</w:t>
                  </w:r>
                </w:p>
              </w:tc>
              <w:tc>
                <w:tcPr>
                  <w:tcW w:w="816" w:type="dxa"/>
                  <w:vMerge w:val="restart"/>
                  <w:tcBorders>
                    <w:tl2br w:val="nil"/>
                    <w:tr2bl w:val="nil"/>
                  </w:tcBorders>
                  <w:noWrap w:val="0"/>
                  <w:vAlign w:val="center"/>
                </w:tcPr>
                <w:p w14:paraId="052FDBB9">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eastAsia" w:cs="Times New Roman"/>
                      <w:b w:val="0"/>
                      <w:bCs w:val="0"/>
                      <w:kern w:val="0"/>
                      <w:sz w:val="21"/>
                      <w:szCs w:val="21"/>
                      <w:u w:val="none"/>
                      <w:vertAlign w:val="baseline"/>
                      <w:lang w:val="en-US" w:eastAsia="zh-CN"/>
                    </w:rPr>
                    <w:t>产生浓度</w:t>
                  </w:r>
                  <w:r>
                    <w:rPr>
                      <w:rFonts w:hint="eastAsia" w:ascii="Times New Roman" w:hAnsi="Times New Roman" w:eastAsia="宋体" w:cs="Times New Roman"/>
                      <w:b w:val="0"/>
                      <w:bCs w:val="0"/>
                      <w:kern w:val="0"/>
                      <w:sz w:val="21"/>
                      <w:szCs w:val="21"/>
                      <w:u w:val="none"/>
                      <w:vertAlign w:val="baseline"/>
                      <w:lang w:val="en-US" w:eastAsia="zh-CN"/>
                    </w:rPr>
                    <w:t>（mg/m</w:t>
                  </w:r>
                  <w:r>
                    <w:rPr>
                      <w:rFonts w:hint="eastAsia" w:ascii="Times New Roman" w:hAnsi="Times New Roman" w:eastAsia="宋体" w:cs="Times New Roman"/>
                      <w:b w:val="0"/>
                      <w:bCs w:val="0"/>
                      <w:kern w:val="0"/>
                      <w:sz w:val="21"/>
                      <w:szCs w:val="21"/>
                      <w:u w:val="none"/>
                      <w:vertAlign w:val="superscript"/>
                      <w:lang w:val="en-US" w:eastAsia="zh-CN"/>
                    </w:rPr>
                    <w:t>3</w:t>
                  </w:r>
                  <w:r>
                    <w:rPr>
                      <w:rFonts w:hint="eastAsia" w:ascii="Times New Roman" w:hAnsi="Times New Roman" w:eastAsia="宋体" w:cs="Times New Roman"/>
                      <w:b w:val="0"/>
                      <w:bCs w:val="0"/>
                      <w:kern w:val="0"/>
                      <w:sz w:val="21"/>
                      <w:szCs w:val="21"/>
                      <w:u w:val="none"/>
                      <w:vertAlign w:val="baseline"/>
                      <w:lang w:val="en-US" w:eastAsia="zh-CN"/>
                    </w:rPr>
                    <w:t>）</w:t>
                  </w:r>
                </w:p>
              </w:tc>
              <w:tc>
                <w:tcPr>
                  <w:tcW w:w="792" w:type="dxa"/>
                  <w:vMerge w:val="restart"/>
                  <w:tcBorders>
                    <w:tl2br w:val="nil"/>
                    <w:tr2bl w:val="nil"/>
                  </w:tcBorders>
                  <w:noWrap w:val="0"/>
                  <w:vAlign w:val="center"/>
                </w:tcPr>
                <w:p w14:paraId="18836FCD">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eastAsia" w:cs="Times New Roman"/>
                      <w:b w:val="0"/>
                      <w:bCs w:val="0"/>
                      <w:kern w:val="0"/>
                      <w:sz w:val="21"/>
                      <w:szCs w:val="21"/>
                      <w:u w:val="none"/>
                      <w:vertAlign w:val="baseline"/>
                      <w:lang w:val="en-US" w:eastAsia="zh-CN"/>
                    </w:rPr>
                    <w:t>产生速率</w:t>
                  </w:r>
                  <w:r>
                    <w:rPr>
                      <w:rFonts w:hint="eastAsia" w:cs="Times New Roman"/>
                      <w:b w:val="0"/>
                      <w:bCs w:val="0"/>
                      <w:kern w:val="0"/>
                      <w:sz w:val="21"/>
                      <w:szCs w:val="21"/>
                      <w:u w:val="none"/>
                      <w:vertAlign w:val="baseline"/>
                      <w:lang w:val="en-US" w:eastAsia="zh-CN"/>
                    </w:rPr>
                    <w:br w:type="textWrapping"/>
                  </w:r>
                  <w:r>
                    <w:rPr>
                      <w:rFonts w:hint="default" w:ascii="Times New Roman" w:hAnsi="Times New Roman" w:eastAsia="宋体" w:cs="Times New Roman"/>
                      <w:b w:val="0"/>
                      <w:bCs w:val="0"/>
                      <w:kern w:val="0"/>
                      <w:sz w:val="21"/>
                      <w:szCs w:val="21"/>
                      <w:u w:val="none"/>
                      <w:vertAlign w:val="baseline"/>
                      <w:lang w:val="en-US" w:eastAsia="zh-CN"/>
                    </w:rPr>
                    <w:t>（</w:t>
                  </w:r>
                  <w:r>
                    <w:rPr>
                      <w:rFonts w:hint="eastAsia" w:ascii="Times New Roman" w:hAnsi="Times New Roman" w:eastAsia="宋体" w:cs="Times New Roman"/>
                      <w:b w:val="0"/>
                      <w:bCs w:val="0"/>
                      <w:kern w:val="0"/>
                      <w:sz w:val="21"/>
                      <w:szCs w:val="21"/>
                      <w:u w:val="none"/>
                      <w:vertAlign w:val="baseline"/>
                      <w:lang w:val="en-US" w:eastAsia="zh-CN"/>
                    </w:rPr>
                    <w:t>kg</w:t>
                  </w:r>
                  <w:r>
                    <w:rPr>
                      <w:rFonts w:hint="default" w:ascii="Times New Roman" w:hAnsi="Times New Roman" w:eastAsia="宋体" w:cs="Times New Roman"/>
                      <w:b w:val="0"/>
                      <w:bCs w:val="0"/>
                      <w:kern w:val="0"/>
                      <w:sz w:val="21"/>
                      <w:szCs w:val="21"/>
                      <w:u w:val="none"/>
                      <w:vertAlign w:val="baseline"/>
                      <w:lang w:val="en-US" w:eastAsia="zh-CN"/>
                    </w:rPr>
                    <w:t>/</w:t>
                  </w:r>
                  <w:r>
                    <w:rPr>
                      <w:rFonts w:hint="eastAsia" w:ascii="Times New Roman" w:hAnsi="Times New Roman" w:eastAsia="宋体" w:cs="Times New Roman"/>
                      <w:b w:val="0"/>
                      <w:bCs w:val="0"/>
                      <w:kern w:val="0"/>
                      <w:sz w:val="21"/>
                      <w:szCs w:val="21"/>
                      <w:u w:val="none"/>
                      <w:vertAlign w:val="baseline"/>
                      <w:lang w:val="en-US" w:eastAsia="zh-CN"/>
                    </w:rPr>
                    <w:t>h</w:t>
                  </w:r>
                  <w:r>
                    <w:rPr>
                      <w:rFonts w:hint="default" w:ascii="Times New Roman" w:hAnsi="Times New Roman" w:eastAsia="宋体" w:cs="Times New Roman"/>
                      <w:b w:val="0"/>
                      <w:bCs w:val="0"/>
                      <w:kern w:val="0"/>
                      <w:sz w:val="21"/>
                      <w:szCs w:val="21"/>
                      <w:u w:val="none"/>
                      <w:vertAlign w:val="baseline"/>
                      <w:lang w:val="en-US" w:eastAsia="zh-CN"/>
                    </w:rPr>
                    <w:t>）</w:t>
                  </w:r>
                </w:p>
              </w:tc>
              <w:tc>
                <w:tcPr>
                  <w:tcW w:w="396" w:type="dxa"/>
                  <w:vMerge w:val="restart"/>
                  <w:tcBorders>
                    <w:tl2br w:val="nil"/>
                    <w:tr2bl w:val="nil"/>
                  </w:tcBorders>
                  <w:noWrap w:val="0"/>
                  <w:vAlign w:val="center"/>
                </w:tcPr>
                <w:p w14:paraId="1A28E240">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cs="Times New Roman"/>
                      <w:b w:val="0"/>
                      <w:bCs w:val="0"/>
                      <w:kern w:val="0"/>
                      <w:sz w:val="21"/>
                      <w:szCs w:val="21"/>
                      <w:u w:val="none"/>
                      <w:vertAlign w:val="baseline"/>
                      <w:lang w:val="en-US" w:eastAsia="zh-CN"/>
                    </w:rPr>
                  </w:pPr>
                  <w:r>
                    <w:rPr>
                      <w:rFonts w:hint="eastAsia" w:cs="Times New Roman"/>
                      <w:b w:val="0"/>
                      <w:bCs w:val="0"/>
                      <w:kern w:val="0"/>
                      <w:sz w:val="21"/>
                      <w:szCs w:val="21"/>
                      <w:u w:val="none"/>
                      <w:vertAlign w:val="baseline"/>
                      <w:lang w:val="en-US" w:eastAsia="zh-CN"/>
                    </w:rPr>
                    <w:t>排放方式</w:t>
                  </w:r>
                </w:p>
              </w:tc>
              <w:tc>
                <w:tcPr>
                  <w:tcW w:w="1512" w:type="dxa"/>
                  <w:tcBorders>
                    <w:tl2br w:val="nil"/>
                    <w:tr2bl w:val="nil"/>
                  </w:tcBorders>
                  <w:noWrap w:val="0"/>
                  <w:vAlign w:val="center"/>
                </w:tcPr>
                <w:p w14:paraId="1297C230">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eastAsia" w:cs="Times New Roman"/>
                      <w:b w:val="0"/>
                      <w:bCs w:val="0"/>
                      <w:kern w:val="0"/>
                      <w:sz w:val="21"/>
                      <w:szCs w:val="21"/>
                      <w:u w:val="none"/>
                      <w:vertAlign w:val="baseline"/>
                      <w:lang w:val="en-US" w:eastAsia="zh-CN"/>
                    </w:rPr>
                    <w:t>治理措施</w:t>
                  </w:r>
                </w:p>
              </w:tc>
              <w:tc>
                <w:tcPr>
                  <w:tcW w:w="2388" w:type="dxa"/>
                  <w:gridSpan w:val="3"/>
                  <w:tcBorders>
                    <w:tl2br w:val="nil"/>
                    <w:tr2bl w:val="nil"/>
                  </w:tcBorders>
                  <w:noWrap w:val="0"/>
                  <w:vAlign w:val="center"/>
                </w:tcPr>
                <w:p w14:paraId="6C68BBE4">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default" w:ascii="Times New Roman" w:hAnsi="Times New Roman" w:eastAsia="宋体" w:cs="Times New Roman"/>
                      <w:b w:val="0"/>
                      <w:bCs w:val="0"/>
                      <w:kern w:val="0"/>
                      <w:sz w:val="21"/>
                      <w:szCs w:val="21"/>
                      <w:u w:val="none"/>
                      <w:vertAlign w:val="baseline"/>
                      <w:lang w:val="en-US" w:eastAsia="zh-CN"/>
                    </w:rPr>
                    <w:t>颗粒物排</w:t>
                  </w:r>
                  <w:r>
                    <w:rPr>
                      <w:rFonts w:hint="eastAsia" w:ascii="Times New Roman" w:hAnsi="Times New Roman" w:eastAsia="宋体" w:cs="Times New Roman"/>
                      <w:b w:val="0"/>
                      <w:bCs w:val="0"/>
                      <w:kern w:val="0"/>
                      <w:sz w:val="21"/>
                      <w:szCs w:val="21"/>
                      <w:u w:val="none"/>
                      <w:vertAlign w:val="baseline"/>
                      <w:lang w:val="en-US" w:eastAsia="zh-CN"/>
                    </w:rPr>
                    <w:t>放</w:t>
                  </w:r>
                  <w:r>
                    <w:rPr>
                      <w:rFonts w:hint="default" w:ascii="Times New Roman" w:hAnsi="Times New Roman" w:eastAsia="宋体" w:cs="Times New Roman"/>
                      <w:b w:val="0"/>
                      <w:bCs w:val="0"/>
                      <w:kern w:val="0"/>
                      <w:sz w:val="21"/>
                      <w:szCs w:val="21"/>
                      <w:u w:val="none"/>
                      <w:vertAlign w:val="baseline"/>
                      <w:lang w:val="en-US" w:eastAsia="zh-CN"/>
                    </w:rPr>
                    <w:t>情况</w:t>
                  </w:r>
                </w:p>
              </w:tc>
              <w:tc>
                <w:tcPr>
                  <w:tcW w:w="852" w:type="dxa"/>
                  <w:vMerge w:val="restart"/>
                  <w:tcBorders>
                    <w:tl2br w:val="nil"/>
                    <w:tr2bl w:val="nil"/>
                  </w:tcBorders>
                  <w:noWrap w:val="0"/>
                  <w:vAlign w:val="center"/>
                </w:tcPr>
                <w:p w14:paraId="4C8F0EA3">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r>
                    <w:rPr>
                      <w:rFonts w:hint="default" w:ascii="Times New Roman" w:hAnsi="Times New Roman" w:eastAsia="宋体" w:cs="Times New Roman"/>
                      <w:b w:val="0"/>
                      <w:bCs w:val="0"/>
                      <w:kern w:val="0"/>
                      <w:sz w:val="21"/>
                      <w:szCs w:val="21"/>
                      <w:u w:val="none"/>
                      <w:vertAlign w:val="baseline"/>
                      <w:lang w:val="en-US" w:eastAsia="zh-CN"/>
                    </w:rPr>
                    <w:t>排气筒</w:t>
                  </w:r>
                </w:p>
              </w:tc>
            </w:tr>
            <w:tr w14:paraId="04F70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34" w:type="dxa"/>
                  <w:vMerge w:val="continue"/>
                  <w:tcBorders>
                    <w:tl2br w:val="nil"/>
                    <w:tr2bl w:val="nil"/>
                  </w:tcBorders>
                  <w:noWrap w:val="0"/>
                  <w:vAlign w:val="center"/>
                </w:tcPr>
                <w:p w14:paraId="4C578072">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p>
              </w:tc>
              <w:tc>
                <w:tcPr>
                  <w:tcW w:w="821" w:type="dxa"/>
                  <w:vMerge w:val="continue"/>
                  <w:tcBorders>
                    <w:tl2br w:val="nil"/>
                    <w:tr2bl w:val="nil"/>
                  </w:tcBorders>
                  <w:noWrap w:val="0"/>
                  <w:vAlign w:val="center"/>
                </w:tcPr>
                <w:p w14:paraId="471209BC">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p>
              </w:tc>
              <w:tc>
                <w:tcPr>
                  <w:tcW w:w="816" w:type="dxa"/>
                  <w:vMerge w:val="continue"/>
                  <w:tcBorders>
                    <w:tl2br w:val="nil"/>
                    <w:tr2bl w:val="nil"/>
                  </w:tcBorders>
                  <w:noWrap w:val="0"/>
                  <w:vAlign w:val="center"/>
                </w:tcPr>
                <w:p w14:paraId="75875A6B">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p>
              </w:tc>
              <w:tc>
                <w:tcPr>
                  <w:tcW w:w="792" w:type="dxa"/>
                  <w:vMerge w:val="continue"/>
                  <w:tcBorders>
                    <w:tl2br w:val="nil"/>
                    <w:tr2bl w:val="nil"/>
                  </w:tcBorders>
                  <w:noWrap w:val="0"/>
                  <w:vAlign w:val="center"/>
                </w:tcPr>
                <w:p w14:paraId="06A50AF0">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p>
              </w:tc>
              <w:tc>
                <w:tcPr>
                  <w:tcW w:w="396" w:type="dxa"/>
                  <w:vMerge w:val="continue"/>
                  <w:tcBorders>
                    <w:tl2br w:val="nil"/>
                    <w:tr2bl w:val="nil"/>
                  </w:tcBorders>
                  <w:noWrap w:val="0"/>
                  <w:vAlign w:val="center"/>
                </w:tcPr>
                <w:p w14:paraId="6E7D21A7">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p>
              </w:tc>
              <w:tc>
                <w:tcPr>
                  <w:tcW w:w="1512" w:type="dxa"/>
                  <w:tcBorders>
                    <w:tl2br w:val="nil"/>
                    <w:tr2bl w:val="nil"/>
                  </w:tcBorders>
                  <w:noWrap w:val="0"/>
                  <w:vAlign w:val="center"/>
                </w:tcPr>
                <w:p w14:paraId="7552DBB3">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eastAsia" w:cs="Times New Roman"/>
                      <w:b w:val="0"/>
                      <w:bCs w:val="0"/>
                      <w:kern w:val="0"/>
                      <w:sz w:val="21"/>
                      <w:szCs w:val="21"/>
                      <w:u w:val="none"/>
                      <w:vertAlign w:val="baseline"/>
                      <w:lang w:val="en-US" w:eastAsia="zh-CN"/>
                    </w:rPr>
                    <w:t>处理能力、收集效率、去除率</w:t>
                  </w:r>
                </w:p>
              </w:tc>
              <w:tc>
                <w:tcPr>
                  <w:tcW w:w="929" w:type="dxa"/>
                  <w:tcBorders>
                    <w:tl2br w:val="nil"/>
                    <w:tr2bl w:val="nil"/>
                  </w:tcBorders>
                  <w:noWrap w:val="0"/>
                  <w:vAlign w:val="center"/>
                </w:tcPr>
                <w:p w14:paraId="1CE42BBD">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default" w:ascii="Times New Roman" w:hAnsi="Times New Roman" w:eastAsia="宋体" w:cs="Times New Roman"/>
                      <w:b w:val="0"/>
                      <w:bCs w:val="0"/>
                      <w:kern w:val="0"/>
                      <w:sz w:val="21"/>
                      <w:szCs w:val="21"/>
                      <w:u w:val="none"/>
                      <w:vertAlign w:val="baseline"/>
                      <w:lang w:val="en-US" w:eastAsia="zh-CN"/>
                    </w:rPr>
                    <w:t>排放量（t/a）</w:t>
                  </w:r>
                </w:p>
              </w:tc>
              <w:tc>
                <w:tcPr>
                  <w:tcW w:w="787" w:type="dxa"/>
                  <w:tcBorders>
                    <w:tl2br w:val="nil"/>
                    <w:tr2bl w:val="nil"/>
                  </w:tcBorders>
                  <w:noWrap w:val="0"/>
                  <w:vAlign w:val="center"/>
                </w:tcPr>
                <w:p w14:paraId="3EC9B110">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default" w:ascii="Times New Roman" w:hAnsi="Times New Roman" w:eastAsia="宋体" w:cs="Times New Roman"/>
                      <w:b w:val="0"/>
                      <w:bCs w:val="0"/>
                      <w:kern w:val="0"/>
                      <w:sz w:val="21"/>
                      <w:szCs w:val="21"/>
                      <w:u w:val="none"/>
                      <w:vertAlign w:val="baseline"/>
                      <w:lang w:val="en-US" w:eastAsia="zh-CN"/>
                    </w:rPr>
                    <w:t>排放速率（kg/h）</w:t>
                  </w:r>
                </w:p>
              </w:tc>
              <w:tc>
                <w:tcPr>
                  <w:tcW w:w="672" w:type="dxa"/>
                  <w:tcBorders>
                    <w:tl2br w:val="nil"/>
                    <w:tr2bl w:val="nil"/>
                  </w:tcBorders>
                  <w:noWrap w:val="0"/>
                  <w:vAlign w:val="center"/>
                </w:tcPr>
                <w:p w14:paraId="2F817BC5">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kern w:val="0"/>
                      <w:sz w:val="21"/>
                      <w:szCs w:val="21"/>
                      <w:u w:val="none"/>
                      <w:vertAlign w:val="baseline"/>
                      <w:lang w:val="en-US" w:eastAsia="zh-CN"/>
                    </w:rPr>
                  </w:pPr>
                  <w:r>
                    <w:rPr>
                      <w:rFonts w:hint="default" w:ascii="Times New Roman" w:hAnsi="Times New Roman" w:eastAsia="宋体" w:cs="Times New Roman"/>
                      <w:b w:val="0"/>
                      <w:bCs w:val="0"/>
                      <w:kern w:val="0"/>
                      <w:sz w:val="21"/>
                      <w:szCs w:val="21"/>
                      <w:u w:val="none"/>
                      <w:vertAlign w:val="baseline"/>
                      <w:lang w:val="en-US" w:eastAsia="zh-CN"/>
                    </w:rPr>
                    <w:t>排放浓度（mg/m</w:t>
                  </w:r>
                  <w:r>
                    <w:rPr>
                      <w:rFonts w:hint="default" w:ascii="Times New Roman" w:hAnsi="Times New Roman" w:eastAsia="宋体" w:cs="Times New Roman"/>
                      <w:b w:val="0"/>
                      <w:bCs w:val="0"/>
                      <w:kern w:val="0"/>
                      <w:sz w:val="21"/>
                      <w:szCs w:val="21"/>
                      <w:u w:val="none"/>
                      <w:vertAlign w:val="superscript"/>
                      <w:lang w:val="en-US" w:eastAsia="zh-CN"/>
                    </w:rPr>
                    <w:t>3</w:t>
                  </w:r>
                  <w:r>
                    <w:rPr>
                      <w:rFonts w:hint="default" w:ascii="Times New Roman" w:hAnsi="Times New Roman" w:eastAsia="宋体" w:cs="Times New Roman"/>
                      <w:b w:val="0"/>
                      <w:bCs w:val="0"/>
                      <w:kern w:val="0"/>
                      <w:sz w:val="21"/>
                      <w:szCs w:val="21"/>
                      <w:u w:val="none"/>
                      <w:vertAlign w:val="baseline"/>
                      <w:lang w:val="en-US" w:eastAsia="zh-CN"/>
                    </w:rPr>
                    <w:t>）</w:t>
                  </w:r>
                </w:p>
              </w:tc>
              <w:tc>
                <w:tcPr>
                  <w:tcW w:w="852" w:type="dxa"/>
                  <w:vMerge w:val="continue"/>
                  <w:tcBorders>
                    <w:tl2br w:val="nil"/>
                    <w:tr2bl w:val="nil"/>
                  </w:tcBorders>
                  <w:noWrap w:val="0"/>
                  <w:vAlign w:val="center"/>
                </w:tcPr>
                <w:p w14:paraId="75012370">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p>
              </w:tc>
            </w:tr>
            <w:tr w14:paraId="209BE9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2" w:hRule="atLeast"/>
              </w:trPr>
              <w:tc>
                <w:tcPr>
                  <w:tcW w:w="734" w:type="dxa"/>
                  <w:tcBorders>
                    <w:tl2br w:val="nil"/>
                    <w:tr2bl w:val="nil"/>
                  </w:tcBorders>
                  <w:noWrap w:val="0"/>
                  <w:vAlign w:val="center"/>
                </w:tcPr>
                <w:p w14:paraId="1EF037A2">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r>
                    <w:rPr>
                      <w:rFonts w:hint="eastAsia" w:cs="Times New Roman"/>
                      <w:kern w:val="0"/>
                      <w:sz w:val="21"/>
                      <w:szCs w:val="21"/>
                      <w:u w:val="none"/>
                      <w:vertAlign w:val="baseline"/>
                      <w:lang w:val="en-US" w:eastAsia="zh-CN"/>
                    </w:rPr>
                    <w:t>水泥罐入料工序</w:t>
                  </w:r>
                </w:p>
              </w:tc>
              <w:tc>
                <w:tcPr>
                  <w:tcW w:w="821" w:type="dxa"/>
                  <w:tcBorders>
                    <w:tl2br w:val="nil"/>
                    <w:tr2bl w:val="nil"/>
                  </w:tcBorders>
                  <w:noWrap w:val="0"/>
                  <w:vAlign w:val="center"/>
                </w:tcPr>
                <w:p w14:paraId="1C854C5F">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r>
                    <w:rPr>
                      <w:rFonts w:hint="eastAsia" w:cs="Times New Roman"/>
                      <w:kern w:val="0"/>
                      <w:sz w:val="21"/>
                      <w:szCs w:val="21"/>
                      <w:u w:val="none"/>
                      <w:vertAlign w:val="baseline"/>
                      <w:lang w:val="en-US" w:eastAsia="zh-CN"/>
                    </w:rPr>
                    <w:t>2.885</w:t>
                  </w:r>
                </w:p>
              </w:tc>
              <w:tc>
                <w:tcPr>
                  <w:tcW w:w="816" w:type="dxa"/>
                  <w:tcBorders>
                    <w:tl2br w:val="nil"/>
                    <w:tr2bl w:val="nil"/>
                  </w:tcBorders>
                  <w:noWrap w:val="0"/>
                  <w:vAlign w:val="center"/>
                </w:tcPr>
                <w:p w14:paraId="008F0B48">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none"/>
                      <w:vertAlign w:val="baseline"/>
                      <w:lang w:val="en-US" w:eastAsia="zh-CN"/>
                    </w:rPr>
                  </w:pPr>
                  <w:r>
                    <w:rPr>
                      <w:rFonts w:hint="eastAsia" w:cs="Times New Roman"/>
                      <w:color w:val="auto"/>
                      <w:kern w:val="0"/>
                      <w:sz w:val="21"/>
                      <w:szCs w:val="21"/>
                      <w:u w:val="none"/>
                      <w:vertAlign w:val="baseline"/>
                      <w:lang w:val="en-US" w:eastAsia="zh-CN"/>
                    </w:rPr>
                    <w:t>1908</w:t>
                  </w:r>
                </w:p>
              </w:tc>
              <w:tc>
                <w:tcPr>
                  <w:tcW w:w="792" w:type="dxa"/>
                  <w:tcBorders>
                    <w:tl2br w:val="nil"/>
                    <w:tr2bl w:val="nil"/>
                  </w:tcBorders>
                  <w:noWrap w:val="0"/>
                  <w:vAlign w:val="center"/>
                </w:tcPr>
                <w:p w14:paraId="1F24C39D">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r>
                    <w:rPr>
                      <w:rFonts w:hint="eastAsia" w:cs="Times New Roman"/>
                      <w:kern w:val="0"/>
                      <w:sz w:val="21"/>
                      <w:szCs w:val="21"/>
                      <w:u w:val="none"/>
                      <w:vertAlign w:val="baseline"/>
                      <w:lang w:val="en-US" w:eastAsia="zh-CN"/>
                    </w:rPr>
                    <w:t>4.58</w:t>
                  </w:r>
                </w:p>
              </w:tc>
              <w:tc>
                <w:tcPr>
                  <w:tcW w:w="396" w:type="dxa"/>
                  <w:tcBorders>
                    <w:tl2br w:val="nil"/>
                    <w:tr2bl w:val="nil"/>
                  </w:tcBorders>
                  <w:noWrap w:val="0"/>
                  <w:vAlign w:val="center"/>
                </w:tcPr>
                <w:p w14:paraId="42977BD5">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cs="Times New Roman"/>
                      <w:kern w:val="0"/>
                      <w:sz w:val="21"/>
                      <w:szCs w:val="21"/>
                      <w:u w:val="none"/>
                      <w:vertAlign w:val="baseline"/>
                      <w:lang w:val="en-US" w:eastAsia="zh-CN"/>
                    </w:rPr>
                  </w:pPr>
                  <w:r>
                    <w:rPr>
                      <w:rFonts w:hint="eastAsia" w:cs="Times New Roman"/>
                      <w:kern w:val="0"/>
                      <w:sz w:val="21"/>
                      <w:szCs w:val="21"/>
                      <w:u w:val="none"/>
                      <w:vertAlign w:val="baseline"/>
                      <w:lang w:val="en-US" w:eastAsia="zh-CN"/>
                    </w:rPr>
                    <w:t>有组织</w:t>
                  </w:r>
                </w:p>
              </w:tc>
              <w:tc>
                <w:tcPr>
                  <w:tcW w:w="1512" w:type="dxa"/>
                  <w:tcBorders>
                    <w:tl2br w:val="nil"/>
                    <w:tr2bl w:val="nil"/>
                  </w:tcBorders>
                  <w:noWrap w:val="0"/>
                  <w:vAlign w:val="center"/>
                </w:tcPr>
                <w:p w14:paraId="68EE9DFC">
                  <w:pPr>
                    <w:bidi w:val="0"/>
                    <w:jc w:val="center"/>
                    <w:rPr>
                      <w:rFonts w:hint="eastAsia"/>
                      <w:lang w:val="en-US" w:eastAsia="zh-CN"/>
                    </w:rPr>
                  </w:pPr>
                  <w:r>
                    <w:rPr>
                      <w:rFonts w:hint="eastAsia"/>
                      <w:lang w:val="en-US" w:eastAsia="zh-CN"/>
                    </w:rPr>
                    <w:t>覆膜袋式除尘器、风量2400m</w:t>
                  </w:r>
                  <w:r>
                    <w:rPr>
                      <w:rFonts w:hint="eastAsia"/>
                      <w:vertAlign w:val="superscript"/>
                      <w:lang w:val="en-US" w:eastAsia="zh-CN"/>
                    </w:rPr>
                    <w:t>3</w:t>
                  </w:r>
                  <w:r>
                    <w:rPr>
                      <w:rFonts w:hint="eastAsia"/>
                      <w:lang w:val="en-US" w:eastAsia="zh-CN"/>
                    </w:rPr>
                    <w:t>/h、收</w:t>
                  </w:r>
                </w:p>
                <w:p w14:paraId="09CA9672">
                  <w:pPr>
                    <w:bidi w:val="0"/>
                    <w:rPr>
                      <w:rFonts w:hint="default" w:ascii="Times New Roman" w:hAnsi="Times New Roman" w:eastAsia="宋体" w:cs="Times New Roman"/>
                      <w:color w:val="auto"/>
                      <w:kern w:val="0"/>
                      <w:szCs w:val="21"/>
                      <w:u w:val="none"/>
                      <w:vertAlign w:val="baseline"/>
                      <w:lang w:val="en-US" w:eastAsia="zh-CN"/>
                    </w:rPr>
                  </w:pPr>
                  <w:r>
                    <w:rPr>
                      <w:rFonts w:hint="eastAsia"/>
                      <w:lang w:val="en-US" w:eastAsia="zh-CN"/>
                    </w:rPr>
                    <w:t>集效率100%，去除效率99.6%</w:t>
                  </w:r>
                </w:p>
              </w:tc>
              <w:tc>
                <w:tcPr>
                  <w:tcW w:w="929" w:type="dxa"/>
                  <w:tcBorders>
                    <w:tl2br w:val="nil"/>
                    <w:tr2bl w:val="nil"/>
                  </w:tcBorders>
                  <w:noWrap w:val="0"/>
                  <w:vAlign w:val="center"/>
                </w:tcPr>
                <w:p w14:paraId="0EEAE70D">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none"/>
                      <w:vertAlign w:val="baseline"/>
                      <w:lang w:val="en-US" w:eastAsia="zh-CN"/>
                    </w:rPr>
                  </w:pPr>
                  <w:r>
                    <w:rPr>
                      <w:rFonts w:hint="eastAsia" w:cs="Times New Roman"/>
                      <w:color w:val="auto"/>
                      <w:kern w:val="0"/>
                      <w:sz w:val="21"/>
                      <w:szCs w:val="21"/>
                      <w:u w:val="none"/>
                      <w:vertAlign w:val="baseline"/>
                      <w:lang w:val="en-US" w:eastAsia="zh-CN"/>
                    </w:rPr>
                    <w:t>0.01154</w:t>
                  </w:r>
                </w:p>
              </w:tc>
              <w:tc>
                <w:tcPr>
                  <w:tcW w:w="787" w:type="dxa"/>
                  <w:tcBorders>
                    <w:tl2br w:val="nil"/>
                    <w:tr2bl w:val="nil"/>
                  </w:tcBorders>
                  <w:noWrap w:val="0"/>
                  <w:vAlign w:val="center"/>
                </w:tcPr>
                <w:p w14:paraId="39E093E3">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r>
                    <w:rPr>
                      <w:rFonts w:hint="eastAsia" w:ascii="Times New Roman" w:hAnsi="Times New Roman" w:eastAsia="宋体" w:cs="Times New Roman"/>
                      <w:kern w:val="0"/>
                      <w:sz w:val="21"/>
                      <w:szCs w:val="21"/>
                      <w:u w:val="none"/>
                      <w:vertAlign w:val="baseline"/>
                      <w:lang w:val="en-US" w:eastAsia="zh-CN"/>
                    </w:rPr>
                    <w:t>0.0</w:t>
                  </w:r>
                  <w:r>
                    <w:rPr>
                      <w:rFonts w:hint="eastAsia" w:cs="Times New Roman"/>
                      <w:kern w:val="0"/>
                      <w:sz w:val="21"/>
                      <w:szCs w:val="21"/>
                      <w:u w:val="none"/>
                      <w:vertAlign w:val="baseline"/>
                      <w:lang w:val="en-US" w:eastAsia="zh-CN"/>
                    </w:rPr>
                    <w:t>18</w:t>
                  </w:r>
                </w:p>
              </w:tc>
              <w:tc>
                <w:tcPr>
                  <w:tcW w:w="672" w:type="dxa"/>
                  <w:tcBorders>
                    <w:tl2br w:val="nil"/>
                    <w:tr2bl w:val="nil"/>
                  </w:tcBorders>
                  <w:noWrap w:val="0"/>
                  <w:vAlign w:val="center"/>
                </w:tcPr>
                <w:p w14:paraId="67E32C68">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r>
                    <w:rPr>
                      <w:rFonts w:hint="eastAsia" w:cs="Times New Roman"/>
                      <w:kern w:val="0"/>
                      <w:sz w:val="21"/>
                      <w:szCs w:val="21"/>
                      <w:u w:val="none"/>
                      <w:vertAlign w:val="baseline"/>
                      <w:lang w:val="en-US" w:eastAsia="zh-CN"/>
                    </w:rPr>
                    <w:t>7.5</w:t>
                  </w:r>
                </w:p>
              </w:tc>
              <w:tc>
                <w:tcPr>
                  <w:tcW w:w="852" w:type="dxa"/>
                  <w:tcBorders>
                    <w:tl2br w:val="nil"/>
                    <w:tr2bl w:val="nil"/>
                  </w:tcBorders>
                  <w:noWrap w:val="0"/>
                  <w:vAlign w:val="center"/>
                </w:tcPr>
                <w:p w14:paraId="05641220">
                  <w:pPr>
                    <w:pStyle w:val="3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kern w:val="0"/>
                      <w:sz w:val="21"/>
                      <w:szCs w:val="21"/>
                      <w:u w:val="none"/>
                      <w:vertAlign w:val="baseline"/>
                      <w:lang w:val="en-US" w:eastAsia="zh-CN"/>
                    </w:rPr>
                  </w:pPr>
                  <w:r>
                    <w:rPr>
                      <w:rFonts w:hint="default" w:ascii="Times New Roman" w:hAnsi="Times New Roman" w:eastAsia="宋体" w:cs="Times New Roman"/>
                      <w:kern w:val="0"/>
                      <w:sz w:val="21"/>
                      <w:szCs w:val="21"/>
                      <w:u w:val="none"/>
                      <w:vertAlign w:val="baseline"/>
                      <w:lang w:val="en-US" w:eastAsia="zh-CN"/>
                    </w:rPr>
                    <w:t>DA00</w:t>
                  </w:r>
                  <w:r>
                    <w:rPr>
                      <w:rFonts w:hint="eastAsia" w:cs="Times New Roman"/>
                      <w:kern w:val="0"/>
                      <w:sz w:val="21"/>
                      <w:szCs w:val="21"/>
                      <w:u w:val="none"/>
                      <w:vertAlign w:val="baseline"/>
                      <w:lang w:val="en-US" w:eastAsia="zh-CN"/>
                    </w:rPr>
                    <w:t>1</w:t>
                  </w:r>
                </w:p>
              </w:tc>
            </w:tr>
          </w:tbl>
          <w:p w14:paraId="6DD1A2A1">
            <w:pPr>
              <w:autoSpaceDE w:val="0"/>
              <w:autoSpaceDN w:val="0"/>
              <w:spacing w:line="360" w:lineRule="auto"/>
              <w:jc w:val="left"/>
              <w:rPr>
                <w:rFonts w:hint="eastAsia" w:ascii="Times New Roman" w:hAnsi="Times New Roman" w:eastAsia="宋体" w:cs="Times New Roman"/>
                <w:b/>
                <w:bCs/>
                <w:sz w:val="24"/>
                <w:lang w:val="en-US" w:eastAsia="zh-CN"/>
              </w:rPr>
            </w:pPr>
          </w:p>
          <w:p w14:paraId="7944D601">
            <w:pPr>
              <w:autoSpaceDE w:val="0"/>
              <w:autoSpaceDN w:val="0"/>
              <w:spacing w:line="360" w:lineRule="auto"/>
              <w:jc w:val="left"/>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1.3 污染物排放量</w:t>
            </w:r>
            <w:r>
              <w:rPr>
                <w:rFonts w:hint="eastAsia" w:ascii="Times New Roman" w:hAnsi="Times New Roman" w:eastAsia="宋体" w:cs="Times New Roman"/>
                <w:b/>
                <w:bCs/>
                <w:sz w:val="24"/>
              </w:rPr>
              <w:t>核算</w:t>
            </w:r>
          </w:p>
          <w:p w14:paraId="3A72791E">
            <w:pPr>
              <w:numPr>
                <w:ilvl w:val="0"/>
                <w:numId w:val="0"/>
              </w:numPr>
              <w:autoSpaceDE w:val="0"/>
              <w:autoSpaceDN w:val="0"/>
              <w:spacing w:line="360" w:lineRule="auto"/>
              <w:ind w:left="960" w:hanging="960" w:hangingChars="400"/>
              <w:rPr>
                <w:rFonts w:hint="eastAsia" w:eastAsia="宋体"/>
                <w:sz w:val="24"/>
                <w:lang w:val="en-US" w:eastAsia="zh-CN"/>
              </w:rPr>
            </w:pPr>
            <w:r>
              <w:rPr>
                <w:rFonts w:hint="eastAsia" w:eastAsia="宋体"/>
                <w:sz w:val="24"/>
                <w:lang w:val="en-US" w:eastAsia="zh-CN"/>
              </w:rPr>
              <w:t xml:space="preserve">   （1）有组织废气排放量核算</w:t>
            </w:r>
          </w:p>
          <w:p w14:paraId="3D5E677F">
            <w:pPr>
              <w:numPr>
                <w:ilvl w:val="0"/>
                <w:numId w:val="0"/>
              </w:numPr>
              <w:autoSpaceDE w:val="0"/>
              <w:autoSpaceDN w:val="0"/>
              <w:spacing w:line="360" w:lineRule="auto"/>
              <w:ind w:left="959" w:leftChars="228" w:hanging="480" w:hangingChars="200"/>
              <w:rPr>
                <w:rFonts w:hint="eastAsia"/>
                <w:sz w:val="24"/>
                <w:lang w:val="en-US" w:eastAsia="zh-CN"/>
              </w:rPr>
            </w:pPr>
            <w:r>
              <w:rPr>
                <w:rFonts w:hint="eastAsia"/>
                <w:sz w:val="24"/>
                <w:lang w:val="en-US" w:eastAsia="zh-CN"/>
              </w:rPr>
              <w:t>根据《排污单位自行监测技术指南 总则》（HJ819-2017）级《排污许可证</w:t>
            </w:r>
          </w:p>
          <w:p w14:paraId="0A6F4ADC">
            <w:pPr>
              <w:numPr>
                <w:ilvl w:val="0"/>
                <w:numId w:val="0"/>
              </w:numPr>
              <w:autoSpaceDE w:val="0"/>
              <w:autoSpaceDN w:val="0"/>
              <w:spacing w:line="360" w:lineRule="auto"/>
              <w:rPr>
                <w:rFonts w:hint="eastAsia"/>
                <w:sz w:val="24"/>
                <w:lang w:val="en-US" w:eastAsia="zh-CN"/>
              </w:rPr>
            </w:pPr>
            <w:r>
              <w:rPr>
                <w:rFonts w:hint="eastAsia"/>
                <w:sz w:val="24"/>
                <w:lang w:val="en-US" w:eastAsia="zh-CN"/>
              </w:rPr>
              <w:t>申请与核发技术规范 水泥工业》</w:t>
            </w:r>
            <w:r>
              <w:rPr>
                <w:rFonts w:hint="eastAsia"/>
                <w:sz w:val="24"/>
                <w:szCs w:val="32"/>
                <w:lang w:val="en-US" w:eastAsia="zh-CN"/>
              </w:rPr>
              <w:t>（HJ848-2017），该项目有组织排放口为一般排放口，项目大气污染物有组织排放量核算见下表。</w:t>
            </w:r>
          </w:p>
          <w:p w14:paraId="39A5CF98">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1680" w:firstLineChars="700"/>
              <w:textAlignment w:val="auto"/>
              <w:rPr>
                <w:rFonts w:hint="eastAsia" w:ascii="Times New Roman" w:hAnsi="Times New Roman" w:eastAsia="黑体" w:cs="Times New Roman"/>
                <w:kern w:val="0"/>
                <w:sz w:val="24"/>
                <w:szCs w:val="21"/>
                <w:lang w:val="en-US" w:eastAsia="zh-CN" w:bidi="ar-SA"/>
              </w:rPr>
            </w:pPr>
            <w:r>
              <w:rPr>
                <w:rFonts w:hint="eastAsia" w:ascii="Times New Roman" w:hAnsi="Times New Roman" w:eastAsia="黑体" w:cs="Times New Roman"/>
                <w:kern w:val="0"/>
                <w:sz w:val="24"/>
                <w:szCs w:val="21"/>
                <w:lang w:val="en-US" w:eastAsia="zh-CN" w:bidi="ar-SA"/>
              </w:rPr>
              <w:t>表4-</w:t>
            </w:r>
            <w:r>
              <w:rPr>
                <w:rFonts w:hint="eastAsia" w:eastAsia="黑体" w:cs="Times New Roman"/>
                <w:kern w:val="0"/>
                <w:sz w:val="24"/>
                <w:szCs w:val="21"/>
                <w:lang w:val="en-US" w:eastAsia="zh-CN" w:bidi="ar-SA"/>
              </w:rPr>
              <w:t>3</w:t>
            </w:r>
            <w:r>
              <w:rPr>
                <w:rFonts w:hint="eastAsia" w:ascii="Times New Roman" w:hAnsi="Times New Roman" w:eastAsia="黑体" w:cs="Times New Roman"/>
                <w:kern w:val="0"/>
                <w:sz w:val="24"/>
                <w:szCs w:val="21"/>
                <w:lang w:val="en-US" w:eastAsia="zh-CN" w:bidi="ar-SA"/>
              </w:rPr>
              <w:t xml:space="preserve">  项目大气污染物有组织排放量核算表</w:t>
            </w:r>
          </w:p>
          <w:tbl>
            <w:tblPr>
              <w:tblStyle w:val="31"/>
              <w:tblW w:w="81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0"/>
              <w:gridCol w:w="1272"/>
              <w:gridCol w:w="1819"/>
              <w:gridCol w:w="1595"/>
              <w:gridCol w:w="1674"/>
            </w:tblGrid>
            <w:tr w14:paraId="2F4EE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90" w:type="dxa"/>
                  <w:tcBorders>
                    <w:tl2br w:val="nil"/>
                    <w:tr2bl w:val="nil"/>
                  </w:tcBorders>
                  <w:noWrap w:val="0"/>
                  <w:vAlign w:val="center"/>
                </w:tcPr>
                <w:p w14:paraId="6C7F5064">
                  <w:pPr>
                    <w:adjustRightInd w:val="0"/>
                    <w:snapToGrid w:val="0"/>
                    <w:jc w:val="center"/>
                    <w:rPr>
                      <w:rFonts w:hint="default" w:eastAsia="宋体"/>
                      <w:sz w:val="21"/>
                      <w:szCs w:val="21"/>
                      <w:lang w:val="en-US" w:eastAsia="zh-CN"/>
                    </w:rPr>
                  </w:pPr>
                  <w:r>
                    <w:rPr>
                      <w:rFonts w:hint="eastAsia"/>
                      <w:sz w:val="21"/>
                      <w:szCs w:val="21"/>
                      <w:lang w:val="en-US" w:eastAsia="zh-CN"/>
                    </w:rPr>
                    <w:t>排放口编号</w:t>
                  </w:r>
                </w:p>
              </w:tc>
              <w:tc>
                <w:tcPr>
                  <w:tcW w:w="1272" w:type="dxa"/>
                  <w:tcBorders>
                    <w:tl2br w:val="nil"/>
                    <w:tr2bl w:val="nil"/>
                  </w:tcBorders>
                  <w:noWrap w:val="0"/>
                  <w:vAlign w:val="center"/>
                </w:tcPr>
                <w:p w14:paraId="1B7A896F">
                  <w:pPr>
                    <w:adjustRightInd w:val="0"/>
                    <w:snapToGrid w:val="0"/>
                    <w:jc w:val="center"/>
                    <w:rPr>
                      <w:rFonts w:hint="eastAsia" w:eastAsia="宋体"/>
                      <w:sz w:val="21"/>
                      <w:szCs w:val="21"/>
                      <w:lang w:eastAsia="zh-CN"/>
                    </w:rPr>
                  </w:pPr>
                  <w:r>
                    <w:rPr>
                      <w:rFonts w:hint="eastAsia"/>
                      <w:sz w:val="21"/>
                      <w:szCs w:val="21"/>
                      <w:lang w:val="en-US" w:eastAsia="zh-CN"/>
                    </w:rPr>
                    <w:t>污染物</w:t>
                  </w:r>
                </w:p>
              </w:tc>
              <w:tc>
                <w:tcPr>
                  <w:tcW w:w="1819" w:type="dxa"/>
                  <w:tcBorders>
                    <w:tl2br w:val="nil"/>
                    <w:tr2bl w:val="nil"/>
                  </w:tcBorders>
                  <w:noWrap w:val="0"/>
                  <w:vAlign w:val="center"/>
                </w:tcPr>
                <w:p w14:paraId="3240CD5F">
                  <w:pPr>
                    <w:adjustRightInd w:val="0"/>
                    <w:snapToGrid w:val="0"/>
                    <w:jc w:val="center"/>
                    <w:rPr>
                      <w:rFonts w:hint="default"/>
                      <w:sz w:val="21"/>
                      <w:szCs w:val="21"/>
                      <w:lang w:val="en-US" w:eastAsia="zh-CN"/>
                    </w:rPr>
                  </w:pPr>
                  <w:r>
                    <w:rPr>
                      <w:rFonts w:hint="eastAsia"/>
                      <w:sz w:val="21"/>
                      <w:szCs w:val="21"/>
                      <w:lang w:val="en-US" w:eastAsia="zh-CN"/>
                    </w:rPr>
                    <w:t>核算排放浓度</w:t>
                  </w:r>
                  <w:r>
                    <w:rPr>
                      <w:rFonts w:hint="eastAsia"/>
                      <w:sz w:val="21"/>
                      <w:szCs w:val="21"/>
                      <w:lang w:val="en-US" w:eastAsia="zh-CN"/>
                    </w:rPr>
                    <w:br w:type="textWrapping"/>
                  </w:r>
                  <w:r>
                    <w:rPr>
                      <w:rFonts w:hint="eastAsia" w:ascii="Times New Roman" w:hAnsi="Times New Roman" w:eastAsia="宋体" w:cs="Times New Roman"/>
                      <w:b/>
                      <w:bCs/>
                      <w:kern w:val="0"/>
                      <w:sz w:val="21"/>
                      <w:szCs w:val="21"/>
                      <w:u w:val="none"/>
                      <w:vertAlign w:val="baseline"/>
                      <w:lang w:val="en-US" w:eastAsia="zh-CN"/>
                    </w:rPr>
                    <w:t>（mg/m</w:t>
                  </w:r>
                  <w:r>
                    <w:rPr>
                      <w:rFonts w:hint="eastAsia" w:ascii="Times New Roman" w:hAnsi="Times New Roman" w:eastAsia="宋体" w:cs="Times New Roman"/>
                      <w:b/>
                      <w:bCs/>
                      <w:kern w:val="0"/>
                      <w:sz w:val="21"/>
                      <w:szCs w:val="21"/>
                      <w:u w:val="none"/>
                      <w:vertAlign w:val="superscript"/>
                      <w:lang w:val="en-US" w:eastAsia="zh-CN"/>
                    </w:rPr>
                    <w:t>3</w:t>
                  </w:r>
                  <w:r>
                    <w:rPr>
                      <w:rFonts w:hint="eastAsia" w:ascii="Times New Roman" w:hAnsi="Times New Roman" w:eastAsia="宋体" w:cs="Times New Roman"/>
                      <w:b/>
                      <w:bCs/>
                      <w:kern w:val="0"/>
                      <w:sz w:val="21"/>
                      <w:szCs w:val="21"/>
                      <w:u w:val="none"/>
                      <w:vertAlign w:val="baseline"/>
                      <w:lang w:val="en-US" w:eastAsia="zh-CN"/>
                    </w:rPr>
                    <w:t>）</w:t>
                  </w:r>
                </w:p>
              </w:tc>
              <w:tc>
                <w:tcPr>
                  <w:tcW w:w="1595" w:type="dxa"/>
                  <w:tcBorders>
                    <w:tl2br w:val="nil"/>
                    <w:tr2bl w:val="nil"/>
                  </w:tcBorders>
                  <w:noWrap w:val="0"/>
                  <w:vAlign w:val="center"/>
                </w:tcPr>
                <w:p w14:paraId="2194ED74">
                  <w:pPr>
                    <w:adjustRightInd w:val="0"/>
                    <w:snapToGrid w:val="0"/>
                    <w:jc w:val="center"/>
                    <w:rPr>
                      <w:rFonts w:hint="default"/>
                      <w:sz w:val="21"/>
                      <w:szCs w:val="21"/>
                      <w:lang w:val="en-US" w:eastAsia="zh-CN"/>
                    </w:rPr>
                  </w:pPr>
                  <w:r>
                    <w:rPr>
                      <w:rFonts w:hint="eastAsia"/>
                      <w:sz w:val="21"/>
                      <w:szCs w:val="21"/>
                      <w:lang w:val="en-US" w:eastAsia="zh-CN"/>
                    </w:rPr>
                    <w:t>核算排放速率</w:t>
                  </w:r>
                  <w:r>
                    <w:rPr>
                      <w:rFonts w:hint="eastAsia"/>
                      <w:sz w:val="21"/>
                      <w:szCs w:val="21"/>
                      <w:lang w:val="en-US" w:eastAsia="zh-CN"/>
                    </w:rPr>
                    <w:br w:type="textWrapping"/>
                  </w:r>
                  <w:r>
                    <w:rPr>
                      <w:rFonts w:hint="default" w:ascii="Times New Roman" w:hAnsi="Times New Roman" w:eastAsia="宋体" w:cs="Times New Roman"/>
                      <w:b/>
                      <w:bCs/>
                      <w:kern w:val="0"/>
                      <w:sz w:val="21"/>
                      <w:szCs w:val="21"/>
                      <w:u w:val="none"/>
                      <w:vertAlign w:val="baseline"/>
                      <w:lang w:val="en-US" w:eastAsia="zh-CN"/>
                    </w:rPr>
                    <w:t>（</w:t>
                  </w:r>
                  <w:r>
                    <w:rPr>
                      <w:rFonts w:hint="eastAsia" w:ascii="Times New Roman" w:hAnsi="Times New Roman" w:eastAsia="宋体" w:cs="Times New Roman"/>
                      <w:b/>
                      <w:bCs/>
                      <w:kern w:val="0"/>
                      <w:sz w:val="21"/>
                      <w:szCs w:val="21"/>
                      <w:u w:val="none"/>
                      <w:vertAlign w:val="baseline"/>
                      <w:lang w:val="en-US" w:eastAsia="zh-CN"/>
                    </w:rPr>
                    <w:t>kg</w:t>
                  </w:r>
                  <w:r>
                    <w:rPr>
                      <w:rFonts w:hint="default" w:ascii="Times New Roman" w:hAnsi="Times New Roman" w:eastAsia="宋体" w:cs="Times New Roman"/>
                      <w:b/>
                      <w:bCs/>
                      <w:kern w:val="0"/>
                      <w:sz w:val="21"/>
                      <w:szCs w:val="21"/>
                      <w:u w:val="none"/>
                      <w:vertAlign w:val="baseline"/>
                      <w:lang w:val="en-US" w:eastAsia="zh-CN"/>
                    </w:rPr>
                    <w:t>/</w:t>
                  </w:r>
                  <w:r>
                    <w:rPr>
                      <w:rFonts w:hint="eastAsia" w:ascii="Times New Roman" w:hAnsi="Times New Roman" w:eastAsia="宋体" w:cs="Times New Roman"/>
                      <w:b/>
                      <w:bCs/>
                      <w:kern w:val="0"/>
                      <w:sz w:val="21"/>
                      <w:szCs w:val="21"/>
                      <w:u w:val="none"/>
                      <w:vertAlign w:val="baseline"/>
                      <w:lang w:val="en-US" w:eastAsia="zh-CN"/>
                    </w:rPr>
                    <w:t>h</w:t>
                  </w:r>
                  <w:r>
                    <w:rPr>
                      <w:rFonts w:hint="default" w:ascii="Times New Roman" w:hAnsi="Times New Roman" w:eastAsia="宋体" w:cs="Times New Roman"/>
                      <w:b/>
                      <w:bCs/>
                      <w:kern w:val="0"/>
                      <w:sz w:val="21"/>
                      <w:szCs w:val="21"/>
                      <w:u w:val="none"/>
                      <w:vertAlign w:val="baseline"/>
                      <w:lang w:val="en-US" w:eastAsia="zh-CN"/>
                    </w:rPr>
                    <w:t>）</w:t>
                  </w:r>
                </w:p>
              </w:tc>
              <w:tc>
                <w:tcPr>
                  <w:tcW w:w="1674" w:type="dxa"/>
                  <w:tcBorders>
                    <w:tl2br w:val="nil"/>
                    <w:tr2bl w:val="nil"/>
                  </w:tcBorders>
                  <w:noWrap w:val="0"/>
                  <w:vAlign w:val="center"/>
                </w:tcPr>
                <w:p w14:paraId="5FEBAAA9">
                  <w:pPr>
                    <w:adjustRightInd w:val="0"/>
                    <w:snapToGrid w:val="0"/>
                    <w:jc w:val="center"/>
                    <w:rPr>
                      <w:rFonts w:hint="default"/>
                      <w:sz w:val="21"/>
                      <w:szCs w:val="21"/>
                      <w:lang w:val="en-US" w:eastAsia="zh-CN"/>
                    </w:rPr>
                  </w:pPr>
                  <w:r>
                    <w:rPr>
                      <w:rFonts w:hint="eastAsia"/>
                      <w:sz w:val="21"/>
                      <w:szCs w:val="21"/>
                      <w:lang w:val="en-US" w:eastAsia="zh-CN"/>
                    </w:rPr>
                    <w:t>核算年排放量</w:t>
                  </w:r>
                  <w:r>
                    <w:rPr>
                      <w:rFonts w:hint="eastAsia"/>
                      <w:sz w:val="21"/>
                      <w:szCs w:val="21"/>
                      <w:lang w:val="en-US" w:eastAsia="zh-CN"/>
                    </w:rPr>
                    <w:br w:type="textWrapping"/>
                  </w:r>
                  <w:r>
                    <w:rPr>
                      <w:rFonts w:hint="default" w:ascii="Times New Roman" w:hAnsi="Times New Roman" w:eastAsia="宋体" w:cs="Times New Roman"/>
                      <w:b/>
                      <w:bCs/>
                      <w:kern w:val="0"/>
                      <w:sz w:val="21"/>
                      <w:szCs w:val="21"/>
                      <w:u w:val="none"/>
                      <w:vertAlign w:val="baseline"/>
                      <w:lang w:val="en-US" w:eastAsia="zh-CN"/>
                    </w:rPr>
                    <w:t>（t/a）</w:t>
                  </w:r>
                </w:p>
              </w:tc>
            </w:tr>
            <w:tr w14:paraId="54EC4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150" w:type="dxa"/>
                  <w:gridSpan w:val="5"/>
                  <w:tcBorders>
                    <w:tl2br w:val="nil"/>
                    <w:tr2bl w:val="nil"/>
                  </w:tcBorders>
                  <w:noWrap w:val="0"/>
                  <w:vAlign w:val="center"/>
                </w:tcPr>
                <w:p w14:paraId="4AABD2A5">
                  <w:pPr>
                    <w:adjustRightInd w:val="0"/>
                    <w:snapToGrid w:val="0"/>
                    <w:jc w:val="center"/>
                    <w:rPr>
                      <w:rFonts w:hint="eastAsia"/>
                      <w:bCs/>
                      <w:sz w:val="21"/>
                      <w:szCs w:val="21"/>
                      <w:lang w:val="en-US" w:eastAsia="zh-CN"/>
                    </w:rPr>
                  </w:pPr>
                  <w:r>
                    <w:rPr>
                      <w:rFonts w:hint="eastAsia"/>
                      <w:sz w:val="21"/>
                      <w:szCs w:val="21"/>
                      <w:lang w:val="en-US" w:eastAsia="zh-CN"/>
                    </w:rPr>
                    <w:t>一般排放口</w:t>
                  </w:r>
                </w:p>
              </w:tc>
            </w:tr>
            <w:tr w14:paraId="358F5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90" w:type="dxa"/>
                  <w:tcBorders>
                    <w:tl2br w:val="nil"/>
                    <w:tr2bl w:val="nil"/>
                  </w:tcBorders>
                  <w:noWrap w:val="0"/>
                  <w:vAlign w:val="center"/>
                </w:tcPr>
                <w:p w14:paraId="1250170C">
                  <w:pPr>
                    <w:adjustRightInd w:val="0"/>
                    <w:snapToGrid w:val="0"/>
                    <w:jc w:val="center"/>
                    <w:rPr>
                      <w:rFonts w:hint="default"/>
                      <w:sz w:val="21"/>
                      <w:szCs w:val="21"/>
                      <w:lang w:val="en-US"/>
                    </w:rPr>
                  </w:pPr>
                  <w:r>
                    <w:rPr>
                      <w:rFonts w:hint="eastAsia"/>
                      <w:sz w:val="21"/>
                      <w:szCs w:val="21"/>
                      <w:lang w:val="en-US" w:eastAsia="zh-CN"/>
                    </w:rPr>
                    <w:t>DA001</w:t>
                  </w:r>
                </w:p>
              </w:tc>
              <w:tc>
                <w:tcPr>
                  <w:tcW w:w="1272" w:type="dxa"/>
                  <w:tcBorders>
                    <w:tl2br w:val="nil"/>
                    <w:tr2bl w:val="nil"/>
                  </w:tcBorders>
                  <w:noWrap w:val="0"/>
                  <w:vAlign w:val="center"/>
                </w:tcPr>
                <w:p w14:paraId="123A0111">
                  <w:pPr>
                    <w:adjustRightInd w:val="0"/>
                    <w:snapToGrid w:val="0"/>
                    <w:jc w:val="center"/>
                    <w:rPr>
                      <w:rFonts w:hint="default" w:eastAsia="宋体"/>
                      <w:bCs/>
                      <w:sz w:val="21"/>
                      <w:szCs w:val="21"/>
                      <w:lang w:val="en-US" w:eastAsia="zh-CN"/>
                    </w:rPr>
                  </w:pPr>
                  <w:r>
                    <w:rPr>
                      <w:rFonts w:hint="eastAsia"/>
                      <w:bCs/>
                      <w:sz w:val="21"/>
                      <w:szCs w:val="21"/>
                      <w:lang w:val="en-US" w:eastAsia="zh-CN"/>
                    </w:rPr>
                    <w:t>颗粒物</w:t>
                  </w:r>
                </w:p>
              </w:tc>
              <w:tc>
                <w:tcPr>
                  <w:tcW w:w="1819" w:type="dxa"/>
                  <w:tcBorders>
                    <w:tl2br w:val="nil"/>
                    <w:tr2bl w:val="nil"/>
                  </w:tcBorders>
                  <w:noWrap w:val="0"/>
                  <w:vAlign w:val="center"/>
                </w:tcPr>
                <w:p w14:paraId="5FE80E34">
                  <w:pPr>
                    <w:adjustRightInd w:val="0"/>
                    <w:snapToGrid w:val="0"/>
                    <w:jc w:val="center"/>
                    <w:rPr>
                      <w:rFonts w:hint="default" w:eastAsia="宋体"/>
                      <w:bCs/>
                      <w:sz w:val="21"/>
                      <w:szCs w:val="21"/>
                      <w:lang w:val="en-US" w:eastAsia="zh-CN"/>
                    </w:rPr>
                  </w:pPr>
                  <w:r>
                    <w:rPr>
                      <w:rFonts w:hint="eastAsia"/>
                      <w:bCs/>
                      <w:sz w:val="21"/>
                      <w:szCs w:val="21"/>
                      <w:lang w:val="en-US" w:eastAsia="zh-CN"/>
                    </w:rPr>
                    <w:t>7.5</w:t>
                  </w:r>
                </w:p>
              </w:tc>
              <w:tc>
                <w:tcPr>
                  <w:tcW w:w="1595" w:type="dxa"/>
                  <w:tcBorders>
                    <w:tl2br w:val="nil"/>
                    <w:tr2bl w:val="nil"/>
                  </w:tcBorders>
                  <w:noWrap w:val="0"/>
                  <w:vAlign w:val="center"/>
                </w:tcPr>
                <w:p w14:paraId="6AB816E0">
                  <w:pPr>
                    <w:adjustRightInd w:val="0"/>
                    <w:snapToGrid w:val="0"/>
                    <w:jc w:val="center"/>
                    <w:rPr>
                      <w:rFonts w:hint="default" w:eastAsia="宋体"/>
                      <w:bCs/>
                      <w:sz w:val="21"/>
                      <w:szCs w:val="21"/>
                      <w:lang w:val="en-US" w:eastAsia="zh-CN"/>
                    </w:rPr>
                  </w:pPr>
                  <w:r>
                    <w:rPr>
                      <w:rFonts w:hint="eastAsia"/>
                      <w:bCs/>
                      <w:sz w:val="21"/>
                      <w:szCs w:val="21"/>
                      <w:lang w:val="en-US" w:eastAsia="zh-CN"/>
                    </w:rPr>
                    <w:t>0.018</w:t>
                  </w:r>
                </w:p>
              </w:tc>
              <w:tc>
                <w:tcPr>
                  <w:tcW w:w="1674" w:type="dxa"/>
                  <w:tcBorders>
                    <w:tl2br w:val="nil"/>
                    <w:tr2bl w:val="nil"/>
                  </w:tcBorders>
                  <w:noWrap w:val="0"/>
                  <w:vAlign w:val="center"/>
                </w:tcPr>
                <w:p w14:paraId="1660AB49">
                  <w:pPr>
                    <w:adjustRightInd w:val="0"/>
                    <w:snapToGrid w:val="0"/>
                    <w:jc w:val="center"/>
                    <w:rPr>
                      <w:rFonts w:hint="default" w:eastAsia="宋体"/>
                      <w:bCs/>
                      <w:sz w:val="21"/>
                      <w:szCs w:val="21"/>
                      <w:lang w:val="en-US" w:eastAsia="zh-CN"/>
                    </w:rPr>
                  </w:pPr>
                  <w:r>
                    <w:rPr>
                      <w:rFonts w:hint="eastAsia"/>
                      <w:bCs/>
                      <w:sz w:val="21"/>
                      <w:szCs w:val="21"/>
                      <w:lang w:val="en-US" w:eastAsia="zh-CN"/>
                    </w:rPr>
                    <w:t>0.01154</w:t>
                  </w:r>
                </w:p>
              </w:tc>
            </w:tr>
            <w:tr w14:paraId="3E19A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90" w:type="dxa"/>
                  <w:tcBorders>
                    <w:tl2br w:val="nil"/>
                    <w:tr2bl w:val="nil"/>
                  </w:tcBorders>
                  <w:noWrap w:val="0"/>
                  <w:vAlign w:val="center"/>
                </w:tcPr>
                <w:p w14:paraId="6E9C1EF0">
                  <w:pPr>
                    <w:keepNext w:val="0"/>
                    <w:keepLines w:val="0"/>
                    <w:widowControl/>
                    <w:suppressLineNumbers w:val="0"/>
                    <w:adjustRightInd w:val="0"/>
                    <w:snapToGrid w:val="0"/>
                    <w:jc w:val="center"/>
                    <w:rPr>
                      <w:rFonts w:hint="default"/>
                      <w:sz w:val="21"/>
                      <w:szCs w:val="21"/>
                      <w:lang w:val="en-US" w:eastAsia="zh-CN"/>
                    </w:rPr>
                  </w:pPr>
                  <w:r>
                    <w:rPr>
                      <w:rFonts w:hint="eastAsia"/>
                      <w:sz w:val="21"/>
                      <w:szCs w:val="21"/>
                      <w:lang w:val="en-US" w:eastAsia="zh-CN"/>
                    </w:rPr>
                    <w:t>一般排放口合计</w:t>
                  </w:r>
                </w:p>
              </w:tc>
              <w:tc>
                <w:tcPr>
                  <w:tcW w:w="4686" w:type="dxa"/>
                  <w:gridSpan w:val="3"/>
                  <w:tcBorders>
                    <w:tl2br w:val="nil"/>
                    <w:tr2bl w:val="nil"/>
                  </w:tcBorders>
                  <w:noWrap w:val="0"/>
                  <w:vAlign w:val="center"/>
                </w:tcPr>
                <w:p w14:paraId="3B563096">
                  <w:pPr>
                    <w:keepNext w:val="0"/>
                    <w:keepLines w:val="0"/>
                    <w:widowControl/>
                    <w:suppressLineNumbers w:val="0"/>
                    <w:adjustRightInd w:val="0"/>
                    <w:snapToGrid w:val="0"/>
                    <w:jc w:val="center"/>
                    <w:rPr>
                      <w:rFonts w:hint="default"/>
                      <w:bCs/>
                      <w:sz w:val="21"/>
                      <w:szCs w:val="21"/>
                      <w:lang w:val="en-US" w:eastAsia="zh-CN"/>
                    </w:rPr>
                  </w:pPr>
                  <w:r>
                    <w:rPr>
                      <w:rFonts w:hint="eastAsia"/>
                      <w:bCs/>
                      <w:sz w:val="21"/>
                      <w:szCs w:val="21"/>
                      <w:lang w:val="en-US" w:eastAsia="zh-CN"/>
                    </w:rPr>
                    <w:t>颗粒物</w:t>
                  </w:r>
                </w:p>
              </w:tc>
              <w:tc>
                <w:tcPr>
                  <w:tcW w:w="1674" w:type="dxa"/>
                  <w:tcBorders>
                    <w:tl2br w:val="nil"/>
                    <w:tr2bl w:val="nil"/>
                  </w:tcBorders>
                  <w:noWrap w:val="0"/>
                  <w:vAlign w:val="center"/>
                </w:tcPr>
                <w:p w14:paraId="3670F586">
                  <w:pPr>
                    <w:keepNext w:val="0"/>
                    <w:keepLines w:val="0"/>
                    <w:widowControl/>
                    <w:suppressLineNumbers w:val="0"/>
                    <w:adjustRightInd w:val="0"/>
                    <w:snapToGrid w:val="0"/>
                    <w:jc w:val="center"/>
                    <w:rPr>
                      <w:rFonts w:hint="default"/>
                      <w:bCs/>
                      <w:sz w:val="21"/>
                      <w:szCs w:val="21"/>
                      <w:lang w:val="en-US" w:eastAsia="zh-CN"/>
                    </w:rPr>
                  </w:pPr>
                  <w:r>
                    <w:rPr>
                      <w:rFonts w:hint="eastAsia"/>
                      <w:bCs/>
                      <w:sz w:val="21"/>
                      <w:szCs w:val="21"/>
                      <w:lang w:val="en-US" w:eastAsia="zh-CN"/>
                    </w:rPr>
                    <w:t>0.01154</w:t>
                  </w:r>
                </w:p>
              </w:tc>
            </w:tr>
            <w:tr w14:paraId="7C96C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90" w:type="dxa"/>
                  <w:tcBorders>
                    <w:tl2br w:val="nil"/>
                    <w:tr2bl w:val="nil"/>
                  </w:tcBorders>
                  <w:noWrap w:val="0"/>
                  <w:vAlign w:val="center"/>
                </w:tcPr>
                <w:p w14:paraId="3F743D08">
                  <w:pPr>
                    <w:keepNext w:val="0"/>
                    <w:keepLines w:val="0"/>
                    <w:widowControl/>
                    <w:suppressLineNumbers w:val="0"/>
                    <w:adjustRightInd w:val="0"/>
                    <w:snapToGrid w:val="0"/>
                    <w:jc w:val="center"/>
                    <w:rPr>
                      <w:rFonts w:hint="default"/>
                      <w:sz w:val="21"/>
                      <w:szCs w:val="21"/>
                      <w:lang w:val="en-US" w:eastAsia="zh-CN"/>
                    </w:rPr>
                  </w:pPr>
                  <w:r>
                    <w:rPr>
                      <w:rFonts w:hint="eastAsia"/>
                      <w:sz w:val="21"/>
                      <w:szCs w:val="21"/>
                      <w:lang w:val="en-US" w:eastAsia="zh-CN"/>
                    </w:rPr>
                    <w:t>有组织排放总计</w:t>
                  </w:r>
                </w:p>
              </w:tc>
              <w:tc>
                <w:tcPr>
                  <w:tcW w:w="4686" w:type="dxa"/>
                  <w:gridSpan w:val="3"/>
                  <w:tcBorders>
                    <w:tl2br w:val="nil"/>
                    <w:tr2bl w:val="nil"/>
                  </w:tcBorders>
                  <w:noWrap w:val="0"/>
                  <w:vAlign w:val="center"/>
                </w:tcPr>
                <w:p w14:paraId="493AEF9A">
                  <w:pPr>
                    <w:keepNext w:val="0"/>
                    <w:keepLines w:val="0"/>
                    <w:widowControl/>
                    <w:suppressLineNumbers w:val="0"/>
                    <w:adjustRightInd w:val="0"/>
                    <w:snapToGrid w:val="0"/>
                    <w:jc w:val="center"/>
                    <w:rPr>
                      <w:rFonts w:hint="eastAsia"/>
                      <w:bCs/>
                      <w:sz w:val="21"/>
                      <w:szCs w:val="21"/>
                      <w:lang w:val="en-US" w:eastAsia="zh-CN"/>
                    </w:rPr>
                  </w:pPr>
                  <w:r>
                    <w:rPr>
                      <w:rFonts w:hint="eastAsia"/>
                      <w:bCs/>
                      <w:sz w:val="21"/>
                      <w:szCs w:val="21"/>
                      <w:lang w:val="en-US" w:eastAsia="zh-CN"/>
                    </w:rPr>
                    <w:t>颗粒物</w:t>
                  </w:r>
                </w:p>
              </w:tc>
              <w:tc>
                <w:tcPr>
                  <w:tcW w:w="1674" w:type="dxa"/>
                  <w:tcBorders>
                    <w:tl2br w:val="nil"/>
                    <w:tr2bl w:val="nil"/>
                  </w:tcBorders>
                  <w:noWrap w:val="0"/>
                  <w:vAlign w:val="center"/>
                </w:tcPr>
                <w:p w14:paraId="5728159A">
                  <w:pPr>
                    <w:keepNext w:val="0"/>
                    <w:keepLines w:val="0"/>
                    <w:widowControl/>
                    <w:suppressLineNumbers w:val="0"/>
                    <w:adjustRightInd w:val="0"/>
                    <w:snapToGrid w:val="0"/>
                    <w:jc w:val="center"/>
                    <w:rPr>
                      <w:rFonts w:hint="default"/>
                      <w:bCs/>
                      <w:sz w:val="21"/>
                      <w:szCs w:val="21"/>
                      <w:lang w:val="en-US" w:eastAsia="zh-CN"/>
                    </w:rPr>
                  </w:pPr>
                  <w:r>
                    <w:rPr>
                      <w:rFonts w:hint="eastAsia"/>
                      <w:bCs/>
                      <w:sz w:val="21"/>
                      <w:szCs w:val="21"/>
                      <w:lang w:val="en-US" w:eastAsia="zh-CN"/>
                    </w:rPr>
                    <w:t>0.01154</w:t>
                  </w:r>
                </w:p>
              </w:tc>
            </w:tr>
          </w:tbl>
          <w:p w14:paraId="41FF4A44">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240" w:firstLineChars="100"/>
              <w:textAlignment w:val="auto"/>
              <w:rPr>
                <w:rFonts w:hint="eastAsia" w:ascii="Times New Roman" w:hAnsi="Times New Roman" w:eastAsia="黑体" w:cs="Times New Roman"/>
                <w:kern w:val="0"/>
                <w:sz w:val="24"/>
                <w:szCs w:val="21"/>
                <w:vertAlign w:val="baseline"/>
                <w:lang w:val="en-US" w:eastAsia="zh-CN" w:bidi="ar-SA"/>
              </w:rPr>
            </w:pPr>
            <w:r>
              <w:rPr>
                <w:rFonts w:hint="eastAsia"/>
                <w:sz w:val="24"/>
                <w:lang w:val="en-US" w:eastAsia="zh-CN"/>
              </w:rPr>
              <w:t>（2）大气污染物年排放量核算</w:t>
            </w:r>
            <w:r>
              <w:rPr>
                <w:rFonts w:hint="eastAsia"/>
                <w:sz w:val="24"/>
                <w:lang w:val="en-US" w:eastAsia="zh-CN"/>
              </w:rPr>
              <w:br w:type="textWrapping"/>
            </w:r>
            <w:r>
              <w:rPr>
                <w:rFonts w:hint="eastAsia"/>
                <w:sz w:val="24"/>
                <w:lang w:val="en-US" w:eastAsia="zh-CN"/>
              </w:rPr>
              <w:t xml:space="preserve">                </w:t>
            </w:r>
            <w:r>
              <w:rPr>
                <w:rFonts w:hint="eastAsia" w:ascii="Times New Roman" w:hAnsi="Times New Roman" w:eastAsia="黑体" w:cs="Times New Roman"/>
                <w:kern w:val="0"/>
                <w:sz w:val="24"/>
                <w:szCs w:val="21"/>
                <w:lang w:val="en-US" w:eastAsia="zh-CN" w:bidi="ar-SA"/>
              </w:rPr>
              <w:t>表4-</w:t>
            </w:r>
            <w:r>
              <w:rPr>
                <w:rFonts w:hint="eastAsia" w:eastAsia="黑体" w:cs="Times New Roman"/>
                <w:kern w:val="0"/>
                <w:sz w:val="24"/>
                <w:szCs w:val="21"/>
                <w:lang w:val="en-US" w:eastAsia="zh-CN" w:bidi="ar-SA"/>
              </w:rPr>
              <w:t>4</w:t>
            </w:r>
            <w:r>
              <w:rPr>
                <w:rFonts w:hint="eastAsia" w:ascii="Times New Roman" w:hAnsi="Times New Roman" w:eastAsia="黑体" w:cs="Times New Roman"/>
                <w:kern w:val="0"/>
                <w:sz w:val="24"/>
                <w:szCs w:val="21"/>
                <w:lang w:val="en-US" w:eastAsia="zh-CN" w:bidi="ar-SA"/>
              </w:rPr>
              <w:t xml:space="preserve">  项目大气污染物年排放量核算表</w:t>
            </w:r>
          </w:p>
          <w:tbl>
            <w:tblPr>
              <w:tblStyle w:val="32"/>
              <w:tblW w:w="8372"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1"/>
              <w:gridCol w:w="3120"/>
              <w:gridCol w:w="3481"/>
            </w:tblGrid>
            <w:tr w14:paraId="25D896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771" w:type="dxa"/>
                  <w:tcBorders>
                    <w:tl2br w:val="nil"/>
                    <w:tr2bl w:val="nil"/>
                  </w:tcBorders>
                </w:tcPr>
                <w:p w14:paraId="3A301111">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序号</w:t>
                  </w:r>
                </w:p>
              </w:tc>
              <w:tc>
                <w:tcPr>
                  <w:tcW w:w="3120" w:type="dxa"/>
                  <w:tcBorders>
                    <w:tl2br w:val="nil"/>
                    <w:tr2bl w:val="nil"/>
                  </w:tcBorders>
                </w:tcPr>
                <w:p w14:paraId="1C32234D">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污染物</w:t>
                  </w:r>
                </w:p>
              </w:tc>
              <w:tc>
                <w:tcPr>
                  <w:tcW w:w="3481" w:type="dxa"/>
                  <w:tcBorders>
                    <w:tl2br w:val="nil"/>
                    <w:tr2bl w:val="nil"/>
                  </w:tcBorders>
                </w:tcPr>
                <w:p w14:paraId="16E4545D">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年排放量</w:t>
                  </w:r>
                  <w:r>
                    <w:rPr>
                      <w:rFonts w:hint="default" w:ascii="Times New Roman" w:hAnsi="Times New Roman" w:eastAsia="宋体" w:cs="Times New Roman"/>
                      <w:b w:val="0"/>
                      <w:bCs w:val="0"/>
                      <w:kern w:val="0"/>
                      <w:sz w:val="21"/>
                      <w:szCs w:val="21"/>
                      <w:u w:val="none"/>
                      <w:vertAlign w:val="baseline"/>
                      <w:lang w:val="en-US" w:eastAsia="zh-CN"/>
                    </w:rPr>
                    <w:t>（t/a）</w:t>
                  </w:r>
                </w:p>
              </w:tc>
            </w:tr>
            <w:tr w14:paraId="778F92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771" w:type="dxa"/>
                  <w:tcBorders>
                    <w:tl2br w:val="nil"/>
                    <w:tr2bl w:val="nil"/>
                  </w:tcBorders>
                </w:tcPr>
                <w:p w14:paraId="3AC0E6F7">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3120" w:type="dxa"/>
                  <w:tcBorders>
                    <w:tl2br w:val="nil"/>
                    <w:tr2bl w:val="nil"/>
                  </w:tcBorders>
                </w:tcPr>
                <w:p w14:paraId="1B3535F1">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3481" w:type="dxa"/>
                  <w:tcBorders>
                    <w:tl2br w:val="nil"/>
                    <w:tr2bl w:val="nil"/>
                  </w:tcBorders>
                </w:tcPr>
                <w:p w14:paraId="09D4F6C8">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0.01154</w:t>
                  </w:r>
                </w:p>
              </w:tc>
            </w:tr>
          </w:tbl>
          <w:p w14:paraId="4C663AA3">
            <w:pPr>
              <w:autoSpaceDE w:val="0"/>
              <w:autoSpaceDN w:val="0"/>
              <w:spacing w:before="120" w:beforeLines="50" w:line="360" w:lineRule="auto"/>
              <w:jc w:val="left"/>
              <w:rPr>
                <w:b/>
                <w:bCs/>
                <w:sz w:val="24"/>
              </w:rPr>
            </w:pPr>
            <w:r>
              <w:rPr>
                <w:b/>
                <w:bCs/>
                <w:sz w:val="24"/>
              </w:rPr>
              <w:t>1.</w:t>
            </w:r>
            <w:r>
              <w:rPr>
                <w:rFonts w:hint="eastAsia"/>
                <w:b/>
                <w:bCs/>
                <w:sz w:val="24"/>
              </w:rPr>
              <w:t>4</w:t>
            </w:r>
            <w:r>
              <w:rPr>
                <w:rFonts w:hint="eastAsia"/>
                <w:b/>
                <w:bCs/>
                <w:sz w:val="24"/>
                <w:lang w:val="en-US" w:eastAsia="zh-CN"/>
              </w:rPr>
              <w:t xml:space="preserve"> 废气</w:t>
            </w:r>
            <w:r>
              <w:rPr>
                <w:rFonts w:hint="eastAsia"/>
                <w:b/>
                <w:bCs/>
                <w:sz w:val="24"/>
              </w:rPr>
              <w:t>排放口</w:t>
            </w:r>
          </w:p>
          <w:p w14:paraId="41F3A0FC">
            <w:pPr>
              <w:pStyle w:val="20"/>
              <w:numPr>
                <w:ilvl w:val="0"/>
                <w:numId w:val="0"/>
              </w:numPr>
              <w:spacing w:line="360" w:lineRule="auto"/>
              <w:ind w:leftChars="200"/>
              <w:rPr>
                <w:sz w:val="24"/>
              </w:rPr>
            </w:pPr>
            <w:r>
              <w:rPr>
                <w:rFonts w:hint="eastAsia"/>
                <w:sz w:val="24"/>
                <w:lang w:val="en-US" w:eastAsia="zh-CN"/>
              </w:rPr>
              <w:t>本项目废气</w:t>
            </w:r>
            <w:r>
              <w:rPr>
                <w:sz w:val="24"/>
              </w:rPr>
              <w:t>排放口信息见下表。</w:t>
            </w:r>
          </w:p>
          <w:p w14:paraId="540F8C0F">
            <w:pPr>
              <w:pStyle w:val="119"/>
              <w:numPr>
                <w:ilvl w:val="0"/>
                <w:numId w:val="0"/>
              </w:numPr>
              <w:jc w:val="center"/>
              <w:rPr>
                <w:rFonts w:hint="eastAsia"/>
                <w:kern w:val="0"/>
              </w:rPr>
            </w:pPr>
            <w:r>
              <w:rPr>
                <w:rFonts w:hint="eastAsia"/>
                <w:kern w:val="0"/>
                <w:lang w:eastAsia="zh-CN"/>
              </w:rPr>
              <w:t>表</w:t>
            </w:r>
            <w:r>
              <w:rPr>
                <w:rFonts w:hint="eastAsia"/>
                <w:kern w:val="0"/>
                <w:lang w:val="en-US" w:eastAsia="zh-CN"/>
              </w:rPr>
              <w:t>4-5</w:t>
            </w:r>
            <w:r>
              <w:rPr>
                <w:rFonts w:hint="eastAsia"/>
                <w:kern w:val="0"/>
              </w:rPr>
              <w:t xml:space="preserve"> </w:t>
            </w:r>
            <w:r>
              <w:rPr>
                <w:rFonts w:hint="eastAsia"/>
                <w:kern w:val="0"/>
                <w:lang w:val="en-US" w:eastAsia="zh-CN"/>
              </w:rPr>
              <w:t xml:space="preserve"> 废气</w:t>
            </w:r>
            <w:r>
              <w:rPr>
                <w:rFonts w:hint="eastAsia"/>
                <w:kern w:val="0"/>
              </w:rPr>
              <w:t>排放口基本信息表</w:t>
            </w:r>
          </w:p>
          <w:tbl>
            <w:tblPr>
              <w:tblStyle w:val="31"/>
              <w:tblW w:w="8339"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48"/>
              <w:gridCol w:w="2095"/>
              <w:gridCol w:w="898"/>
              <w:gridCol w:w="1353"/>
              <w:gridCol w:w="1077"/>
              <w:gridCol w:w="1568"/>
            </w:tblGrid>
            <w:tr w14:paraId="58B2B4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6" w:hRule="atLeast"/>
              </w:trPr>
              <w:tc>
                <w:tcPr>
                  <w:tcW w:w="1348" w:type="dxa"/>
                  <w:tcBorders>
                    <w:tl2br w:val="nil"/>
                    <w:tr2bl w:val="nil"/>
                  </w:tcBorders>
                  <w:noWrap w:val="0"/>
                  <w:vAlign w:val="center"/>
                </w:tcPr>
                <w:p w14:paraId="44275D8B">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排放口编号及名称</w:t>
                  </w:r>
                </w:p>
              </w:tc>
              <w:tc>
                <w:tcPr>
                  <w:tcW w:w="2095" w:type="dxa"/>
                  <w:tcBorders>
                    <w:tl2br w:val="nil"/>
                    <w:tr2bl w:val="nil"/>
                  </w:tcBorders>
                  <w:noWrap w:val="0"/>
                  <w:vAlign w:val="center"/>
                </w:tcPr>
                <w:p w14:paraId="0A24094E">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地理坐标</w:t>
                  </w:r>
                </w:p>
              </w:tc>
              <w:tc>
                <w:tcPr>
                  <w:tcW w:w="898" w:type="dxa"/>
                  <w:tcBorders>
                    <w:tl2br w:val="nil"/>
                    <w:tr2bl w:val="nil"/>
                  </w:tcBorders>
                  <w:noWrap w:val="0"/>
                  <w:vAlign w:val="center"/>
                </w:tcPr>
                <w:p w14:paraId="3B74B467">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排气筒高度/m</w:t>
                  </w:r>
                </w:p>
              </w:tc>
              <w:tc>
                <w:tcPr>
                  <w:tcW w:w="1353" w:type="dxa"/>
                  <w:tcBorders>
                    <w:tl2br w:val="nil"/>
                    <w:tr2bl w:val="nil"/>
                  </w:tcBorders>
                  <w:noWrap w:val="0"/>
                  <w:vAlign w:val="center"/>
                </w:tcPr>
                <w:p w14:paraId="3D2777AD">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排气筒出口内径/m</w:t>
                  </w:r>
                </w:p>
              </w:tc>
              <w:tc>
                <w:tcPr>
                  <w:tcW w:w="1077" w:type="dxa"/>
                  <w:tcBorders>
                    <w:tl2br w:val="nil"/>
                    <w:tr2bl w:val="nil"/>
                  </w:tcBorders>
                  <w:noWrap w:val="0"/>
                  <w:vAlign w:val="center"/>
                </w:tcPr>
                <w:p w14:paraId="7A241577">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烟气温度/℃</w:t>
                  </w:r>
                </w:p>
              </w:tc>
              <w:tc>
                <w:tcPr>
                  <w:tcW w:w="1568" w:type="dxa"/>
                  <w:tcBorders>
                    <w:tl2br w:val="nil"/>
                    <w:tr2bl w:val="nil"/>
                  </w:tcBorders>
                  <w:noWrap w:val="0"/>
                  <w:vAlign w:val="center"/>
                </w:tcPr>
                <w:p w14:paraId="50BA3226">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类型</w:t>
                  </w:r>
                </w:p>
              </w:tc>
            </w:tr>
            <w:tr w14:paraId="5A5FB5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348" w:type="dxa"/>
                  <w:tcBorders>
                    <w:tl2br w:val="nil"/>
                    <w:tr2bl w:val="nil"/>
                  </w:tcBorders>
                  <w:noWrap w:val="0"/>
                  <w:vAlign w:val="center"/>
                </w:tcPr>
                <w:p w14:paraId="0B13B81D">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DA001</w:t>
                  </w:r>
                </w:p>
                <w:p w14:paraId="5D626F1F">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1#排气筒</w:t>
                  </w:r>
                </w:p>
              </w:tc>
              <w:tc>
                <w:tcPr>
                  <w:tcW w:w="2095" w:type="dxa"/>
                  <w:tcBorders>
                    <w:tl2br w:val="nil"/>
                    <w:tr2bl w:val="nil"/>
                  </w:tcBorders>
                  <w:noWrap w:val="0"/>
                  <w:vAlign w:val="center"/>
                </w:tcPr>
                <w:p w14:paraId="4F6ED3A5">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111°19′36.830″</w:t>
                  </w:r>
                </w:p>
                <w:p w14:paraId="6456D51A">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33°55′58.750″</w:t>
                  </w:r>
                </w:p>
              </w:tc>
              <w:tc>
                <w:tcPr>
                  <w:tcW w:w="898" w:type="dxa"/>
                  <w:tcBorders>
                    <w:tl2br w:val="nil"/>
                    <w:tr2bl w:val="nil"/>
                  </w:tcBorders>
                  <w:noWrap w:val="0"/>
                  <w:vAlign w:val="center"/>
                </w:tcPr>
                <w:p w14:paraId="0F79CA56">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353" w:type="dxa"/>
                  <w:tcBorders>
                    <w:tl2br w:val="nil"/>
                    <w:tr2bl w:val="nil"/>
                  </w:tcBorders>
                  <w:noWrap w:val="0"/>
                  <w:vAlign w:val="center"/>
                </w:tcPr>
                <w:p w14:paraId="2934DAF5">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w:t>
                  </w:r>
                </w:p>
              </w:tc>
              <w:tc>
                <w:tcPr>
                  <w:tcW w:w="1077" w:type="dxa"/>
                  <w:tcBorders>
                    <w:tl2br w:val="nil"/>
                    <w:tr2bl w:val="nil"/>
                  </w:tcBorders>
                  <w:noWrap w:val="0"/>
                  <w:vAlign w:val="center"/>
                </w:tcPr>
                <w:p w14:paraId="7F0552CF">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1568" w:type="dxa"/>
                  <w:tcBorders>
                    <w:tl2br w:val="nil"/>
                    <w:tr2bl w:val="nil"/>
                  </w:tcBorders>
                  <w:noWrap w:val="0"/>
                  <w:vAlign w:val="center"/>
                </w:tcPr>
                <w:p w14:paraId="2F7E1C53">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一般排放口</w:t>
                  </w:r>
                </w:p>
              </w:tc>
            </w:tr>
          </w:tbl>
          <w:p w14:paraId="6C5C80A1">
            <w:pPr>
              <w:autoSpaceDE w:val="0"/>
              <w:autoSpaceDN w:val="0"/>
              <w:spacing w:before="120" w:beforeLines="50" w:line="360" w:lineRule="auto"/>
              <w:jc w:val="left"/>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1.5 自行监测计划</w:t>
            </w:r>
          </w:p>
          <w:p w14:paraId="5C84F613">
            <w:pPr>
              <w:spacing w:line="440" w:lineRule="exact"/>
              <w:ind w:firstLine="210" w:firstLineChars="100"/>
              <w:jc w:val="both"/>
              <w:rPr>
                <w:rFonts w:hint="default" w:eastAsia="宋体"/>
                <w:sz w:val="24"/>
                <w:lang w:val="en-US" w:eastAsia="zh-CN"/>
              </w:rPr>
            </w:pPr>
            <w:r>
              <w:rPr>
                <w:rFonts w:hint="eastAsia"/>
                <w:kern w:val="0"/>
                <w:lang w:val="en-US" w:eastAsia="zh-CN"/>
              </w:rPr>
              <w:t xml:space="preserve"> </w:t>
            </w:r>
            <w:r>
              <w:rPr>
                <w:rFonts w:hint="eastAsia"/>
                <w:sz w:val="24"/>
              </w:rPr>
              <w:t>根据</w:t>
            </w:r>
            <w:r>
              <w:rPr>
                <w:rFonts w:hint="eastAsia"/>
                <w:sz w:val="24"/>
                <w:lang w:val="en-US" w:eastAsia="zh-CN"/>
              </w:rPr>
              <w:t>排污许可证申请与核发技术规范 水泥工业》</w:t>
            </w:r>
            <w:r>
              <w:rPr>
                <w:rFonts w:hint="eastAsia"/>
                <w:sz w:val="24"/>
                <w:szCs w:val="32"/>
                <w:lang w:val="en-US" w:eastAsia="zh-CN"/>
              </w:rPr>
              <w:t>（HJ848-2017）</w:t>
            </w:r>
            <w:r>
              <w:rPr>
                <w:rFonts w:hint="eastAsia"/>
                <w:sz w:val="24"/>
              </w:rPr>
              <w:t>，项目监测计划见下表。</w:t>
            </w:r>
          </w:p>
          <w:p w14:paraId="2B3F4C74">
            <w:pPr>
              <w:pStyle w:val="119"/>
              <w:numPr>
                <w:ilvl w:val="0"/>
                <w:numId w:val="0"/>
              </w:numPr>
              <w:jc w:val="center"/>
              <w:rPr>
                <w:rFonts w:hint="default" w:ascii="Times New Roman" w:hAnsi="Times New Roman" w:cs="Times New Roman"/>
                <w:kern w:val="0"/>
                <w:lang w:val="en-US" w:eastAsia="zh-CN"/>
              </w:rPr>
            </w:pPr>
            <w:r>
              <w:rPr>
                <w:rFonts w:hint="eastAsia" w:cs="Times New Roman"/>
                <w:kern w:val="0"/>
                <w:lang w:val="en-US" w:eastAsia="zh-CN"/>
              </w:rPr>
              <w:t xml:space="preserve">       </w:t>
            </w:r>
            <w:r>
              <w:rPr>
                <w:rFonts w:hint="eastAsia" w:ascii="Times New Roman" w:hAnsi="Times New Roman" w:cs="Times New Roman"/>
                <w:kern w:val="0"/>
                <w:lang w:val="en-US" w:eastAsia="zh-CN"/>
              </w:rPr>
              <w:t>表4-</w:t>
            </w:r>
            <w:r>
              <w:rPr>
                <w:rFonts w:hint="eastAsia" w:cs="Times New Roman"/>
                <w:kern w:val="0"/>
                <w:lang w:val="en-US" w:eastAsia="zh-CN"/>
              </w:rPr>
              <w:t xml:space="preserve">6  </w:t>
            </w:r>
            <w:r>
              <w:rPr>
                <w:rFonts w:hint="eastAsia" w:ascii="Times New Roman" w:hAnsi="Times New Roman" w:cs="Times New Roman"/>
                <w:kern w:val="0"/>
                <w:lang w:val="en-US" w:eastAsia="zh-CN"/>
              </w:rPr>
              <w:t xml:space="preserve">  本项目大气污染源监测计划表</w:t>
            </w:r>
          </w:p>
          <w:tbl>
            <w:tblPr>
              <w:tblStyle w:val="32"/>
              <w:tblW w:w="79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38"/>
              <w:gridCol w:w="990"/>
              <w:gridCol w:w="1140"/>
              <w:gridCol w:w="3878"/>
            </w:tblGrid>
            <w:tr w14:paraId="31D5F6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38" w:type="dxa"/>
                  <w:tcBorders>
                    <w:tl2br w:val="nil"/>
                    <w:tr2bl w:val="nil"/>
                  </w:tcBorders>
                  <w:noWrap w:val="0"/>
                  <w:vAlign w:val="center"/>
                </w:tcPr>
                <w:p w14:paraId="3EAB0490">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监测点位</w:t>
                  </w:r>
                </w:p>
              </w:tc>
              <w:tc>
                <w:tcPr>
                  <w:tcW w:w="990" w:type="dxa"/>
                  <w:tcBorders>
                    <w:tl2br w:val="nil"/>
                    <w:tr2bl w:val="nil"/>
                  </w:tcBorders>
                  <w:noWrap w:val="0"/>
                  <w:vAlign w:val="center"/>
                </w:tcPr>
                <w:p w14:paraId="30FDC0D8">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监测</w:t>
                  </w:r>
                </w:p>
                <w:p w14:paraId="1511A77A">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指标</w:t>
                  </w:r>
                </w:p>
              </w:tc>
              <w:tc>
                <w:tcPr>
                  <w:tcW w:w="1140" w:type="dxa"/>
                  <w:tcBorders>
                    <w:tl2br w:val="nil"/>
                    <w:tr2bl w:val="nil"/>
                  </w:tcBorders>
                  <w:noWrap w:val="0"/>
                  <w:vAlign w:val="center"/>
                </w:tcPr>
                <w:p w14:paraId="75A56B8E">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监测频次</w:t>
                  </w:r>
                </w:p>
              </w:tc>
              <w:tc>
                <w:tcPr>
                  <w:tcW w:w="3878" w:type="dxa"/>
                  <w:tcBorders>
                    <w:tl2br w:val="nil"/>
                    <w:tr2bl w:val="nil"/>
                  </w:tcBorders>
                  <w:noWrap w:val="0"/>
                  <w:vAlign w:val="center"/>
                </w:tcPr>
                <w:p w14:paraId="62E8950C">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执行排放标准</w:t>
                  </w:r>
                </w:p>
              </w:tc>
            </w:tr>
            <w:tr w14:paraId="5F856E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5" w:hRule="atLeast"/>
                <w:jc w:val="center"/>
              </w:trPr>
              <w:tc>
                <w:tcPr>
                  <w:tcW w:w="1938" w:type="dxa"/>
                  <w:tcBorders>
                    <w:tl2br w:val="nil"/>
                    <w:tr2bl w:val="nil"/>
                  </w:tcBorders>
                  <w:noWrap w:val="0"/>
                  <w:vAlign w:val="center"/>
                </w:tcPr>
                <w:p w14:paraId="4CD07938">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DA001</w:t>
                  </w:r>
                </w:p>
              </w:tc>
              <w:tc>
                <w:tcPr>
                  <w:tcW w:w="990" w:type="dxa"/>
                  <w:vMerge w:val="restart"/>
                  <w:tcBorders>
                    <w:tl2br w:val="nil"/>
                    <w:tr2bl w:val="nil"/>
                  </w:tcBorders>
                  <w:noWrap w:val="0"/>
                  <w:vAlign w:val="center"/>
                </w:tcPr>
                <w:p w14:paraId="07F5CF6E">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140" w:type="dxa"/>
                  <w:tcBorders>
                    <w:tl2br w:val="nil"/>
                    <w:tr2bl w:val="nil"/>
                  </w:tcBorders>
                  <w:noWrap w:val="0"/>
                  <w:vAlign w:val="center"/>
                </w:tcPr>
                <w:p w14:paraId="68BA1628">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1次/年</w:t>
                  </w:r>
                </w:p>
              </w:tc>
              <w:tc>
                <w:tcPr>
                  <w:tcW w:w="3878" w:type="dxa"/>
                  <w:tcBorders>
                    <w:tl2br w:val="nil"/>
                    <w:tr2bl w:val="nil"/>
                  </w:tcBorders>
                  <w:noWrap w:val="0"/>
                  <w:vAlign w:val="center"/>
                </w:tcPr>
                <w:p w14:paraId="18D14CCF">
                  <w:pPr>
                    <w:adjustRightInd w:val="0"/>
                    <w:snapToGrid w:val="0"/>
                    <w:jc w:val="both"/>
                    <w:rPr>
                      <w:rFonts w:hint="default" w:ascii="Times New Roman" w:hAnsi="Times New Roman" w:eastAsia="宋体" w:cs="Times New Roman"/>
                      <w:sz w:val="21"/>
                      <w:szCs w:val="21"/>
                      <w:lang w:val="en-US" w:eastAsia="zh-CN"/>
                    </w:rPr>
                  </w:pPr>
                  <w:bookmarkStart w:id="6" w:name="OLE_LINK17"/>
                  <w:r>
                    <w:rPr>
                      <w:rFonts w:hint="eastAsia"/>
                    </w:rPr>
                    <w:t>《大气污染物综合排放标准》（</w:t>
                  </w:r>
                  <w:r>
                    <w:t>GB16297-1996</w:t>
                  </w:r>
                  <w:r>
                    <w:rPr>
                      <w:rFonts w:hint="eastAsia"/>
                    </w:rPr>
                    <w:t>）二级标准“排放浓度</w:t>
                  </w:r>
                  <w:bookmarkStart w:id="7" w:name="OLE_LINK15"/>
                  <w:r>
                    <w:t>120mg/m</w:t>
                  </w:r>
                  <w:r>
                    <w:rPr>
                      <w:vertAlign w:val="superscript"/>
                    </w:rPr>
                    <w:t>3</w:t>
                  </w:r>
                  <w:bookmarkEnd w:id="7"/>
                  <w:r>
                    <w:rPr>
                      <w:rFonts w:hint="eastAsia"/>
                    </w:rPr>
                    <w:t>，</w:t>
                  </w:r>
                  <w:r>
                    <w:t>15m</w:t>
                  </w:r>
                  <w:r>
                    <w:rPr>
                      <w:rFonts w:hint="eastAsia"/>
                    </w:rPr>
                    <w:t>高排气筒排放速率</w:t>
                  </w:r>
                  <w:r>
                    <w:t>3.5kg/h</w:t>
                  </w:r>
                  <w:r>
                    <w:rPr>
                      <w:rFonts w:hint="eastAsia"/>
                    </w:rPr>
                    <w:t>”</w:t>
                  </w:r>
                  <w:bookmarkStart w:id="8" w:name="OLE_LINK16"/>
                  <w:r>
                    <w:rPr>
                      <w:rFonts w:hint="eastAsia"/>
                      <w:lang w:val="en-US" w:eastAsia="zh-CN"/>
                    </w:rPr>
                    <w:t>;</w:t>
                  </w:r>
                  <w:r>
                    <w:rPr>
                      <w:rFonts w:hint="eastAsia"/>
                    </w:rPr>
                    <w:t>《洛阳市重污染天气通用行业差异化应急减排措施制定技术指南》通用行业涉颗粒物要求“PM排放浓度不超过</w:t>
                  </w:r>
                  <w:r>
                    <w:t>10mg/m</w:t>
                  </w:r>
                  <w:r>
                    <w:rPr>
                      <w:vertAlign w:val="superscript"/>
                    </w:rPr>
                    <w:t>3</w:t>
                  </w:r>
                  <w:r>
                    <w:rPr>
                      <w:rFonts w:hint="eastAsia"/>
                    </w:rPr>
                    <w:t>”</w:t>
                  </w:r>
                  <w:bookmarkEnd w:id="6"/>
                  <w:bookmarkEnd w:id="8"/>
                </w:p>
              </w:tc>
            </w:tr>
            <w:tr w14:paraId="4AA36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38" w:type="dxa"/>
                  <w:tcBorders>
                    <w:tl2br w:val="nil"/>
                    <w:tr2bl w:val="nil"/>
                  </w:tcBorders>
                  <w:noWrap w:val="0"/>
                  <w:vAlign w:val="center"/>
                </w:tcPr>
                <w:p w14:paraId="29A52AE3">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厂界上风向1个点位，下风向3个点位</w:t>
                  </w:r>
                </w:p>
              </w:tc>
              <w:tc>
                <w:tcPr>
                  <w:tcW w:w="990" w:type="dxa"/>
                  <w:vMerge w:val="continue"/>
                  <w:tcBorders>
                    <w:tl2br w:val="nil"/>
                    <w:tr2bl w:val="nil"/>
                  </w:tcBorders>
                  <w:noWrap w:val="0"/>
                  <w:vAlign w:val="center"/>
                </w:tcPr>
                <w:p w14:paraId="3D9E9014">
                  <w:pPr>
                    <w:adjustRightInd w:val="0"/>
                    <w:snapToGrid w:val="0"/>
                    <w:jc w:val="center"/>
                    <w:rPr>
                      <w:rFonts w:hint="eastAsia" w:ascii="Times New Roman" w:hAnsi="Times New Roman" w:eastAsia="宋体" w:cs="Times New Roman"/>
                      <w:sz w:val="21"/>
                      <w:szCs w:val="21"/>
                      <w:lang w:val="en-US" w:eastAsia="zh-CN"/>
                    </w:rPr>
                  </w:pPr>
                </w:p>
              </w:tc>
              <w:tc>
                <w:tcPr>
                  <w:tcW w:w="1140" w:type="dxa"/>
                  <w:tcBorders>
                    <w:tl2br w:val="nil"/>
                    <w:tr2bl w:val="nil"/>
                  </w:tcBorders>
                  <w:noWrap w:val="0"/>
                  <w:vAlign w:val="center"/>
                </w:tcPr>
                <w:p w14:paraId="067E5764">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1次/年</w:t>
                  </w:r>
                </w:p>
              </w:tc>
              <w:tc>
                <w:tcPr>
                  <w:tcW w:w="3878" w:type="dxa"/>
                  <w:tcBorders>
                    <w:tl2br w:val="nil"/>
                    <w:tr2bl w:val="nil"/>
                  </w:tcBorders>
                  <w:noWrap w:val="0"/>
                  <w:vAlign w:val="center"/>
                </w:tcPr>
                <w:p w14:paraId="4393C1FA">
                  <w:pPr>
                    <w:pStyle w:val="103"/>
                    <w:bidi w:val="0"/>
                  </w:pPr>
                  <w:r>
                    <w:t>《大气污染物综合排放标准》</w:t>
                  </w:r>
                </w:p>
                <w:p w14:paraId="472CF3C6">
                  <w:pPr>
                    <w:adjustRightInd w:val="0"/>
                    <w:snapToGrid w:val="0"/>
                    <w:jc w:val="center"/>
                    <w:rPr>
                      <w:rFonts w:hint="eastAsia" w:ascii="Times New Roman" w:hAnsi="Times New Roman" w:eastAsia="宋体" w:cs="Times New Roman"/>
                      <w:sz w:val="21"/>
                      <w:szCs w:val="21"/>
                      <w:lang w:val="en-US" w:eastAsia="zh-CN"/>
                    </w:rPr>
                  </w:pPr>
                  <w:r>
                    <w:t>（GB16297-1996）表2中颗粒物无组织排放监控浓度限值1.0mg/m</w:t>
                  </w:r>
                  <w:r>
                    <w:rPr>
                      <w:vertAlign w:val="superscript"/>
                    </w:rPr>
                    <w:t>3</w:t>
                  </w:r>
                </w:p>
              </w:tc>
            </w:tr>
          </w:tbl>
          <w:p w14:paraId="0FAE9235">
            <w:pPr>
              <w:pStyle w:val="20"/>
              <w:keepNext w:val="0"/>
              <w:keepLines w:val="0"/>
              <w:pageBreakBefore w:val="0"/>
              <w:widowControl w:val="0"/>
              <w:numPr>
                <w:ilvl w:val="0"/>
                <w:numId w:val="0"/>
              </w:numPr>
              <w:kinsoku/>
              <w:wordWrap/>
              <w:overflowPunct/>
              <w:topLinePunct w:val="0"/>
              <w:autoSpaceDE/>
              <w:autoSpaceDN/>
              <w:bidi w:val="0"/>
              <w:adjustRightInd/>
              <w:snapToGrid/>
              <w:spacing w:before="120" w:beforeLines="50" w:line="500" w:lineRule="exact"/>
              <w:ind w:leftChars="0"/>
              <w:textAlignment w:val="auto"/>
              <w:rPr>
                <w:b/>
                <w:bCs/>
                <w:kern w:val="0"/>
                <w:sz w:val="24"/>
                <w:szCs w:val="20"/>
                <w:lang w:bidi="ar"/>
              </w:rPr>
            </w:pPr>
            <w:r>
              <w:rPr>
                <w:rFonts w:hint="eastAsia"/>
                <w:b/>
                <w:bCs/>
                <w:sz w:val="24"/>
              </w:rPr>
              <w:t>1.</w:t>
            </w:r>
            <w:r>
              <w:rPr>
                <w:rFonts w:hint="eastAsia"/>
                <w:b/>
                <w:bCs/>
                <w:sz w:val="24"/>
                <w:lang w:val="en-US" w:eastAsia="zh-CN"/>
              </w:rPr>
              <w:t>6废气污染防治措施可行性</w:t>
            </w:r>
            <w:r>
              <w:rPr>
                <w:b/>
                <w:bCs/>
                <w:sz w:val="24"/>
              </w:rPr>
              <w:t>分析</w:t>
            </w:r>
          </w:p>
          <w:p w14:paraId="25959073">
            <w:pPr>
              <w:pStyle w:val="63"/>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sz w:val="24"/>
              </w:rPr>
            </w:pPr>
            <w:r>
              <w:rPr>
                <w:rFonts w:hint="eastAsia"/>
                <w:sz w:val="24"/>
                <w:lang w:val="en-US" w:eastAsia="zh-CN"/>
              </w:rPr>
              <w:t>根据排污许可技术规范，本项目采取的污染治理措施属于可行技术，项目营运期不涉及废气非正常与事故排放情况。根据上述分析可知，</w:t>
            </w:r>
            <w:r>
              <w:rPr>
                <w:rFonts w:hint="eastAsia" w:ascii="宋体" w:hAnsi="宋体" w:eastAsia="宋体" w:cs="宋体"/>
              </w:rPr>
              <w:t>有组织废气可以满足《大气污染物综合排放标准》（</w:t>
            </w:r>
            <w:r>
              <w:t>GB16297-1996</w:t>
            </w:r>
            <w:r>
              <w:rPr>
                <w:rFonts w:hint="eastAsia" w:ascii="宋体" w:hAnsi="宋体" w:eastAsia="宋体" w:cs="宋体"/>
              </w:rPr>
              <w:t>）表</w:t>
            </w:r>
            <w:r>
              <w:t>2</w:t>
            </w:r>
            <w:r>
              <w:rPr>
                <w:rFonts w:hint="eastAsia" w:ascii="宋体" w:hAnsi="宋体" w:eastAsia="宋体" w:cs="宋体"/>
              </w:rPr>
              <w:t>二级标准和绩效分级要求：</w:t>
            </w:r>
            <w:r>
              <w:t>“</w:t>
            </w:r>
            <w:r>
              <w:rPr>
                <w:rFonts w:hint="eastAsia" w:ascii="宋体" w:hAnsi="宋体" w:eastAsia="宋体" w:cs="宋体"/>
              </w:rPr>
              <w:t>排气筒高度</w:t>
            </w:r>
            <w:r>
              <w:t>15m</w:t>
            </w:r>
            <w:r>
              <w:rPr>
                <w:rFonts w:hint="eastAsia" w:ascii="宋体" w:hAnsi="宋体" w:eastAsia="宋体" w:cs="宋体"/>
              </w:rPr>
              <w:t>，最高允许排放浓度为</w:t>
            </w:r>
            <w:r>
              <w:t>10mg/m</w:t>
            </w:r>
            <w:r>
              <w:rPr>
                <w:rFonts w:hint="eastAsia"/>
                <w:vertAlign w:val="superscript"/>
              </w:rPr>
              <w:t>3</w:t>
            </w:r>
            <w:r>
              <w:rPr>
                <w:rFonts w:hint="eastAsia" w:ascii="宋体" w:hAnsi="宋体" w:eastAsia="宋体" w:cs="宋体"/>
              </w:rPr>
              <w:t>，最高允许排放速率为</w:t>
            </w:r>
            <w:r>
              <w:t>3.5kg/h”</w:t>
            </w:r>
            <w:r>
              <w:rPr>
                <w:rFonts w:hint="eastAsia" w:ascii="宋体" w:hAnsi="宋体" w:eastAsia="宋体" w:cs="宋体"/>
              </w:rPr>
              <w:t>的要求，预计有组织废气对周围大气环境影响不大。无组织废气厂界排放浓度可达到《大气污染物综合排放标准》（</w:t>
            </w:r>
            <w:r>
              <w:t>GB16297-1996</w:t>
            </w:r>
            <w:r>
              <w:rPr>
                <w:rFonts w:hint="eastAsia" w:ascii="宋体" w:hAnsi="宋体" w:eastAsia="宋体" w:cs="宋体"/>
              </w:rPr>
              <w:t>）中</w:t>
            </w:r>
            <w:r>
              <w:rPr>
                <w:rFonts w:hint="eastAsia" w:ascii="宋体" w:hAnsi="宋体" w:eastAsia="宋体" w:cs="宋体"/>
                <w:highlight w:val="none"/>
              </w:rPr>
              <w:t>无组织排放监控浓度限值：周界外浓度最高点</w:t>
            </w:r>
            <w:r>
              <w:rPr>
                <w:highlight w:val="none"/>
              </w:rPr>
              <w:t>≤1.0mg/m</w:t>
            </w:r>
            <w:r>
              <w:rPr>
                <w:rFonts w:hint="eastAsia"/>
                <w:highlight w:val="none"/>
                <w:vertAlign w:val="superscript"/>
              </w:rPr>
              <w:t>3</w:t>
            </w:r>
            <w:r>
              <w:rPr>
                <w:rFonts w:hint="eastAsia" w:ascii="宋体" w:hAnsi="宋体" w:eastAsia="宋体" w:cs="宋体"/>
              </w:rPr>
              <w:t>。</w:t>
            </w:r>
            <w:r>
              <w:rPr>
                <w:rFonts w:hint="eastAsia" w:ascii="宋体" w:hAnsi="宋体" w:eastAsia="宋体" w:cs="宋体"/>
                <w:lang w:eastAsia="zh-CN"/>
              </w:rPr>
              <w:t>因此，本项目废气污染防治措施可行。</w:t>
            </w:r>
          </w:p>
          <w:p w14:paraId="16B18E3B">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default"/>
                <w:b/>
                <w:spacing w:val="-10"/>
                <w:sz w:val="24"/>
                <w:lang w:val="en-US" w:eastAsia="zh-CN"/>
              </w:rPr>
            </w:pPr>
            <w:r>
              <w:rPr>
                <w:b/>
                <w:spacing w:val="-10"/>
                <w:sz w:val="24"/>
              </w:rPr>
              <w:t>2</w:t>
            </w:r>
            <w:r>
              <w:rPr>
                <w:rFonts w:hint="eastAsia"/>
                <w:b/>
                <w:spacing w:val="-10"/>
                <w:sz w:val="24"/>
                <w:lang w:eastAsia="zh-CN"/>
              </w:rPr>
              <w:t>、</w:t>
            </w:r>
            <w:r>
              <w:rPr>
                <w:b/>
                <w:spacing w:val="-10"/>
                <w:sz w:val="24"/>
              </w:rPr>
              <w:t>废水</w:t>
            </w:r>
          </w:p>
          <w:p w14:paraId="3822A686">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42" w:leftChars="0" w:hanging="442" w:hangingChars="200"/>
              <w:contextualSpacing/>
              <w:textAlignment w:val="auto"/>
              <w:rPr>
                <w:rFonts w:hint="eastAsia" w:cs="Times New Roman"/>
                <w:kern w:val="0"/>
                <w:sz w:val="24"/>
                <w:szCs w:val="20"/>
                <w:lang w:val="en-US" w:eastAsia="zh-CN" w:bidi="ar-SA"/>
              </w:rPr>
            </w:pPr>
            <w:r>
              <w:rPr>
                <w:b/>
                <w:spacing w:val="-10"/>
                <w:sz w:val="24"/>
              </w:rPr>
              <w:t>2.1</w:t>
            </w:r>
            <w:r>
              <w:rPr>
                <w:rFonts w:hint="eastAsia"/>
                <w:b/>
                <w:spacing w:val="-10"/>
                <w:sz w:val="24"/>
                <w:lang w:val="en-US" w:eastAsia="zh-CN"/>
              </w:rPr>
              <w:t>废水</w:t>
            </w:r>
            <w:r>
              <w:rPr>
                <w:rFonts w:hint="eastAsia"/>
                <w:b/>
                <w:spacing w:val="-10"/>
                <w:sz w:val="24"/>
              </w:rPr>
              <w:t>污染源</w:t>
            </w:r>
            <w:r>
              <w:rPr>
                <w:rFonts w:hint="eastAsia"/>
                <w:b/>
                <w:spacing w:val="-10"/>
                <w:sz w:val="24"/>
                <w:lang w:val="en-US" w:eastAsia="zh-CN"/>
              </w:rPr>
              <w:t>分析</w:t>
            </w:r>
            <w:r>
              <w:rPr>
                <w:rFonts w:hint="eastAsia"/>
                <w:b/>
                <w:bCs/>
                <w:sz w:val="24"/>
                <w:lang w:val="en-US" w:eastAsia="zh-CN"/>
              </w:rPr>
              <w:br w:type="textWrapping"/>
            </w:r>
            <w:r>
              <w:rPr>
                <w:rFonts w:hint="eastAsia" w:ascii="Times New Roman" w:hAnsi="Times New Roman" w:eastAsia="宋体" w:cs="Times New Roman"/>
                <w:kern w:val="0"/>
                <w:sz w:val="24"/>
                <w:szCs w:val="20"/>
                <w:lang w:val="en-US" w:eastAsia="zh-CN" w:bidi="ar-SA"/>
              </w:rPr>
              <w:t>项目运营期产生的</w:t>
            </w:r>
            <w:r>
              <w:rPr>
                <w:rFonts w:hint="eastAsia" w:cs="Times New Roman"/>
                <w:kern w:val="0"/>
                <w:sz w:val="24"/>
                <w:szCs w:val="20"/>
                <w:lang w:val="en-US" w:eastAsia="zh-CN" w:bidi="ar-SA"/>
              </w:rPr>
              <w:t>废水主要为职工生活污水、浓密机溢流水、地面冲洗抑尘</w:t>
            </w:r>
          </w:p>
          <w:p w14:paraId="476DDBB3">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cs="Times New Roman"/>
                <w:kern w:val="0"/>
                <w:sz w:val="24"/>
                <w:szCs w:val="20"/>
                <w:lang w:val="en-US" w:eastAsia="zh-CN" w:bidi="ar-SA"/>
              </w:rPr>
            </w:pPr>
            <w:r>
              <w:rPr>
                <w:rFonts w:hint="eastAsia" w:cs="Times New Roman"/>
                <w:kern w:val="0"/>
                <w:sz w:val="24"/>
                <w:szCs w:val="20"/>
                <w:lang w:val="en-US" w:eastAsia="zh-CN" w:bidi="ar-SA"/>
              </w:rPr>
              <w:t>水和管道冲洗水。</w:t>
            </w:r>
          </w:p>
          <w:p w14:paraId="460F29F3">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contextualSpacing/>
              <w:textAlignment w:val="auto"/>
              <w:rPr>
                <w:rFonts w:hint="eastAsia" w:hAnsi="宋体"/>
                <w:bCs/>
                <w:sz w:val="24"/>
                <w:lang w:val="en-US" w:eastAsia="zh-CN"/>
              </w:rPr>
            </w:pPr>
            <w:r>
              <w:rPr>
                <w:rFonts w:hint="eastAsia"/>
                <w:b w:val="0"/>
                <w:bCs w:val="0"/>
                <w:sz w:val="24"/>
                <w:lang w:val="en-US" w:eastAsia="zh-CN"/>
              </w:rPr>
              <w:t>（1）生活污水</w:t>
            </w:r>
            <w:r>
              <w:rPr>
                <w:rFonts w:hint="eastAsia" w:hAnsi="宋体"/>
                <w:bCs/>
                <w:sz w:val="24"/>
                <w:lang w:val="en-US" w:eastAsia="zh-CN"/>
              </w:rPr>
              <w:t xml:space="preserve"> </w:t>
            </w:r>
          </w:p>
          <w:p w14:paraId="55F66B81">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hAnsi="宋体"/>
                <w:bCs/>
                <w:sz w:val="24"/>
                <w:lang w:val="en-US" w:eastAsia="zh-CN"/>
              </w:rPr>
            </w:pPr>
            <w:r>
              <w:rPr>
                <w:rFonts w:hint="eastAsia" w:hAnsi="宋体"/>
                <w:bCs/>
                <w:sz w:val="24"/>
                <w:lang w:val="en-US" w:eastAsia="zh-CN"/>
              </w:rPr>
              <w:t>本项目劳动定员15人，年工作300天，根据河南省地方标准《工业与城镇生活用水定额》（DB41/T385—2020）， 生活用水量按40L/（人•d），则员工日生活用水量为0.6m</w:t>
            </w:r>
            <w:r>
              <w:rPr>
                <w:rFonts w:hint="eastAsia" w:hAnsi="宋体"/>
                <w:bCs/>
                <w:sz w:val="24"/>
                <w:vertAlign w:val="superscript"/>
                <w:lang w:val="en-US" w:eastAsia="zh-CN"/>
              </w:rPr>
              <w:t>3</w:t>
            </w:r>
            <w:r>
              <w:rPr>
                <w:rFonts w:hint="eastAsia" w:hAnsi="宋体"/>
                <w:bCs/>
                <w:sz w:val="24"/>
                <w:lang w:val="en-US" w:eastAsia="zh-CN"/>
              </w:rPr>
              <w:t>/d，合计180m</w:t>
            </w:r>
            <w:r>
              <w:rPr>
                <w:rFonts w:hint="eastAsia" w:hAnsi="宋体"/>
                <w:bCs/>
                <w:sz w:val="24"/>
                <w:vertAlign w:val="superscript"/>
                <w:lang w:val="en-US" w:eastAsia="zh-CN"/>
              </w:rPr>
              <w:t>3</w:t>
            </w:r>
            <w:r>
              <w:rPr>
                <w:rFonts w:hint="eastAsia" w:hAnsi="宋体"/>
                <w:bCs/>
                <w:sz w:val="24"/>
                <w:lang w:val="en-US" w:eastAsia="zh-CN"/>
              </w:rPr>
              <w:t>/a；排水系数按照0.8计，则生活污水产生量为0.48m</w:t>
            </w:r>
            <w:r>
              <w:rPr>
                <w:rFonts w:hint="eastAsia" w:hAnsi="宋体"/>
                <w:bCs/>
                <w:sz w:val="24"/>
                <w:vertAlign w:val="superscript"/>
                <w:lang w:val="en-US" w:eastAsia="zh-CN"/>
              </w:rPr>
              <w:t>3</w:t>
            </w:r>
            <w:r>
              <w:rPr>
                <w:rFonts w:hint="eastAsia" w:hAnsi="宋体"/>
                <w:bCs/>
                <w:sz w:val="24"/>
                <w:lang w:val="en-US" w:eastAsia="zh-CN"/>
              </w:rPr>
              <w:t>/d，合计144m</w:t>
            </w:r>
            <w:r>
              <w:rPr>
                <w:rFonts w:hint="eastAsia" w:hAnsi="宋体"/>
                <w:bCs/>
                <w:sz w:val="24"/>
                <w:vertAlign w:val="superscript"/>
                <w:lang w:val="en-US" w:eastAsia="zh-CN"/>
              </w:rPr>
              <w:t>3</w:t>
            </w:r>
            <w:r>
              <w:rPr>
                <w:rFonts w:hint="eastAsia" w:hAnsi="宋体"/>
                <w:bCs/>
                <w:sz w:val="24"/>
                <w:lang w:val="en-US" w:eastAsia="zh-CN"/>
              </w:rPr>
              <w:t xml:space="preserve">/a。 </w:t>
            </w:r>
          </w:p>
          <w:p w14:paraId="5FC76D52">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hAnsi="宋体"/>
                <w:bCs/>
                <w:sz w:val="24"/>
              </w:rPr>
            </w:pPr>
            <w:r>
              <w:rPr>
                <w:rFonts w:hint="eastAsia" w:hAnsi="宋体"/>
                <w:bCs/>
                <w:sz w:val="24"/>
                <w:lang w:val="en-US" w:eastAsia="zh-CN"/>
              </w:rPr>
              <w:t>项目生活污水经化粪池（容积为5m³）处理后，由当地农户定期清抽用于肥田</w:t>
            </w:r>
            <w:r>
              <w:rPr>
                <w:rFonts w:hint="eastAsia" w:hAnsi="宋体"/>
                <w:bCs/>
                <w:sz w:val="24"/>
              </w:rPr>
              <w:t>。</w:t>
            </w:r>
          </w:p>
          <w:p w14:paraId="3973F948">
            <w:pPr>
              <w:pStyle w:val="119"/>
              <w:numPr>
                <w:ilvl w:val="0"/>
                <w:numId w:val="0"/>
              </w:numPr>
              <w:jc w:val="center"/>
              <w:rPr>
                <w:rFonts w:hint="eastAsia"/>
                <w:kern w:val="0"/>
                <w:lang w:eastAsia="zh-CN"/>
              </w:rPr>
            </w:pPr>
          </w:p>
          <w:p w14:paraId="75B480AA">
            <w:pPr>
              <w:pStyle w:val="119"/>
              <w:numPr>
                <w:ilvl w:val="0"/>
                <w:numId w:val="0"/>
              </w:numPr>
              <w:jc w:val="center"/>
              <w:rPr>
                <w:rFonts w:hint="eastAsia"/>
                <w:kern w:val="0"/>
              </w:rPr>
            </w:pPr>
            <w:r>
              <w:rPr>
                <w:rFonts w:hint="eastAsia"/>
                <w:kern w:val="0"/>
                <w:lang w:eastAsia="zh-CN"/>
              </w:rPr>
              <w:t>表</w:t>
            </w:r>
            <w:r>
              <w:rPr>
                <w:rFonts w:hint="eastAsia"/>
                <w:kern w:val="0"/>
                <w:lang w:val="en-US" w:eastAsia="zh-CN"/>
              </w:rPr>
              <w:t>4-7</w:t>
            </w:r>
            <w:r>
              <w:rPr>
                <w:rFonts w:hint="eastAsia"/>
                <w:kern w:val="0"/>
              </w:rPr>
              <w:t xml:space="preserve">    废水类别、污染物及污染治理设施信息表</w:t>
            </w:r>
          </w:p>
          <w:tbl>
            <w:tblPr>
              <w:tblStyle w:val="31"/>
              <w:tblW w:w="82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33"/>
              <w:gridCol w:w="609"/>
              <w:gridCol w:w="681"/>
              <w:gridCol w:w="735"/>
              <w:gridCol w:w="912"/>
              <w:gridCol w:w="772"/>
              <w:gridCol w:w="646"/>
              <w:gridCol w:w="679"/>
              <w:gridCol w:w="925"/>
              <w:gridCol w:w="756"/>
              <w:gridCol w:w="863"/>
            </w:tblGrid>
            <w:tr w14:paraId="32A36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633" w:type="dxa"/>
                  <w:vMerge w:val="restart"/>
                  <w:tcBorders>
                    <w:tl2br w:val="nil"/>
                    <w:tr2bl w:val="nil"/>
                  </w:tcBorders>
                  <w:noWrap w:val="0"/>
                  <w:tcMar>
                    <w:left w:w="0" w:type="dxa"/>
                    <w:right w:w="0" w:type="dxa"/>
                  </w:tcMar>
                  <w:vAlign w:val="center"/>
                </w:tcPr>
                <w:p w14:paraId="7C4E6727">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产排污环节</w:t>
                  </w:r>
                </w:p>
              </w:tc>
              <w:tc>
                <w:tcPr>
                  <w:tcW w:w="609" w:type="dxa"/>
                  <w:vMerge w:val="restart"/>
                  <w:tcBorders>
                    <w:tl2br w:val="nil"/>
                    <w:tr2bl w:val="nil"/>
                  </w:tcBorders>
                  <w:noWrap w:val="0"/>
                  <w:tcMar>
                    <w:left w:w="0" w:type="dxa"/>
                    <w:right w:w="0" w:type="dxa"/>
                  </w:tcMar>
                  <w:vAlign w:val="center"/>
                </w:tcPr>
                <w:p w14:paraId="56BC195D">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废水</w:t>
                  </w:r>
                </w:p>
                <w:p w14:paraId="1FD383BC">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681" w:type="dxa"/>
                  <w:vMerge w:val="restart"/>
                  <w:tcBorders>
                    <w:tl2br w:val="nil"/>
                    <w:tr2bl w:val="nil"/>
                  </w:tcBorders>
                  <w:noWrap w:val="0"/>
                  <w:tcMar>
                    <w:left w:w="0" w:type="dxa"/>
                    <w:right w:w="0" w:type="dxa"/>
                  </w:tcMar>
                  <w:vAlign w:val="center"/>
                </w:tcPr>
                <w:p w14:paraId="64AFD3D2">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废水量</w:t>
                  </w: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/a</w:t>
                  </w:r>
                </w:p>
              </w:tc>
              <w:tc>
                <w:tcPr>
                  <w:tcW w:w="735" w:type="dxa"/>
                  <w:vMerge w:val="restart"/>
                  <w:tcBorders>
                    <w:tl2br w:val="nil"/>
                    <w:tr2bl w:val="nil"/>
                  </w:tcBorders>
                  <w:noWrap w:val="0"/>
                  <w:tcMar>
                    <w:left w:w="0" w:type="dxa"/>
                    <w:right w:w="0" w:type="dxa"/>
                  </w:tcMar>
                  <w:vAlign w:val="center"/>
                </w:tcPr>
                <w:p w14:paraId="53018AB1">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p w14:paraId="0B9493F1">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种类</w:t>
                  </w:r>
                </w:p>
              </w:tc>
              <w:tc>
                <w:tcPr>
                  <w:tcW w:w="1684" w:type="dxa"/>
                  <w:gridSpan w:val="2"/>
                  <w:tcBorders>
                    <w:tl2br w:val="nil"/>
                    <w:tr2bl w:val="nil"/>
                  </w:tcBorders>
                  <w:noWrap w:val="0"/>
                  <w:tcMar>
                    <w:left w:w="0" w:type="dxa"/>
                    <w:right w:w="0" w:type="dxa"/>
                  </w:tcMar>
                  <w:vAlign w:val="center"/>
                </w:tcPr>
                <w:p w14:paraId="04CEBDF4">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污染物产生</w:t>
                  </w:r>
                </w:p>
              </w:tc>
              <w:tc>
                <w:tcPr>
                  <w:tcW w:w="646" w:type="dxa"/>
                  <w:vMerge w:val="restart"/>
                  <w:tcBorders>
                    <w:tl2br w:val="nil"/>
                    <w:tr2bl w:val="nil"/>
                  </w:tcBorders>
                  <w:noWrap w:val="0"/>
                  <w:tcMar>
                    <w:left w:w="0" w:type="dxa"/>
                    <w:right w:w="0" w:type="dxa"/>
                  </w:tcMar>
                  <w:vAlign w:val="center"/>
                </w:tcPr>
                <w:p w14:paraId="2DD64C11">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污染治理设施</w:t>
                  </w:r>
                </w:p>
              </w:tc>
              <w:tc>
                <w:tcPr>
                  <w:tcW w:w="679" w:type="dxa"/>
                  <w:vMerge w:val="restart"/>
                  <w:tcBorders>
                    <w:tl2br w:val="nil"/>
                    <w:tr2bl w:val="nil"/>
                  </w:tcBorders>
                  <w:noWrap w:val="0"/>
                  <w:tcMar>
                    <w:left w:w="0" w:type="dxa"/>
                    <w:right w:w="0" w:type="dxa"/>
                  </w:tcMar>
                  <w:vAlign w:val="center"/>
                </w:tcPr>
                <w:p w14:paraId="0D977512">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治理效率</w:t>
                  </w:r>
                </w:p>
              </w:tc>
              <w:tc>
                <w:tcPr>
                  <w:tcW w:w="1681" w:type="dxa"/>
                  <w:gridSpan w:val="2"/>
                  <w:tcBorders>
                    <w:tl2br w:val="nil"/>
                    <w:tr2bl w:val="nil"/>
                  </w:tcBorders>
                  <w:noWrap w:val="0"/>
                  <w:tcMar>
                    <w:left w:w="0" w:type="dxa"/>
                    <w:right w:w="0" w:type="dxa"/>
                  </w:tcMar>
                  <w:vAlign w:val="center"/>
                </w:tcPr>
                <w:p w14:paraId="7A0E5944">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污染物排放</w:t>
                  </w:r>
                </w:p>
              </w:tc>
              <w:tc>
                <w:tcPr>
                  <w:tcW w:w="863" w:type="dxa"/>
                  <w:vMerge w:val="restart"/>
                  <w:tcBorders>
                    <w:tl2br w:val="nil"/>
                    <w:tr2bl w:val="nil"/>
                  </w:tcBorders>
                  <w:noWrap w:val="0"/>
                  <w:tcMar>
                    <w:left w:w="0" w:type="dxa"/>
                    <w:right w:w="0" w:type="dxa"/>
                  </w:tcMar>
                  <w:vAlign w:val="center"/>
                </w:tcPr>
                <w:p w14:paraId="63AAC81C">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排放去向</w:t>
                  </w:r>
                </w:p>
              </w:tc>
            </w:tr>
            <w:tr w14:paraId="40FA6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633" w:type="dxa"/>
                  <w:vMerge w:val="continue"/>
                  <w:tcBorders>
                    <w:tl2br w:val="nil"/>
                    <w:tr2bl w:val="nil"/>
                  </w:tcBorders>
                  <w:noWrap w:val="0"/>
                  <w:tcMar>
                    <w:left w:w="0" w:type="dxa"/>
                    <w:right w:w="0" w:type="dxa"/>
                  </w:tcMar>
                  <w:vAlign w:val="center"/>
                </w:tcPr>
                <w:p w14:paraId="3F2B03CF">
                  <w:pPr>
                    <w:pStyle w:val="87"/>
                    <w:jc w:val="center"/>
                    <w:rPr>
                      <w:rFonts w:hint="default" w:ascii="Times New Roman" w:hAnsi="Times New Roman" w:cs="Times New Roman"/>
                      <w:sz w:val="21"/>
                      <w:szCs w:val="21"/>
                    </w:rPr>
                  </w:pPr>
                </w:p>
              </w:tc>
              <w:tc>
                <w:tcPr>
                  <w:tcW w:w="609" w:type="dxa"/>
                  <w:vMerge w:val="continue"/>
                  <w:tcBorders>
                    <w:tl2br w:val="nil"/>
                    <w:tr2bl w:val="nil"/>
                  </w:tcBorders>
                  <w:noWrap w:val="0"/>
                  <w:tcMar>
                    <w:left w:w="0" w:type="dxa"/>
                    <w:right w:w="0" w:type="dxa"/>
                  </w:tcMar>
                  <w:vAlign w:val="center"/>
                </w:tcPr>
                <w:p w14:paraId="73A28F37">
                  <w:pPr>
                    <w:pStyle w:val="88"/>
                    <w:jc w:val="center"/>
                    <w:rPr>
                      <w:rFonts w:hint="default" w:ascii="Times New Roman" w:hAnsi="Times New Roman" w:cs="Times New Roman"/>
                      <w:sz w:val="21"/>
                      <w:szCs w:val="21"/>
                    </w:rPr>
                  </w:pPr>
                </w:p>
              </w:tc>
              <w:tc>
                <w:tcPr>
                  <w:tcW w:w="681" w:type="dxa"/>
                  <w:vMerge w:val="continue"/>
                  <w:tcBorders>
                    <w:tl2br w:val="nil"/>
                    <w:tr2bl w:val="nil"/>
                  </w:tcBorders>
                  <w:noWrap w:val="0"/>
                  <w:tcMar>
                    <w:left w:w="0" w:type="dxa"/>
                    <w:right w:w="0" w:type="dxa"/>
                  </w:tcMar>
                  <w:vAlign w:val="center"/>
                </w:tcPr>
                <w:p w14:paraId="2B6791A6">
                  <w:pPr>
                    <w:pStyle w:val="87"/>
                    <w:jc w:val="center"/>
                    <w:rPr>
                      <w:rFonts w:hint="default" w:ascii="Times New Roman" w:hAnsi="Times New Roman" w:cs="Times New Roman"/>
                      <w:sz w:val="21"/>
                      <w:szCs w:val="21"/>
                    </w:rPr>
                  </w:pPr>
                </w:p>
              </w:tc>
              <w:tc>
                <w:tcPr>
                  <w:tcW w:w="735" w:type="dxa"/>
                  <w:vMerge w:val="continue"/>
                  <w:tcBorders>
                    <w:tl2br w:val="nil"/>
                    <w:tr2bl w:val="nil"/>
                  </w:tcBorders>
                  <w:noWrap w:val="0"/>
                  <w:tcMar>
                    <w:left w:w="0" w:type="dxa"/>
                    <w:right w:w="0" w:type="dxa"/>
                  </w:tcMar>
                  <w:vAlign w:val="center"/>
                </w:tcPr>
                <w:p w14:paraId="5BD7945B">
                  <w:pPr>
                    <w:pStyle w:val="87"/>
                    <w:jc w:val="center"/>
                    <w:rPr>
                      <w:rFonts w:hint="default" w:ascii="Times New Roman" w:hAnsi="Times New Roman" w:cs="Times New Roman"/>
                      <w:sz w:val="21"/>
                      <w:szCs w:val="21"/>
                    </w:rPr>
                  </w:pPr>
                </w:p>
              </w:tc>
              <w:tc>
                <w:tcPr>
                  <w:tcW w:w="912" w:type="dxa"/>
                  <w:tcBorders>
                    <w:tl2br w:val="nil"/>
                    <w:tr2bl w:val="nil"/>
                  </w:tcBorders>
                  <w:noWrap w:val="0"/>
                  <w:tcMar>
                    <w:left w:w="0" w:type="dxa"/>
                    <w:right w:w="0" w:type="dxa"/>
                  </w:tcMar>
                  <w:vAlign w:val="center"/>
                </w:tcPr>
                <w:p w14:paraId="358496C3">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产生浓度（mg/m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772" w:type="dxa"/>
                  <w:tcBorders>
                    <w:tl2br w:val="nil"/>
                    <w:tr2bl w:val="nil"/>
                  </w:tcBorders>
                  <w:noWrap w:val="0"/>
                  <w:tcMar>
                    <w:left w:w="0" w:type="dxa"/>
                    <w:right w:w="0" w:type="dxa"/>
                  </w:tcMar>
                  <w:vAlign w:val="center"/>
                </w:tcPr>
                <w:p w14:paraId="414F2CD2">
                  <w:pPr>
                    <w:pStyle w:val="87"/>
                    <w:jc w:val="center"/>
                    <w:rPr>
                      <w:rFonts w:hint="default" w:ascii="Times New Roman" w:hAnsi="Times New Roman" w:cs="Times New Roman"/>
                      <w:sz w:val="21"/>
                      <w:szCs w:val="21"/>
                    </w:rPr>
                  </w:pPr>
                  <w:r>
                    <w:rPr>
                      <w:rFonts w:hint="default" w:ascii="Times New Roman" w:hAnsi="Times New Roman" w:cs="Times New Roman"/>
                      <w:sz w:val="21"/>
                      <w:szCs w:val="21"/>
                    </w:rPr>
                    <w:t>产生量（t/a）</w:t>
                  </w:r>
                </w:p>
              </w:tc>
              <w:tc>
                <w:tcPr>
                  <w:tcW w:w="646" w:type="dxa"/>
                  <w:vMerge w:val="continue"/>
                  <w:tcBorders>
                    <w:tl2br w:val="nil"/>
                    <w:tr2bl w:val="nil"/>
                  </w:tcBorders>
                  <w:noWrap w:val="0"/>
                  <w:tcMar>
                    <w:left w:w="0" w:type="dxa"/>
                    <w:right w:w="0" w:type="dxa"/>
                  </w:tcMar>
                  <w:vAlign w:val="center"/>
                </w:tcPr>
                <w:p w14:paraId="61C20134">
                  <w:pPr>
                    <w:pStyle w:val="87"/>
                    <w:jc w:val="center"/>
                    <w:rPr>
                      <w:rFonts w:hint="default" w:ascii="Times New Roman" w:hAnsi="Times New Roman" w:cs="Times New Roman"/>
                      <w:sz w:val="21"/>
                      <w:szCs w:val="21"/>
                    </w:rPr>
                  </w:pPr>
                </w:p>
              </w:tc>
              <w:tc>
                <w:tcPr>
                  <w:tcW w:w="679" w:type="dxa"/>
                  <w:vMerge w:val="continue"/>
                  <w:tcBorders>
                    <w:tl2br w:val="nil"/>
                    <w:tr2bl w:val="nil"/>
                  </w:tcBorders>
                  <w:noWrap w:val="0"/>
                  <w:tcMar>
                    <w:left w:w="0" w:type="dxa"/>
                    <w:right w:w="0" w:type="dxa"/>
                  </w:tcMar>
                  <w:vAlign w:val="center"/>
                </w:tcPr>
                <w:p w14:paraId="6C9390F4">
                  <w:pPr>
                    <w:pStyle w:val="87"/>
                    <w:jc w:val="center"/>
                    <w:rPr>
                      <w:rFonts w:hint="default" w:ascii="Times New Roman" w:hAnsi="Times New Roman" w:cs="Times New Roman"/>
                      <w:sz w:val="21"/>
                      <w:szCs w:val="21"/>
                    </w:rPr>
                  </w:pPr>
                </w:p>
              </w:tc>
              <w:tc>
                <w:tcPr>
                  <w:tcW w:w="925" w:type="dxa"/>
                  <w:tcBorders>
                    <w:tl2br w:val="nil"/>
                    <w:tr2bl w:val="nil"/>
                  </w:tcBorders>
                  <w:noWrap w:val="0"/>
                  <w:tcMar>
                    <w:left w:w="0" w:type="dxa"/>
                    <w:right w:w="0" w:type="dxa"/>
                  </w:tcMar>
                  <w:vAlign w:val="center"/>
                </w:tcPr>
                <w:p w14:paraId="3FC5C995">
                  <w:pPr>
                    <w:pStyle w:val="87"/>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排放</w:t>
                  </w:r>
                  <w:r>
                    <w:rPr>
                      <w:rFonts w:hint="default" w:ascii="Times New Roman" w:hAnsi="Times New Roman" w:cs="Times New Roman"/>
                      <w:sz w:val="21"/>
                      <w:szCs w:val="21"/>
                    </w:rPr>
                    <w:t>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756" w:type="dxa"/>
                  <w:tcBorders>
                    <w:tl2br w:val="nil"/>
                    <w:tr2bl w:val="nil"/>
                  </w:tcBorders>
                  <w:noWrap w:val="0"/>
                  <w:tcMar>
                    <w:left w:w="0" w:type="dxa"/>
                    <w:right w:w="0" w:type="dxa"/>
                  </w:tcMar>
                  <w:vAlign w:val="center"/>
                </w:tcPr>
                <w:p w14:paraId="2D12D22E">
                  <w:pPr>
                    <w:pStyle w:val="87"/>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排放</w:t>
                  </w:r>
                  <w:r>
                    <w:rPr>
                      <w:rFonts w:hint="default" w:ascii="Times New Roman" w:hAnsi="Times New Roman" w:cs="Times New Roman"/>
                      <w:sz w:val="21"/>
                      <w:szCs w:val="21"/>
                    </w:rPr>
                    <w:t>量（t/a）</w:t>
                  </w:r>
                </w:p>
              </w:tc>
              <w:tc>
                <w:tcPr>
                  <w:tcW w:w="863" w:type="dxa"/>
                  <w:vMerge w:val="continue"/>
                  <w:tcBorders>
                    <w:tl2br w:val="nil"/>
                    <w:tr2bl w:val="nil"/>
                  </w:tcBorders>
                  <w:noWrap w:val="0"/>
                  <w:tcMar>
                    <w:left w:w="0" w:type="dxa"/>
                    <w:right w:w="0" w:type="dxa"/>
                  </w:tcMar>
                  <w:vAlign w:val="center"/>
                </w:tcPr>
                <w:p w14:paraId="05D680D6">
                  <w:pPr>
                    <w:pStyle w:val="88"/>
                    <w:jc w:val="center"/>
                    <w:rPr>
                      <w:rFonts w:hint="default" w:ascii="Times New Roman" w:hAnsi="Times New Roman" w:cs="Times New Roman"/>
                      <w:sz w:val="21"/>
                      <w:szCs w:val="21"/>
                    </w:rPr>
                  </w:pPr>
                </w:p>
              </w:tc>
            </w:tr>
            <w:tr w14:paraId="36433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633" w:type="dxa"/>
                  <w:vMerge w:val="restart"/>
                  <w:tcBorders>
                    <w:tl2br w:val="nil"/>
                    <w:tr2bl w:val="nil"/>
                  </w:tcBorders>
                  <w:noWrap w:val="0"/>
                  <w:tcMar>
                    <w:left w:w="0" w:type="dxa"/>
                    <w:right w:w="0" w:type="dxa"/>
                  </w:tcMar>
                  <w:vAlign w:val="center"/>
                </w:tcPr>
                <w:p w14:paraId="5301399F">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职工</w:t>
                  </w:r>
                </w:p>
                <w:p w14:paraId="56999936">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生活</w:t>
                  </w:r>
                </w:p>
              </w:tc>
              <w:tc>
                <w:tcPr>
                  <w:tcW w:w="609" w:type="dxa"/>
                  <w:vMerge w:val="restart"/>
                  <w:tcBorders>
                    <w:tl2br w:val="nil"/>
                    <w:tr2bl w:val="nil"/>
                  </w:tcBorders>
                  <w:noWrap w:val="0"/>
                  <w:tcMar>
                    <w:left w:w="0" w:type="dxa"/>
                    <w:right w:w="0" w:type="dxa"/>
                  </w:tcMar>
                  <w:vAlign w:val="center"/>
                </w:tcPr>
                <w:p w14:paraId="7188F9A1">
                  <w:pPr>
                    <w:pStyle w:val="110"/>
                    <w:jc w:val="center"/>
                    <w:rPr>
                      <w:rFonts w:hint="default" w:ascii="Times New Roman" w:hAnsi="Times New Roman" w:cs="Times New Roman"/>
                      <w:sz w:val="21"/>
                      <w:szCs w:val="21"/>
                    </w:rPr>
                  </w:pPr>
                  <w:r>
                    <w:rPr>
                      <w:rFonts w:hint="default" w:ascii="Times New Roman" w:hAnsi="Times New Roman" w:cs="Times New Roman"/>
                      <w:sz w:val="21"/>
                      <w:szCs w:val="21"/>
                    </w:rPr>
                    <w:t>生活污水</w:t>
                  </w:r>
                </w:p>
              </w:tc>
              <w:tc>
                <w:tcPr>
                  <w:tcW w:w="681" w:type="dxa"/>
                  <w:vMerge w:val="restart"/>
                  <w:tcBorders>
                    <w:tl2br w:val="nil"/>
                    <w:tr2bl w:val="nil"/>
                  </w:tcBorders>
                  <w:noWrap w:val="0"/>
                  <w:tcMar>
                    <w:left w:w="0" w:type="dxa"/>
                    <w:right w:w="0" w:type="dxa"/>
                  </w:tcMar>
                  <w:vAlign w:val="center"/>
                </w:tcPr>
                <w:p w14:paraId="09FBF5B6">
                  <w:pPr>
                    <w:pStyle w:val="11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144</w:t>
                  </w:r>
                </w:p>
              </w:tc>
              <w:tc>
                <w:tcPr>
                  <w:tcW w:w="735" w:type="dxa"/>
                  <w:tcBorders>
                    <w:tl2br w:val="nil"/>
                    <w:tr2bl w:val="nil"/>
                  </w:tcBorders>
                  <w:noWrap w:val="0"/>
                  <w:tcMar>
                    <w:left w:w="0" w:type="dxa"/>
                    <w:right w:w="0" w:type="dxa"/>
                  </w:tcMar>
                  <w:vAlign w:val="center"/>
                </w:tcPr>
                <w:p w14:paraId="4F425765">
                  <w:pPr>
                    <w:pStyle w:val="105"/>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912" w:type="dxa"/>
                  <w:tcBorders>
                    <w:tl2br w:val="nil"/>
                    <w:tr2bl w:val="nil"/>
                  </w:tcBorders>
                  <w:noWrap w:val="0"/>
                  <w:tcMar>
                    <w:left w:w="0" w:type="dxa"/>
                    <w:right w:w="0" w:type="dxa"/>
                  </w:tcMar>
                  <w:vAlign w:val="center"/>
                </w:tcPr>
                <w:p w14:paraId="56AAB4D4">
                  <w:pPr>
                    <w:jc w:val="center"/>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772" w:type="dxa"/>
                  <w:tcBorders>
                    <w:tl2br w:val="nil"/>
                    <w:tr2bl w:val="nil"/>
                  </w:tcBorders>
                  <w:noWrap w:val="0"/>
                  <w:tcMar>
                    <w:left w:w="0" w:type="dxa"/>
                    <w:right w:w="0" w:type="dxa"/>
                  </w:tcMar>
                  <w:vAlign w:val="center"/>
                </w:tcPr>
                <w:p w14:paraId="57792450">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0.0504</w:t>
                  </w:r>
                </w:p>
              </w:tc>
              <w:tc>
                <w:tcPr>
                  <w:tcW w:w="646" w:type="dxa"/>
                  <w:vMerge w:val="restart"/>
                  <w:tcBorders>
                    <w:tl2br w:val="nil"/>
                    <w:tr2bl w:val="nil"/>
                  </w:tcBorders>
                  <w:noWrap w:val="0"/>
                  <w:tcMar>
                    <w:left w:w="0" w:type="dxa"/>
                    <w:right w:w="0" w:type="dxa"/>
                  </w:tcMar>
                  <w:vAlign w:val="center"/>
                </w:tcPr>
                <w:p w14:paraId="484C653A">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化粪池</w:t>
                  </w:r>
                </w:p>
              </w:tc>
              <w:tc>
                <w:tcPr>
                  <w:tcW w:w="679" w:type="dxa"/>
                  <w:tcBorders>
                    <w:tl2br w:val="nil"/>
                    <w:tr2bl w:val="nil"/>
                  </w:tcBorders>
                  <w:noWrap w:val="0"/>
                  <w:tcMar>
                    <w:left w:w="0" w:type="dxa"/>
                    <w:right w:w="0" w:type="dxa"/>
                  </w:tcMar>
                  <w:vAlign w:val="center"/>
                </w:tcPr>
                <w:p w14:paraId="0C1146AE">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925" w:type="dxa"/>
                  <w:tcBorders>
                    <w:tl2br w:val="nil"/>
                    <w:tr2bl w:val="nil"/>
                  </w:tcBorders>
                  <w:noWrap w:val="0"/>
                  <w:tcMar>
                    <w:left w:w="0" w:type="dxa"/>
                    <w:right w:w="0" w:type="dxa"/>
                  </w:tcMar>
                  <w:vAlign w:val="center"/>
                </w:tcPr>
                <w:p w14:paraId="2E14B018">
                  <w:pPr>
                    <w:jc w:val="center"/>
                    <w:rPr>
                      <w:rFonts w:hint="default" w:ascii="Times New Roman" w:hAnsi="Times New Roman" w:cs="Times New Roman"/>
                      <w:sz w:val="21"/>
                      <w:szCs w:val="21"/>
                    </w:rPr>
                  </w:pPr>
                  <w:r>
                    <w:rPr>
                      <w:rFonts w:hint="default" w:ascii="Times New Roman" w:hAnsi="Times New Roman" w:cs="Times New Roman"/>
                      <w:sz w:val="21"/>
                      <w:szCs w:val="21"/>
                    </w:rPr>
                    <w:t>280</w:t>
                  </w:r>
                </w:p>
              </w:tc>
              <w:tc>
                <w:tcPr>
                  <w:tcW w:w="756" w:type="dxa"/>
                  <w:tcBorders>
                    <w:tl2br w:val="nil"/>
                    <w:tr2bl w:val="nil"/>
                  </w:tcBorders>
                  <w:noWrap w:val="0"/>
                  <w:tcMar>
                    <w:left w:w="0" w:type="dxa"/>
                    <w:right w:w="0" w:type="dxa"/>
                  </w:tcMar>
                  <w:vAlign w:val="center"/>
                </w:tcPr>
                <w:p w14:paraId="04FBE14E">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0.0403</w:t>
                  </w:r>
                </w:p>
              </w:tc>
              <w:tc>
                <w:tcPr>
                  <w:tcW w:w="863" w:type="dxa"/>
                  <w:vMerge w:val="restart"/>
                  <w:tcBorders>
                    <w:tl2br w:val="nil"/>
                    <w:tr2bl w:val="nil"/>
                  </w:tcBorders>
                  <w:noWrap w:val="0"/>
                  <w:tcMar>
                    <w:left w:w="0" w:type="dxa"/>
                    <w:right w:w="0" w:type="dxa"/>
                  </w:tcMar>
                  <w:vAlign w:val="center"/>
                </w:tcPr>
                <w:p w14:paraId="373443BA">
                  <w:pPr>
                    <w:pStyle w:val="88"/>
                    <w:jc w:val="center"/>
                    <w:rPr>
                      <w:rFonts w:hint="default" w:ascii="Times New Roman" w:hAnsi="Times New Roman" w:cs="Times New Roman"/>
                      <w:sz w:val="21"/>
                      <w:szCs w:val="21"/>
                      <w:lang w:val="en-US"/>
                    </w:rPr>
                  </w:pPr>
                  <w:r>
                    <w:rPr>
                      <w:rFonts w:hint="eastAsia"/>
                      <w:sz w:val="21"/>
                      <w:szCs w:val="21"/>
                      <w:lang w:eastAsia="zh-CN"/>
                    </w:rPr>
                    <w:t>用于</w:t>
                  </w:r>
                  <w:r>
                    <w:rPr>
                      <w:rFonts w:hint="eastAsia"/>
                      <w:sz w:val="21"/>
                      <w:szCs w:val="21"/>
                      <w:lang w:val="en-US" w:eastAsia="zh-CN"/>
                    </w:rPr>
                    <w:t>肥田</w:t>
                  </w:r>
                </w:p>
              </w:tc>
            </w:tr>
            <w:tr w14:paraId="35677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633" w:type="dxa"/>
                  <w:vMerge w:val="continue"/>
                  <w:tcBorders>
                    <w:tl2br w:val="nil"/>
                    <w:tr2bl w:val="nil"/>
                  </w:tcBorders>
                  <w:noWrap w:val="0"/>
                  <w:tcMar>
                    <w:left w:w="0" w:type="dxa"/>
                    <w:right w:w="0" w:type="dxa"/>
                  </w:tcMar>
                  <w:vAlign w:val="center"/>
                </w:tcPr>
                <w:p w14:paraId="1D75DB89">
                  <w:pPr>
                    <w:pStyle w:val="88"/>
                    <w:jc w:val="center"/>
                    <w:rPr>
                      <w:rFonts w:hint="default" w:ascii="Times New Roman" w:hAnsi="Times New Roman" w:cs="Times New Roman"/>
                      <w:sz w:val="21"/>
                      <w:szCs w:val="21"/>
                    </w:rPr>
                  </w:pPr>
                </w:p>
              </w:tc>
              <w:tc>
                <w:tcPr>
                  <w:tcW w:w="609" w:type="dxa"/>
                  <w:vMerge w:val="continue"/>
                  <w:tcBorders>
                    <w:tl2br w:val="nil"/>
                    <w:tr2bl w:val="nil"/>
                  </w:tcBorders>
                  <w:noWrap w:val="0"/>
                  <w:tcMar>
                    <w:left w:w="0" w:type="dxa"/>
                    <w:right w:w="0" w:type="dxa"/>
                  </w:tcMar>
                  <w:vAlign w:val="center"/>
                </w:tcPr>
                <w:p w14:paraId="3A66F2A4">
                  <w:pPr>
                    <w:pStyle w:val="88"/>
                    <w:jc w:val="center"/>
                    <w:rPr>
                      <w:rFonts w:hint="default" w:ascii="Times New Roman" w:hAnsi="Times New Roman" w:cs="Times New Roman"/>
                      <w:sz w:val="21"/>
                      <w:szCs w:val="21"/>
                    </w:rPr>
                  </w:pPr>
                </w:p>
              </w:tc>
              <w:tc>
                <w:tcPr>
                  <w:tcW w:w="681" w:type="dxa"/>
                  <w:vMerge w:val="continue"/>
                  <w:tcBorders>
                    <w:tl2br w:val="nil"/>
                    <w:tr2bl w:val="nil"/>
                  </w:tcBorders>
                  <w:noWrap w:val="0"/>
                  <w:tcMar>
                    <w:left w:w="0" w:type="dxa"/>
                    <w:right w:w="0" w:type="dxa"/>
                  </w:tcMar>
                  <w:vAlign w:val="center"/>
                </w:tcPr>
                <w:p w14:paraId="37491A02">
                  <w:pPr>
                    <w:pStyle w:val="110"/>
                    <w:jc w:val="center"/>
                    <w:rPr>
                      <w:rFonts w:hint="default" w:ascii="Times New Roman" w:hAnsi="Times New Roman" w:cs="Times New Roman"/>
                      <w:sz w:val="21"/>
                      <w:szCs w:val="21"/>
                    </w:rPr>
                  </w:pPr>
                </w:p>
              </w:tc>
              <w:tc>
                <w:tcPr>
                  <w:tcW w:w="735" w:type="dxa"/>
                  <w:tcBorders>
                    <w:tl2br w:val="nil"/>
                    <w:tr2bl w:val="nil"/>
                  </w:tcBorders>
                  <w:noWrap w:val="0"/>
                  <w:tcMar>
                    <w:left w:w="0" w:type="dxa"/>
                    <w:right w:w="0" w:type="dxa"/>
                  </w:tcMar>
                  <w:vAlign w:val="center"/>
                </w:tcPr>
                <w:p w14:paraId="0357141F">
                  <w:pPr>
                    <w:pStyle w:val="105"/>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912" w:type="dxa"/>
                  <w:tcBorders>
                    <w:tl2br w:val="nil"/>
                    <w:tr2bl w:val="nil"/>
                  </w:tcBorders>
                  <w:noWrap w:val="0"/>
                  <w:tcMar>
                    <w:left w:w="0" w:type="dxa"/>
                    <w:right w:w="0" w:type="dxa"/>
                  </w:tcMar>
                  <w:vAlign w:val="center"/>
                </w:tcPr>
                <w:p w14:paraId="584E525B">
                  <w:pPr>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772" w:type="dxa"/>
                  <w:tcBorders>
                    <w:tl2br w:val="nil"/>
                    <w:tr2bl w:val="nil"/>
                  </w:tcBorders>
                  <w:noWrap w:val="0"/>
                  <w:tcMar>
                    <w:left w:w="0" w:type="dxa"/>
                    <w:right w:w="0" w:type="dxa"/>
                  </w:tcMar>
                  <w:vAlign w:val="center"/>
                </w:tcPr>
                <w:p w14:paraId="6A5D6BDE">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0.0288</w:t>
                  </w:r>
                </w:p>
              </w:tc>
              <w:tc>
                <w:tcPr>
                  <w:tcW w:w="646" w:type="dxa"/>
                  <w:vMerge w:val="continue"/>
                  <w:tcBorders>
                    <w:tl2br w:val="nil"/>
                    <w:tr2bl w:val="nil"/>
                  </w:tcBorders>
                  <w:noWrap w:val="0"/>
                  <w:tcMar>
                    <w:left w:w="0" w:type="dxa"/>
                    <w:right w:w="0" w:type="dxa"/>
                  </w:tcMar>
                  <w:vAlign w:val="center"/>
                </w:tcPr>
                <w:p w14:paraId="12C0D428">
                  <w:pPr>
                    <w:pStyle w:val="88"/>
                    <w:jc w:val="center"/>
                    <w:rPr>
                      <w:rFonts w:hint="default" w:ascii="Times New Roman" w:hAnsi="Times New Roman" w:cs="Times New Roman"/>
                      <w:sz w:val="21"/>
                      <w:szCs w:val="21"/>
                    </w:rPr>
                  </w:pPr>
                </w:p>
              </w:tc>
              <w:tc>
                <w:tcPr>
                  <w:tcW w:w="679" w:type="dxa"/>
                  <w:tcBorders>
                    <w:tl2br w:val="nil"/>
                    <w:tr2bl w:val="nil"/>
                  </w:tcBorders>
                  <w:noWrap w:val="0"/>
                  <w:tcMar>
                    <w:left w:w="0" w:type="dxa"/>
                    <w:right w:w="0" w:type="dxa"/>
                  </w:tcMar>
                  <w:vAlign w:val="center"/>
                </w:tcPr>
                <w:p w14:paraId="2A1C16B4">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925" w:type="dxa"/>
                  <w:tcBorders>
                    <w:tl2br w:val="nil"/>
                    <w:tr2bl w:val="nil"/>
                  </w:tcBorders>
                  <w:noWrap w:val="0"/>
                  <w:tcMar>
                    <w:left w:w="0" w:type="dxa"/>
                    <w:right w:w="0" w:type="dxa"/>
                  </w:tcMar>
                  <w:vAlign w:val="center"/>
                </w:tcPr>
                <w:p w14:paraId="22DDADFC">
                  <w:pPr>
                    <w:jc w:val="center"/>
                    <w:rPr>
                      <w:rFonts w:hint="default" w:ascii="Times New Roman" w:hAnsi="Times New Roman" w:cs="Times New Roman"/>
                      <w:sz w:val="21"/>
                      <w:szCs w:val="21"/>
                    </w:rPr>
                  </w:pPr>
                  <w:r>
                    <w:rPr>
                      <w:rFonts w:hint="default" w:ascii="Times New Roman" w:hAnsi="Times New Roman" w:cs="Times New Roman"/>
                      <w:sz w:val="21"/>
                      <w:szCs w:val="21"/>
                    </w:rPr>
                    <w:t>120</w:t>
                  </w:r>
                </w:p>
              </w:tc>
              <w:tc>
                <w:tcPr>
                  <w:tcW w:w="756" w:type="dxa"/>
                  <w:tcBorders>
                    <w:tl2br w:val="nil"/>
                    <w:tr2bl w:val="nil"/>
                  </w:tcBorders>
                  <w:noWrap w:val="0"/>
                  <w:tcMar>
                    <w:left w:w="0" w:type="dxa"/>
                    <w:right w:w="0" w:type="dxa"/>
                  </w:tcMar>
                  <w:vAlign w:val="center"/>
                </w:tcPr>
                <w:p w14:paraId="6296E0AD">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0.0173</w:t>
                  </w:r>
                </w:p>
              </w:tc>
              <w:tc>
                <w:tcPr>
                  <w:tcW w:w="863" w:type="dxa"/>
                  <w:vMerge w:val="continue"/>
                  <w:tcBorders>
                    <w:tl2br w:val="nil"/>
                    <w:tr2bl w:val="nil"/>
                  </w:tcBorders>
                  <w:noWrap w:val="0"/>
                  <w:tcMar>
                    <w:left w:w="0" w:type="dxa"/>
                    <w:right w:w="0" w:type="dxa"/>
                  </w:tcMar>
                  <w:vAlign w:val="center"/>
                </w:tcPr>
                <w:p w14:paraId="129562C2">
                  <w:pPr>
                    <w:pStyle w:val="88"/>
                    <w:jc w:val="center"/>
                    <w:rPr>
                      <w:rFonts w:hint="default" w:ascii="Times New Roman" w:hAnsi="Times New Roman" w:cs="Times New Roman"/>
                      <w:sz w:val="21"/>
                      <w:szCs w:val="21"/>
                    </w:rPr>
                  </w:pPr>
                </w:p>
              </w:tc>
            </w:tr>
            <w:tr w14:paraId="1DB86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633" w:type="dxa"/>
                  <w:vMerge w:val="continue"/>
                  <w:tcBorders>
                    <w:tl2br w:val="nil"/>
                    <w:tr2bl w:val="nil"/>
                  </w:tcBorders>
                  <w:noWrap w:val="0"/>
                  <w:tcMar>
                    <w:left w:w="0" w:type="dxa"/>
                    <w:right w:w="0" w:type="dxa"/>
                  </w:tcMar>
                  <w:vAlign w:val="center"/>
                </w:tcPr>
                <w:p w14:paraId="4E9CCAED">
                  <w:pPr>
                    <w:pStyle w:val="88"/>
                    <w:jc w:val="center"/>
                    <w:rPr>
                      <w:rFonts w:hint="default" w:ascii="Times New Roman" w:hAnsi="Times New Roman" w:cs="Times New Roman"/>
                      <w:sz w:val="21"/>
                      <w:szCs w:val="21"/>
                    </w:rPr>
                  </w:pPr>
                </w:p>
              </w:tc>
              <w:tc>
                <w:tcPr>
                  <w:tcW w:w="609" w:type="dxa"/>
                  <w:vMerge w:val="continue"/>
                  <w:tcBorders>
                    <w:tl2br w:val="nil"/>
                    <w:tr2bl w:val="nil"/>
                  </w:tcBorders>
                  <w:noWrap w:val="0"/>
                  <w:tcMar>
                    <w:left w:w="0" w:type="dxa"/>
                    <w:right w:w="0" w:type="dxa"/>
                  </w:tcMar>
                  <w:vAlign w:val="center"/>
                </w:tcPr>
                <w:p w14:paraId="36ED0279">
                  <w:pPr>
                    <w:pStyle w:val="88"/>
                    <w:jc w:val="center"/>
                    <w:rPr>
                      <w:rFonts w:hint="default" w:ascii="Times New Roman" w:hAnsi="Times New Roman" w:cs="Times New Roman"/>
                      <w:sz w:val="21"/>
                      <w:szCs w:val="21"/>
                    </w:rPr>
                  </w:pPr>
                </w:p>
              </w:tc>
              <w:tc>
                <w:tcPr>
                  <w:tcW w:w="681" w:type="dxa"/>
                  <w:vMerge w:val="continue"/>
                  <w:tcBorders>
                    <w:tl2br w:val="nil"/>
                    <w:tr2bl w:val="nil"/>
                  </w:tcBorders>
                  <w:noWrap w:val="0"/>
                  <w:tcMar>
                    <w:left w:w="0" w:type="dxa"/>
                    <w:right w:w="0" w:type="dxa"/>
                  </w:tcMar>
                  <w:vAlign w:val="center"/>
                </w:tcPr>
                <w:p w14:paraId="638AC210">
                  <w:pPr>
                    <w:pStyle w:val="110"/>
                    <w:jc w:val="center"/>
                    <w:rPr>
                      <w:rFonts w:hint="default" w:ascii="Times New Roman" w:hAnsi="Times New Roman" w:cs="Times New Roman"/>
                      <w:sz w:val="21"/>
                      <w:szCs w:val="21"/>
                    </w:rPr>
                  </w:pPr>
                </w:p>
              </w:tc>
              <w:tc>
                <w:tcPr>
                  <w:tcW w:w="735" w:type="dxa"/>
                  <w:tcBorders>
                    <w:tl2br w:val="nil"/>
                    <w:tr2bl w:val="nil"/>
                  </w:tcBorders>
                  <w:noWrap w:val="0"/>
                  <w:tcMar>
                    <w:left w:w="0" w:type="dxa"/>
                    <w:right w:w="0" w:type="dxa"/>
                  </w:tcMar>
                  <w:vAlign w:val="center"/>
                </w:tcPr>
                <w:p w14:paraId="3EE61E34">
                  <w:pPr>
                    <w:pStyle w:val="105"/>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912" w:type="dxa"/>
                  <w:tcBorders>
                    <w:tl2br w:val="nil"/>
                    <w:tr2bl w:val="nil"/>
                  </w:tcBorders>
                  <w:noWrap w:val="0"/>
                  <w:tcMar>
                    <w:left w:w="0" w:type="dxa"/>
                    <w:right w:w="0" w:type="dxa"/>
                  </w:tcMar>
                  <w:vAlign w:val="center"/>
                </w:tcPr>
                <w:p w14:paraId="175C16E8">
                  <w:pPr>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772" w:type="dxa"/>
                  <w:tcBorders>
                    <w:tl2br w:val="nil"/>
                    <w:tr2bl w:val="nil"/>
                  </w:tcBorders>
                  <w:noWrap w:val="0"/>
                  <w:tcMar>
                    <w:left w:w="0" w:type="dxa"/>
                    <w:right w:w="0" w:type="dxa"/>
                  </w:tcMar>
                  <w:vAlign w:val="center"/>
                </w:tcPr>
                <w:p w14:paraId="6B3FA682">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0.00432</w:t>
                  </w:r>
                </w:p>
              </w:tc>
              <w:tc>
                <w:tcPr>
                  <w:tcW w:w="646" w:type="dxa"/>
                  <w:vMerge w:val="continue"/>
                  <w:tcBorders>
                    <w:tl2br w:val="nil"/>
                    <w:tr2bl w:val="nil"/>
                  </w:tcBorders>
                  <w:noWrap w:val="0"/>
                  <w:tcMar>
                    <w:left w:w="0" w:type="dxa"/>
                    <w:right w:w="0" w:type="dxa"/>
                  </w:tcMar>
                  <w:vAlign w:val="center"/>
                </w:tcPr>
                <w:p w14:paraId="4CFFFDEE">
                  <w:pPr>
                    <w:pStyle w:val="88"/>
                    <w:jc w:val="center"/>
                    <w:rPr>
                      <w:rFonts w:hint="default" w:ascii="Times New Roman" w:hAnsi="Times New Roman" w:cs="Times New Roman"/>
                      <w:sz w:val="21"/>
                      <w:szCs w:val="21"/>
                    </w:rPr>
                  </w:pPr>
                </w:p>
              </w:tc>
              <w:tc>
                <w:tcPr>
                  <w:tcW w:w="679" w:type="dxa"/>
                  <w:tcBorders>
                    <w:tl2br w:val="nil"/>
                    <w:tr2bl w:val="nil"/>
                  </w:tcBorders>
                  <w:noWrap w:val="0"/>
                  <w:tcMar>
                    <w:left w:w="0" w:type="dxa"/>
                    <w:right w:w="0" w:type="dxa"/>
                  </w:tcMar>
                  <w:vAlign w:val="center"/>
                </w:tcPr>
                <w:p w14:paraId="01C8040D">
                  <w:pPr>
                    <w:pStyle w:val="88"/>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925" w:type="dxa"/>
                  <w:tcBorders>
                    <w:tl2br w:val="nil"/>
                    <w:tr2bl w:val="nil"/>
                  </w:tcBorders>
                  <w:noWrap w:val="0"/>
                  <w:tcMar>
                    <w:left w:w="0" w:type="dxa"/>
                    <w:right w:w="0" w:type="dxa"/>
                  </w:tcMar>
                  <w:vAlign w:val="center"/>
                </w:tcPr>
                <w:p w14:paraId="1478B635">
                  <w:pPr>
                    <w:jc w:val="center"/>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756" w:type="dxa"/>
                  <w:tcBorders>
                    <w:tl2br w:val="nil"/>
                    <w:tr2bl w:val="nil"/>
                  </w:tcBorders>
                  <w:noWrap w:val="0"/>
                  <w:tcMar>
                    <w:left w:w="0" w:type="dxa"/>
                    <w:right w:w="0" w:type="dxa"/>
                  </w:tcMar>
                  <w:vAlign w:val="center"/>
                </w:tcPr>
                <w:p w14:paraId="63786A5F">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0.00419</w:t>
                  </w:r>
                </w:p>
              </w:tc>
              <w:tc>
                <w:tcPr>
                  <w:tcW w:w="863" w:type="dxa"/>
                  <w:vMerge w:val="continue"/>
                  <w:tcBorders>
                    <w:tl2br w:val="nil"/>
                    <w:tr2bl w:val="nil"/>
                  </w:tcBorders>
                  <w:noWrap w:val="0"/>
                  <w:tcMar>
                    <w:left w:w="0" w:type="dxa"/>
                    <w:right w:w="0" w:type="dxa"/>
                  </w:tcMar>
                  <w:vAlign w:val="center"/>
                </w:tcPr>
                <w:p w14:paraId="25F5F260">
                  <w:pPr>
                    <w:pStyle w:val="88"/>
                    <w:jc w:val="center"/>
                    <w:rPr>
                      <w:rFonts w:hint="default" w:ascii="Times New Roman" w:hAnsi="Times New Roman" w:cs="Times New Roman"/>
                      <w:sz w:val="21"/>
                      <w:szCs w:val="21"/>
                    </w:rPr>
                  </w:pPr>
                </w:p>
              </w:tc>
            </w:tr>
          </w:tbl>
          <w:p w14:paraId="601322BC">
            <w:pPr>
              <w:widowControl/>
              <w:numPr>
                <w:ilvl w:val="0"/>
                <w:numId w:val="0"/>
              </w:numPr>
              <w:adjustRightInd w:val="0"/>
              <w:snapToGrid w:val="0"/>
              <w:spacing w:line="360" w:lineRule="auto"/>
              <w:ind w:firstLine="480" w:firstLineChars="200"/>
              <w:jc w:val="left"/>
              <w:rPr>
                <w:rFonts w:hint="eastAsia" w:ascii="Times New Roman" w:hAnsi="宋体" w:eastAsia="宋体" w:cs="Times New Roman"/>
                <w:bCs/>
                <w:kern w:val="2"/>
                <w:sz w:val="24"/>
                <w:szCs w:val="24"/>
                <w:lang w:val="en-US" w:eastAsia="zh-CN" w:bidi="ar-SA"/>
              </w:rPr>
            </w:pPr>
            <w:r>
              <w:rPr>
                <w:rFonts w:hint="eastAsia" w:hAnsi="宋体" w:cs="Times New Roman"/>
                <w:bCs/>
                <w:kern w:val="2"/>
                <w:sz w:val="24"/>
                <w:szCs w:val="24"/>
                <w:lang w:val="en-US" w:eastAsia="zh-CN" w:bidi="ar-SA"/>
              </w:rPr>
              <w:t>（2）</w:t>
            </w:r>
            <w:r>
              <w:rPr>
                <w:rFonts w:hint="eastAsia" w:ascii="Times New Roman" w:hAnsi="宋体" w:eastAsia="宋体" w:cs="Times New Roman"/>
                <w:bCs/>
                <w:kern w:val="2"/>
                <w:sz w:val="24"/>
                <w:szCs w:val="24"/>
                <w:lang w:val="en-US" w:eastAsia="zh-CN" w:bidi="ar-SA"/>
              </w:rPr>
              <w:t>浓密机溢流水</w:t>
            </w:r>
          </w:p>
          <w:p w14:paraId="1064974E">
            <w:pPr>
              <w:widowControl/>
              <w:adjustRightInd w:val="0"/>
              <w:snapToGrid w:val="0"/>
              <w:spacing w:line="360" w:lineRule="auto"/>
              <w:ind w:firstLine="480" w:firstLineChars="200"/>
              <w:jc w:val="left"/>
              <w:rPr>
                <w:rFonts w:hint="eastAsia" w:hAnsi="宋体"/>
                <w:bCs/>
                <w:sz w:val="24"/>
                <w:lang w:val="en-US" w:eastAsia="zh-CN"/>
              </w:rPr>
            </w:pPr>
            <w:r>
              <w:rPr>
                <w:rFonts w:hint="eastAsia" w:hAnsi="宋体"/>
                <w:bCs/>
                <w:sz w:val="24"/>
                <w:lang w:val="en-US" w:eastAsia="zh-CN"/>
              </w:rPr>
              <w:t>浓密机溢流水按总水量-尾矿砂含水</w:t>
            </w:r>
            <w:r>
              <w:rPr>
                <w:rFonts w:hint="default" w:hAnsi="宋体"/>
                <w:bCs/>
                <w:sz w:val="24"/>
                <w:lang w:val="en-US" w:eastAsia="zh-CN"/>
              </w:rPr>
              <w:t>计</w:t>
            </w:r>
            <w:r>
              <w:rPr>
                <w:rFonts w:hint="eastAsia" w:hAnsi="宋体"/>
                <w:bCs/>
                <w:sz w:val="24"/>
                <w:lang w:val="en-US" w:eastAsia="zh-CN"/>
              </w:rPr>
              <w:t>算，浓密机水量约2192.85m³/d，其中</w:t>
            </w:r>
          </w:p>
          <w:p w14:paraId="173AF7F0">
            <w:pPr>
              <w:widowControl/>
              <w:adjustRightInd w:val="0"/>
              <w:snapToGrid w:val="0"/>
              <w:spacing w:line="360" w:lineRule="auto"/>
              <w:jc w:val="left"/>
              <w:rPr>
                <w:rFonts w:hint="eastAsia" w:hAnsi="宋体"/>
                <w:bCs/>
                <w:sz w:val="24"/>
                <w:lang w:val="en-US" w:eastAsia="zh-CN"/>
              </w:rPr>
            </w:pPr>
            <w:r>
              <w:rPr>
                <w:rFonts w:hint="eastAsia" w:hAnsi="宋体"/>
                <w:bCs/>
                <w:sz w:val="24"/>
                <w:lang w:val="en-US" w:eastAsia="zh-CN"/>
              </w:rPr>
              <w:t>41.61</w:t>
            </w:r>
            <w:r>
              <w:rPr>
                <w:rFonts w:hint="default" w:hAnsi="宋体"/>
                <w:bCs/>
                <w:sz w:val="24"/>
                <w:lang w:val="en-US" w:eastAsia="zh-CN"/>
              </w:rPr>
              <w:t>m³/d溢流水经溢流水池收集后</w:t>
            </w:r>
            <w:r>
              <w:rPr>
                <w:rFonts w:hint="eastAsia" w:hAnsi="宋体"/>
                <w:bCs/>
                <w:sz w:val="24"/>
                <w:lang w:val="en-US" w:eastAsia="zh-CN"/>
              </w:rPr>
              <w:t>作为回用水回用于</w:t>
            </w:r>
            <w:r>
              <w:rPr>
                <w:rFonts w:hint="default" w:hAnsi="宋体"/>
                <w:bCs/>
                <w:sz w:val="24"/>
                <w:lang w:val="en-US" w:eastAsia="zh-CN"/>
              </w:rPr>
              <w:t>充填站生产，</w:t>
            </w:r>
            <w:r>
              <w:rPr>
                <w:rFonts w:hint="eastAsia" w:hAnsi="宋体"/>
                <w:bCs/>
                <w:sz w:val="24"/>
                <w:lang w:val="en-US" w:eastAsia="zh-CN"/>
              </w:rPr>
              <w:t>剩余2151.24</w:t>
            </w:r>
            <w:r>
              <w:rPr>
                <w:rFonts w:hint="default" w:hAnsi="宋体"/>
                <w:bCs/>
                <w:sz w:val="24"/>
                <w:lang w:val="en-US" w:eastAsia="zh-CN"/>
              </w:rPr>
              <w:t>m³/d</w:t>
            </w:r>
            <w:r>
              <w:rPr>
                <w:rFonts w:hint="eastAsia" w:hAnsi="宋体"/>
                <w:bCs/>
                <w:sz w:val="24"/>
                <w:lang w:val="en-US" w:eastAsia="zh-CN"/>
              </w:rPr>
              <w:t>溢流水进入设置的溢流水池（容积为50m³）沉淀后通过回水管线泵送至惠顿选厂高位水池，回用于生产，不外排。</w:t>
            </w:r>
          </w:p>
          <w:p w14:paraId="4D38A425">
            <w:pPr>
              <w:widowControl/>
              <w:numPr>
                <w:ilvl w:val="0"/>
                <w:numId w:val="0"/>
              </w:numPr>
              <w:adjustRightInd w:val="0"/>
              <w:snapToGrid w:val="0"/>
              <w:spacing w:line="360" w:lineRule="auto"/>
              <w:ind w:leftChars="228"/>
              <w:jc w:val="left"/>
              <w:rPr>
                <w:rFonts w:hint="eastAsia" w:hAnsi="宋体" w:eastAsia="宋体"/>
                <w:bCs/>
                <w:sz w:val="24"/>
                <w:lang w:val="en-US" w:eastAsia="zh-CN"/>
              </w:rPr>
            </w:pPr>
            <w:r>
              <w:rPr>
                <w:rFonts w:hint="eastAsia" w:hAnsi="宋体"/>
                <w:bCs/>
                <w:sz w:val="24"/>
                <w:lang w:val="en-US" w:eastAsia="zh-CN"/>
              </w:rPr>
              <w:t>（3）</w:t>
            </w:r>
            <w:r>
              <w:rPr>
                <w:rFonts w:hint="eastAsia" w:hAnsi="宋体" w:eastAsia="宋体"/>
                <w:bCs/>
                <w:sz w:val="24"/>
                <w:lang w:val="en-US" w:eastAsia="zh-CN"/>
              </w:rPr>
              <w:t>管道冲洗废水</w:t>
            </w:r>
          </w:p>
          <w:p w14:paraId="41724787">
            <w:pPr>
              <w:widowControl/>
              <w:adjustRightInd w:val="0"/>
              <w:snapToGrid w:val="0"/>
              <w:spacing w:line="360" w:lineRule="auto"/>
              <w:ind w:firstLine="480" w:firstLineChars="200"/>
              <w:jc w:val="left"/>
              <w:rPr>
                <w:rFonts w:hint="eastAsia" w:hAnsi="宋体"/>
                <w:bCs/>
                <w:sz w:val="24"/>
                <w:lang w:val="en-US" w:eastAsia="zh-CN"/>
              </w:rPr>
            </w:pPr>
            <w:r>
              <w:rPr>
                <w:rFonts w:hint="eastAsia" w:hAnsi="宋体"/>
                <w:bCs/>
                <w:sz w:val="24"/>
                <w:lang w:val="en-US" w:eastAsia="zh-CN"/>
              </w:rPr>
              <w:t>项目管道冲洗用水约9</w:t>
            </w:r>
            <w:r>
              <w:rPr>
                <w:rFonts w:hint="default" w:hAnsi="宋体"/>
                <w:bCs/>
                <w:sz w:val="24"/>
                <w:lang w:val="en-US" w:eastAsia="zh-CN"/>
              </w:rPr>
              <w:t>m³/d</w:t>
            </w:r>
            <w:r>
              <w:rPr>
                <w:rFonts w:hint="eastAsia" w:hAnsi="宋体"/>
                <w:bCs/>
                <w:sz w:val="24"/>
                <w:lang w:val="en-US" w:eastAsia="zh-CN"/>
              </w:rPr>
              <w:t>，管道冲洗水产污系数按90%计算，则管道冲洗</w:t>
            </w:r>
          </w:p>
          <w:p w14:paraId="270FB0A8">
            <w:pPr>
              <w:widowControl/>
              <w:adjustRightInd w:val="0"/>
              <w:snapToGrid w:val="0"/>
              <w:spacing w:line="360" w:lineRule="auto"/>
              <w:jc w:val="left"/>
              <w:rPr>
                <w:rFonts w:hint="default" w:hAnsi="宋体"/>
                <w:bCs/>
                <w:sz w:val="24"/>
                <w:lang w:val="en-US" w:eastAsia="zh-CN"/>
              </w:rPr>
            </w:pPr>
            <w:r>
              <w:rPr>
                <w:rFonts w:hint="eastAsia" w:hAnsi="宋体"/>
                <w:bCs/>
                <w:sz w:val="24"/>
                <w:lang w:val="en-US" w:eastAsia="zh-CN"/>
              </w:rPr>
              <w:t>水产生量为8.1</w:t>
            </w:r>
            <w:r>
              <w:rPr>
                <w:rFonts w:hint="default" w:hAnsi="宋体"/>
                <w:bCs/>
                <w:sz w:val="24"/>
                <w:lang w:val="en-US" w:eastAsia="zh-CN"/>
              </w:rPr>
              <w:t>m³/d</w:t>
            </w:r>
            <w:r>
              <w:rPr>
                <w:rFonts w:hint="eastAsia" w:hAnsi="宋体"/>
                <w:bCs/>
                <w:sz w:val="24"/>
                <w:lang w:val="en-US" w:eastAsia="zh-CN"/>
              </w:rPr>
              <w:t xml:space="preserve">，全部依托井下现有矿井水收集系统收集后回用于选厂，不外排。    </w:t>
            </w:r>
          </w:p>
          <w:p w14:paraId="5699E221">
            <w:pPr>
              <w:pStyle w:val="63"/>
              <w:spacing w:line="360" w:lineRule="auto"/>
              <w:ind w:left="442" w:leftChars="0" w:hanging="442" w:hangingChars="200"/>
              <w:rPr>
                <w:rFonts w:hAnsi="宋体"/>
                <w:sz w:val="24"/>
              </w:rPr>
            </w:pPr>
            <w:r>
              <w:rPr>
                <w:rFonts w:hint="eastAsia" w:ascii="Times New Roman" w:hAnsi="Times New Roman" w:eastAsia="宋体" w:cs="Times New Roman"/>
                <w:b/>
                <w:spacing w:val="-10"/>
                <w:kern w:val="2"/>
                <w:sz w:val="24"/>
                <w:szCs w:val="24"/>
                <w:lang w:val="en-US" w:eastAsia="zh-CN" w:bidi="ar-SA"/>
              </w:rPr>
              <w:t>2.2</w:t>
            </w:r>
            <w:r>
              <w:rPr>
                <w:rFonts w:hint="eastAsia" w:cs="Times New Roman"/>
                <w:b/>
                <w:spacing w:val="-10"/>
                <w:kern w:val="2"/>
                <w:sz w:val="24"/>
                <w:szCs w:val="24"/>
                <w:lang w:val="en-US" w:eastAsia="zh-CN" w:bidi="ar-SA"/>
              </w:rPr>
              <w:t xml:space="preserve"> 污水处理设施依托可行性分析</w:t>
            </w:r>
            <w:r>
              <w:rPr>
                <w:rFonts w:hint="eastAsia" w:cs="Times New Roman"/>
                <w:b/>
                <w:spacing w:val="-10"/>
                <w:kern w:val="2"/>
                <w:sz w:val="24"/>
                <w:szCs w:val="24"/>
                <w:lang w:val="en-US" w:eastAsia="zh-CN" w:bidi="ar-SA"/>
              </w:rPr>
              <w:br w:type="textWrapping"/>
            </w:r>
            <w:r>
              <w:rPr>
                <w:rFonts w:hint="eastAsia" w:hAnsi="宋体"/>
                <w:bCs/>
                <w:sz w:val="24"/>
                <w:lang w:val="en-US" w:eastAsia="zh-CN"/>
              </w:rPr>
              <w:t>本项目生活污水经设置的5m³化粪池处理后由当地农户定期肥田。</w:t>
            </w:r>
            <w:r>
              <w:rPr>
                <w:rFonts w:hAnsi="宋体"/>
                <w:sz w:val="24"/>
              </w:rPr>
              <w:t>根据《建</w:t>
            </w:r>
          </w:p>
          <w:p w14:paraId="125353A0">
            <w:pPr>
              <w:pStyle w:val="63"/>
              <w:spacing w:line="360" w:lineRule="auto"/>
              <w:ind w:left="480" w:leftChars="0" w:hanging="480" w:hangingChars="200"/>
              <w:rPr>
                <w:rFonts w:hint="eastAsia" w:hAnsi="宋体"/>
                <w:sz w:val="24"/>
              </w:rPr>
            </w:pPr>
            <w:r>
              <w:rPr>
                <w:rFonts w:hAnsi="宋体"/>
                <w:sz w:val="24"/>
              </w:rPr>
              <w:t>筑给水排水设计规范》要求：化粪池生活污水停留时间为12～24</w:t>
            </w:r>
            <w:r>
              <w:rPr>
                <w:rFonts w:hint="eastAsia" w:hAnsi="宋体"/>
                <w:sz w:val="24"/>
              </w:rPr>
              <w:t>h。化粪池需处</w:t>
            </w:r>
          </w:p>
          <w:p w14:paraId="0849F46E">
            <w:pPr>
              <w:pStyle w:val="63"/>
              <w:spacing w:line="360" w:lineRule="auto"/>
              <w:ind w:left="480" w:leftChars="0" w:hanging="480" w:hangingChars="200"/>
              <w:rPr>
                <w:rFonts w:hint="eastAsia"/>
                <w:sz w:val="24"/>
              </w:rPr>
            </w:pPr>
            <w:r>
              <w:rPr>
                <w:rFonts w:hint="eastAsia" w:hAnsi="宋体"/>
                <w:sz w:val="24"/>
              </w:rPr>
              <w:t>理的</w:t>
            </w:r>
            <w:r>
              <w:rPr>
                <w:rFonts w:hint="eastAsia" w:hAnsi="宋体"/>
                <w:bCs/>
                <w:sz w:val="24"/>
              </w:rPr>
              <w:t>生活污水量为</w:t>
            </w:r>
            <w:r>
              <w:rPr>
                <w:rFonts w:hint="eastAsia" w:hAnsi="宋体"/>
                <w:bCs/>
                <w:sz w:val="24"/>
                <w:lang w:val="en-US" w:eastAsia="zh-CN"/>
              </w:rPr>
              <w:t>0.48</w:t>
            </w:r>
            <w:r>
              <w:rPr>
                <w:rFonts w:hint="eastAsia"/>
                <w:kern w:val="0"/>
                <w:sz w:val="24"/>
              </w:rPr>
              <w:t>m</w:t>
            </w:r>
            <w:r>
              <w:rPr>
                <w:rFonts w:hint="eastAsia"/>
                <w:kern w:val="0"/>
                <w:sz w:val="24"/>
                <w:vertAlign w:val="superscript"/>
              </w:rPr>
              <w:t>3</w:t>
            </w:r>
            <w:r>
              <w:rPr>
                <w:rFonts w:hint="eastAsia"/>
                <w:kern w:val="0"/>
                <w:sz w:val="24"/>
              </w:rPr>
              <w:t>/d</w:t>
            </w:r>
            <w:r>
              <w:rPr>
                <w:sz w:val="24"/>
              </w:rPr>
              <w:t>，化粪池容积</w:t>
            </w:r>
            <w:r>
              <w:rPr>
                <w:rFonts w:hint="eastAsia"/>
                <w:sz w:val="24"/>
              </w:rPr>
              <w:t>为</w:t>
            </w:r>
            <w:r>
              <w:rPr>
                <w:rFonts w:hint="eastAsia"/>
                <w:sz w:val="24"/>
                <w:lang w:val="en-US" w:eastAsia="zh-CN"/>
              </w:rPr>
              <w:t>5</w:t>
            </w:r>
            <w:r>
              <w:rPr>
                <w:sz w:val="24"/>
              </w:rPr>
              <w:t>m</w:t>
            </w:r>
            <w:r>
              <w:rPr>
                <w:sz w:val="24"/>
                <w:vertAlign w:val="superscript"/>
              </w:rPr>
              <w:t>3</w:t>
            </w:r>
            <w:r>
              <w:rPr>
                <w:sz w:val="24"/>
              </w:rPr>
              <w:t>，废水在化粪池内的停留时间</w:t>
            </w:r>
            <w:r>
              <w:rPr>
                <w:rFonts w:hint="eastAsia"/>
                <w:sz w:val="24"/>
              </w:rPr>
              <w:t>超</w:t>
            </w:r>
          </w:p>
          <w:p w14:paraId="73015985">
            <w:pPr>
              <w:pStyle w:val="63"/>
              <w:spacing w:line="360" w:lineRule="auto"/>
              <w:ind w:left="480" w:leftChars="0" w:hanging="480" w:hangingChars="200"/>
              <w:rPr>
                <w:rFonts w:hint="eastAsia" w:hAnsi="宋体"/>
                <w:bCs/>
                <w:sz w:val="24"/>
                <w:lang w:val="en-US" w:eastAsia="zh-CN"/>
              </w:rPr>
            </w:pPr>
            <w:r>
              <w:rPr>
                <w:rFonts w:hint="eastAsia"/>
                <w:sz w:val="24"/>
              </w:rPr>
              <w:t>过24小时，因此化粪池能够满足本项目生活污水处理要求</w:t>
            </w:r>
            <w:r>
              <w:rPr>
                <w:rFonts w:hint="eastAsia"/>
                <w:sz w:val="24"/>
                <w:lang w:eastAsia="zh-CN"/>
              </w:rPr>
              <w:t>。</w:t>
            </w:r>
          </w:p>
          <w:p w14:paraId="4F6372EF">
            <w:pPr>
              <w:pStyle w:val="63"/>
              <w:spacing w:line="360" w:lineRule="auto"/>
              <w:ind w:left="479" w:leftChars="228" w:firstLine="0" w:firstLineChars="0"/>
              <w:rPr>
                <w:rFonts w:hint="eastAsia"/>
                <w:sz w:val="24"/>
                <w:lang w:val="en-US" w:eastAsia="zh-CN"/>
              </w:rPr>
            </w:pPr>
            <w:r>
              <w:rPr>
                <w:rFonts w:hint="eastAsia" w:ascii="宋体" w:hAnsi="宋体" w:cs="宋体"/>
                <w:color w:val="auto"/>
                <w:kern w:val="0"/>
                <w:szCs w:val="21"/>
                <w:lang w:val="en-US" w:eastAsia="zh-CN"/>
              </w:rPr>
              <w:t>选厂尾砂</w:t>
            </w:r>
            <w:r>
              <w:rPr>
                <w:rFonts w:hint="eastAsia"/>
                <w:sz w:val="24"/>
                <w:lang w:val="en-US" w:eastAsia="zh-CN"/>
              </w:rPr>
              <w:t>通过管道输送至本项目充填站膏体仓储浓密机，通过絮凝剂添加系</w:t>
            </w:r>
          </w:p>
          <w:p w14:paraId="47A6F14B">
            <w:pPr>
              <w:pStyle w:val="63"/>
              <w:spacing w:line="360" w:lineRule="auto"/>
              <w:ind w:left="0" w:leftChars="0" w:firstLine="0" w:firstLineChars="0"/>
              <w:rPr>
                <w:rFonts w:hint="default"/>
                <w:sz w:val="24"/>
                <w:lang w:val="en-US" w:eastAsia="zh-CN"/>
              </w:rPr>
            </w:pPr>
            <w:r>
              <w:rPr>
                <w:rFonts w:hint="eastAsia"/>
                <w:sz w:val="24"/>
                <w:lang w:val="en-US" w:eastAsia="zh-CN"/>
              </w:rPr>
              <w:t>统添加一定量的聚丙烯酰胺，废水</w:t>
            </w:r>
            <w:r>
              <w:rPr>
                <w:rFonts w:hint="default" w:ascii="Times New Roman" w:hAnsi="Times New Roman" w:eastAsia="宋体" w:cs="Times New Roman"/>
                <w:b w:val="0"/>
                <w:bCs/>
                <w:color w:val="000000"/>
                <w:kern w:val="2"/>
                <w:sz w:val="24"/>
                <w:szCs w:val="24"/>
                <w:lang w:val="en-US" w:eastAsia="zh-CN" w:bidi="ar-SA"/>
              </w:rPr>
              <w:t>经过絮凝剂的</w:t>
            </w:r>
            <w:r>
              <w:rPr>
                <w:rFonts w:hint="eastAsia" w:cs="Times New Roman"/>
                <w:b w:val="0"/>
                <w:bCs/>
                <w:color w:val="000000"/>
                <w:kern w:val="2"/>
                <w:sz w:val="24"/>
                <w:szCs w:val="24"/>
                <w:lang w:val="en-US" w:eastAsia="zh-CN" w:bidi="ar-SA"/>
              </w:rPr>
              <w:t>沉降</w:t>
            </w:r>
            <w:r>
              <w:rPr>
                <w:rFonts w:hint="default" w:ascii="Times New Roman" w:hAnsi="Times New Roman" w:eastAsia="宋体" w:cs="Times New Roman"/>
                <w:b w:val="0"/>
                <w:bCs/>
                <w:color w:val="000000"/>
                <w:kern w:val="2"/>
                <w:sz w:val="24"/>
                <w:szCs w:val="24"/>
                <w:lang w:val="en-US" w:eastAsia="zh-CN" w:bidi="ar-SA"/>
              </w:rPr>
              <w:t>作</w:t>
            </w:r>
            <w:r>
              <w:rPr>
                <w:rFonts w:hint="default" w:ascii="Times New Roman" w:hAnsi="Times New Roman" w:cs="Times New Roman"/>
                <w:b w:val="0"/>
                <w:bCs/>
                <w:color w:val="000000"/>
                <w:kern w:val="2"/>
                <w:sz w:val="24"/>
                <w:szCs w:val="24"/>
                <w:lang w:val="en-US" w:eastAsia="zh-CN" w:bidi="ar-SA"/>
              </w:rPr>
              <w:t>用后</w:t>
            </w:r>
            <w:r>
              <w:rPr>
                <w:rFonts w:hint="eastAsia"/>
                <w:sz w:val="24"/>
                <w:lang w:val="en-US" w:eastAsia="zh-CN"/>
              </w:rPr>
              <w:t>，上层清水溢流进入设置的溢流水池，部分用于充填站用水，多余溢流水通过溢流水回水管线</w:t>
            </w:r>
            <w:r>
              <w:rPr>
                <w:rFonts w:hint="eastAsia" w:hAnsi="宋体"/>
                <w:bCs/>
                <w:sz w:val="24"/>
                <w:lang w:val="en-US" w:eastAsia="zh-CN"/>
              </w:rPr>
              <w:t>泵至惠顿选厂高位水池，回用于选厂生产。</w:t>
            </w:r>
            <w:r>
              <w:rPr>
                <w:rFonts w:hint="eastAsia"/>
                <w:sz w:val="24"/>
                <w:lang w:val="en-US" w:eastAsia="zh-CN"/>
              </w:rPr>
              <w:t>管道冲洗水经矿井下现有收集系统收集后回用于选厂高位水池。为了解充填站废水水质情况，企业在设备安装调试期间委托</w:t>
            </w:r>
            <w:r>
              <w:rPr>
                <w:rFonts w:hint="eastAsia"/>
                <w:b w:val="0"/>
                <w:bCs/>
                <w:color w:val="auto"/>
                <w:sz w:val="24"/>
                <w:lang w:val="en-US" w:eastAsia="zh-CN"/>
              </w:rPr>
              <w:t>洛阳绿壤环境检测有限公司于2024年9月25日对充填站回水进行检测，回水水质监测结果见下表：</w:t>
            </w:r>
          </w:p>
          <w:p w14:paraId="6931AA5D">
            <w:pPr>
              <w:pStyle w:val="119"/>
              <w:numPr>
                <w:ilvl w:val="0"/>
                <w:numId w:val="0"/>
              </w:numPr>
              <w:jc w:val="center"/>
              <w:rPr>
                <w:rFonts w:hint="default" w:ascii="Times New Roman" w:hAnsi="Times New Roman" w:cs="Times New Roman"/>
                <w:kern w:val="0"/>
                <w:lang w:val="en-US" w:eastAsia="zh-CN"/>
              </w:rPr>
            </w:pPr>
            <w:r>
              <w:rPr>
                <w:rFonts w:hint="eastAsia" w:ascii="Times New Roman" w:hAnsi="Times New Roman" w:cs="Times New Roman"/>
                <w:kern w:val="0"/>
                <w:lang w:val="en-US" w:eastAsia="zh-CN"/>
              </w:rPr>
              <w:t>表4-</w:t>
            </w:r>
            <w:r>
              <w:rPr>
                <w:rFonts w:hint="eastAsia" w:cs="Times New Roman"/>
                <w:kern w:val="0"/>
                <w:lang w:val="en-US" w:eastAsia="zh-CN"/>
              </w:rPr>
              <w:t>8</w:t>
            </w:r>
            <w:r>
              <w:rPr>
                <w:rFonts w:hint="eastAsia" w:ascii="Times New Roman" w:hAnsi="Times New Roman" w:cs="Times New Roman"/>
                <w:kern w:val="0"/>
                <w:lang w:val="en-US" w:eastAsia="zh-CN"/>
              </w:rPr>
              <w:t xml:space="preserve">    回水水质监测结果一览表</w:t>
            </w:r>
          </w:p>
          <w:tbl>
            <w:tblPr>
              <w:tblStyle w:val="32"/>
              <w:tblW w:w="8355"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43"/>
              <w:gridCol w:w="775"/>
              <w:gridCol w:w="1295"/>
              <w:gridCol w:w="2093"/>
              <w:gridCol w:w="1803"/>
              <w:gridCol w:w="746"/>
            </w:tblGrid>
            <w:tr w14:paraId="6AFFD8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1643" w:type="dxa"/>
                  <w:tcBorders>
                    <w:tl2br w:val="nil"/>
                    <w:tr2bl w:val="nil"/>
                  </w:tcBorders>
                  <w:vAlign w:val="center"/>
                </w:tcPr>
                <w:p w14:paraId="12D5CF5E">
                  <w:pPr>
                    <w:jc w:val="center"/>
                    <w:rPr>
                      <w:rFonts w:hint="default"/>
                      <w:sz w:val="21"/>
                      <w:szCs w:val="21"/>
                      <w:lang w:val="en-US" w:eastAsia="zh-CN"/>
                    </w:rPr>
                  </w:pPr>
                  <w:r>
                    <w:rPr>
                      <w:rFonts w:hint="eastAsia"/>
                      <w:sz w:val="21"/>
                      <w:szCs w:val="21"/>
                      <w:lang w:val="en-US" w:eastAsia="zh-CN"/>
                    </w:rPr>
                    <w:t>监测项目</w:t>
                  </w:r>
                </w:p>
              </w:tc>
              <w:tc>
                <w:tcPr>
                  <w:tcW w:w="775" w:type="dxa"/>
                  <w:tcBorders>
                    <w:tl2br w:val="nil"/>
                    <w:tr2bl w:val="nil"/>
                  </w:tcBorders>
                  <w:vAlign w:val="center"/>
                </w:tcPr>
                <w:p w14:paraId="02EE1C9E">
                  <w:pPr>
                    <w:jc w:val="center"/>
                    <w:rPr>
                      <w:rFonts w:hint="default"/>
                      <w:sz w:val="21"/>
                      <w:szCs w:val="21"/>
                      <w:lang w:val="en-US" w:eastAsia="zh-CN"/>
                    </w:rPr>
                  </w:pPr>
                  <w:r>
                    <w:rPr>
                      <w:rFonts w:hint="eastAsia"/>
                      <w:sz w:val="21"/>
                      <w:szCs w:val="21"/>
                      <w:lang w:val="en-US" w:eastAsia="zh-CN"/>
                    </w:rPr>
                    <w:t>单位</w:t>
                  </w:r>
                </w:p>
              </w:tc>
              <w:tc>
                <w:tcPr>
                  <w:tcW w:w="1295" w:type="dxa"/>
                  <w:tcBorders>
                    <w:tl2br w:val="nil"/>
                    <w:tr2bl w:val="nil"/>
                  </w:tcBorders>
                  <w:vAlign w:val="center"/>
                </w:tcPr>
                <w:p w14:paraId="5F85EB8E">
                  <w:pPr>
                    <w:jc w:val="center"/>
                    <w:rPr>
                      <w:rFonts w:hint="default"/>
                      <w:sz w:val="21"/>
                      <w:szCs w:val="21"/>
                      <w:lang w:val="en-US" w:eastAsia="zh-CN"/>
                    </w:rPr>
                  </w:pPr>
                  <w:r>
                    <w:rPr>
                      <w:rFonts w:hint="eastAsia"/>
                      <w:sz w:val="21"/>
                      <w:szCs w:val="21"/>
                      <w:lang w:val="en-US" w:eastAsia="zh-CN"/>
                    </w:rPr>
                    <w:t>监测结果</w:t>
                  </w:r>
                </w:p>
              </w:tc>
              <w:tc>
                <w:tcPr>
                  <w:tcW w:w="2093" w:type="dxa"/>
                  <w:tcBorders>
                    <w:tl2br w:val="nil"/>
                    <w:tr2bl w:val="nil"/>
                  </w:tcBorders>
                  <w:vAlign w:val="center"/>
                </w:tcPr>
                <w:p w14:paraId="0CAF0E70">
                  <w:pPr>
                    <w:jc w:val="center"/>
                    <w:rPr>
                      <w:rFonts w:hint="eastAsia"/>
                      <w:sz w:val="21"/>
                      <w:szCs w:val="21"/>
                      <w:lang w:val="en-US" w:eastAsia="zh-CN"/>
                    </w:rPr>
                  </w:pPr>
                  <w:r>
                    <w:rPr>
                      <w:rFonts w:hint="eastAsia"/>
                      <w:sz w:val="21"/>
                      <w:szCs w:val="21"/>
                      <w:lang w:val="en-US" w:eastAsia="zh-CN"/>
                    </w:rPr>
                    <w:t>《城市污水再生利用工业用水水质》（GB/T19923-2024）</w:t>
                  </w:r>
                </w:p>
                <w:p w14:paraId="5E632B20">
                  <w:pPr>
                    <w:jc w:val="center"/>
                    <w:rPr>
                      <w:rFonts w:hint="default"/>
                      <w:sz w:val="21"/>
                      <w:szCs w:val="21"/>
                      <w:lang w:val="en-US" w:eastAsia="zh-CN"/>
                    </w:rPr>
                  </w:pPr>
                  <w:r>
                    <w:rPr>
                      <w:rFonts w:hint="eastAsia"/>
                      <w:sz w:val="21"/>
                      <w:szCs w:val="21"/>
                      <w:lang w:val="en-US" w:eastAsia="zh-CN"/>
                    </w:rPr>
                    <w:t>工艺用水</w:t>
                  </w:r>
                </w:p>
              </w:tc>
              <w:tc>
                <w:tcPr>
                  <w:tcW w:w="1803" w:type="dxa"/>
                  <w:tcBorders>
                    <w:tl2br w:val="nil"/>
                    <w:tr2bl w:val="nil"/>
                  </w:tcBorders>
                  <w:vAlign w:val="center"/>
                </w:tcPr>
                <w:p w14:paraId="4E34DA01">
                  <w:pPr>
                    <w:jc w:val="center"/>
                    <w:rPr>
                      <w:rFonts w:hint="default"/>
                      <w:sz w:val="21"/>
                      <w:szCs w:val="21"/>
                      <w:lang w:val="en-US" w:eastAsia="zh-CN"/>
                    </w:rPr>
                  </w:pPr>
                  <w:r>
                    <w:rPr>
                      <w:rFonts w:hint="eastAsia"/>
                      <w:sz w:val="21"/>
                      <w:szCs w:val="21"/>
                      <w:lang w:val="en-US" w:eastAsia="zh-CN"/>
                    </w:rPr>
                    <w:t>《污水综合排放标准》（GB8978-1996）一级</w:t>
                  </w:r>
                </w:p>
              </w:tc>
              <w:tc>
                <w:tcPr>
                  <w:tcW w:w="746" w:type="dxa"/>
                  <w:tcBorders>
                    <w:tl2br w:val="nil"/>
                    <w:tr2bl w:val="nil"/>
                  </w:tcBorders>
                  <w:vAlign w:val="center"/>
                </w:tcPr>
                <w:p w14:paraId="7C674958">
                  <w:pPr>
                    <w:jc w:val="center"/>
                    <w:rPr>
                      <w:rFonts w:hint="default"/>
                      <w:sz w:val="21"/>
                      <w:szCs w:val="21"/>
                      <w:lang w:val="en-US" w:eastAsia="zh-CN"/>
                    </w:rPr>
                  </w:pPr>
                  <w:r>
                    <w:rPr>
                      <w:rFonts w:hint="eastAsia"/>
                      <w:sz w:val="21"/>
                      <w:szCs w:val="21"/>
                      <w:lang w:val="en-US" w:eastAsia="zh-CN"/>
                    </w:rPr>
                    <w:t>达标情况</w:t>
                  </w:r>
                </w:p>
              </w:tc>
            </w:tr>
            <w:tr w14:paraId="5EB22B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1643" w:type="dxa"/>
                  <w:tcBorders>
                    <w:tl2br w:val="nil"/>
                    <w:tr2bl w:val="nil"/>
                  </w:tcBorders>
                  <w:vAlign w:val="center"/>
                </w:tcPr>
                <w:p w14:paraId="717615CF">
                  <w:pPr>
                    <w:jc w:val="center"/>
                    <w:rPr>
                      <w:rFonts w:hint="default"/>
                      <w:sz w:val="21"/>
                      <w:szCs w:val="21"/>
                      <w:lang w:val="en-US" w:eastAsia="zh-CN"/>
                    </w:rPr>
                  </w:pPr>
                  <w:r>
                    <w:rPr>
                      <w:rFonts w:hint="eastAsia"/>
                      <w:sz w:val="21"/>
                      <w:szCs w:val="21"/>
                      <w:lang w:val="en-US" w:eastAsia="zh-CN"/>
                    </w:rPr>
                    <w:t>PH值（无量纲）</w:t>
                  </w:r>
                </w:p>
              </w:tc>
              <w:tc>
                <w:tcPr>
                  <w:tcW w:w="775" w:type="dxa"/>
                  <w:tcBorders>
                    <w:tl2br w:val="nil"/>
                    <w:tr2bl w:val="nil"/>
                  </w:tcBorders>
                  <w:vAlign w:val="center"/>
                </w:tcPr>
                <w:p w14:paraId="2F192763">
                  <w:pPr>
                    <w:jc w:val="center"/>
                    <w:rPr>
                      <w:rFonts w:hint="default"/>
                      <w:sz w:val="21"/>
                      <w:szCs w:val="21"/>
                      <w:lang w:val="en-US" w:eastAsia="zh-CN"/>
                    </w:rPr>
                  </w:pPr>
                  <w:r>
                    <w:rPr>
                      <w:rFonts w:hint="eastAsia"/>
                      <w:sz w:val="21"/>
                      <w:szCs w:val="21"/>
                      <w:lang w:val="en-US" w:eastAsia="zh-CN"/>
                    </w:rPr>
                    <w:t>/</w:t>
                  </w:r>
                </w:p>
              </w:tc>
              <w:tc>
                <w:tcPr>
                  <w:tcW w:w="1295" w:type="dxa"/>
                  <w:tcBorders>
                    <w:tl2br w:val="nil"/>
                    <w:tr2bl w:val="nil"/>
                  </w:tcBorders>
                  <w:vAlign w:val="center"/>
                </w:tcPr>
                <w:p w14:paraId="4C3E62CE">
                  <w:pPr>
                    <w:jc w:val="center"/>
                    <w:rPr>
                      <w:rFonts w:hint="default"/>
                      <w:sz w:val="21"/>
                      <w:szCs w:val="21"/>
                      <w:lang w:val="en-US" w:eastAsia="zh-CN"/>
                    </w:rPr>
                  </w:pPr>
                  <w:r>
                    <w:rPr>
                      <w:rFonts w:hint="eastAsia"/>
                      <w:sz w:val="21"/>
                      <w:szCs w:val="21"/>
                      <w:lang w:val="en-US" w:eastAsia="zh-CN"/>
                    </w:rPr>
                    <w:t>7.7-7.8</w:t>
                  </w:r>
                </w:p>
              </w:tc>
              <w:tc>
                <w:tcPr>
                  <w:tcW w:w="2093" w:type="dxa"/>
                  <w:tcBorders>
                    <w:tl2br w:val="nil"/>
                    <w:tr2bl w:val="nil"/>
                  </w:tcBorders>
                  <w:vAlign w:val="center"/>
                </w:tcPr>
                <w:p w14:paraId="5C655A2D">
                  <w:pPr>
                    <w:jc w:val="center"/>
                    <w:rPr>
                      <w:rFonts w:hint="default"/>
                      <w:sz w:val="21"/>
                      <w:szCs w:val="21"/>
                      <w:lang w:val="en-US" w:eastAsia="zh-CN"/>
                    </w:rPr>
                  </w:pPr>
                  <w:r>
                    <w:rPr>
                      <w:rFonts w:hint="eastAsia"/>
                      <w:sz w:val="21"/>
                      <w:szCs w:val="21"/>
                      <w:lang w:val="en-US" w:eastAsia="zh-CN"/>
                    </w:rPr>
                    <w:t>6.5-8.5</w:t>
                  </w:r>
                </w:p>
              </w:tc>
              <w:tc>
                <w:tcPr>
                  <w:tcW w:w="1803" w:type="dxa"/>
                  <w:tcBorders>
                    <w:tl2br w:val="nil"/>
                    <w:tr2bl w:val="nil"/>
                  </w:tcBorders>
                  <w:vAlign w:val="center"/>
                </w:tcPr>
                <w:p w14:paraId="0F66F021">
                  <w:pPr>
                    <w:jc w:val="center"/>
                    <w:rPr>
                      <w:rFonts w:hint="default"/>
                      <w:sz w:val="21"/>
                      <w:szCs w:val="21"/>
                      <w:lang w:val="en-US" w:eastAsia="zh-CN"/>
                    </w:rPr>
                  </w:pPr>
                  <w:r>
                    <w:rPr>
                      <w:rFonts w:hint="eastAsia"/>
                      <w:sz w:val="21"/>
                      <w:szCs w:val="21"/>
                      <w:lang w:val="en-US" w:eastAsia="zh-CN"/>
                    </w:rPr>
                    <w:t>6-9</w:t>
                  </w:r>
                </w:p>
              </w:tc>
              <w:tc>
                <w:tcPr>
                  <w:tcW w:w="746" w:type="dxa"/>
                  <w:tcBorders>
                    <w:tl2br w:val="nil"/>
                    <w:tr2bl w:val="nil"/>
                  </w:tcBorders>
                  <w:vAlign w:val="center"/>
                </w:tcPr>
                <w:p w14:paraId="216D8930">
                  <w:pPr>
                    <w:jc w:val="center"/>
                    <w:rPr>
                      <w:rFonts w:hint="default"/>
                      <w:sz w:val="21"/>
                      <w:szCs w:val="21"/>
                      <w:lang w:val="en-US" w:eastAsia="zh-CN"/>
                    </w:rPr>
                  </w:pPr>
                  <w:r>
                    <w:rPr>
                      <w:rFonts w:hint="eastAsia"/>
                      <w:sz w:val="21"/>
                      <w:szCs w:val="21"/>
                      <w:lang w:val="en-US" w:eastAsia="zh-CN"/>
                    </w:rPr>
                    <w:t>达标</w:t>
                  </w:r>
                </w:p>
              </w:tc>
            </w:tr>
            <w:tr w14:paraId="1B00A9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trPr>
              <w:tc>
                <w:tcPr>
                  <w:tcW w:w="1643" w:type="dxa"/>
                  <w:tcBorders>
                    <w:tl2br w:val="nil"/>
                    <w:tr2bl w:val="nil"/>
                  </w:tcBorders>
                  <w:vAlign w:val="center"/>
                </w:tcPr>
                <w:p w14:paraId="7C12BD2A">
                  <w:pPr>
                    <w:jc w:val="center"/>
                    <w:rPr>
                      <w:rFonts w:hint="default"/>
                      <w:sz w:val="21"/>
                      <w:szCs w:val="21"/>
                      <w:lang w:val="en-US" w:eastAsia="zh-CN"/>
                    </w:rPr>
                  </w:pPr>
                  <w:r>
                    <w:rPr>
                      <w:rFonts w:hint="eastAsia"/>
                      <w:sz w:val="21"/>
                      <w:szCs w:val="21"/>
                      <w:lang w:val="en-US" w:eastAsia="zh-CN"/>
                    </w:rPr>
                    <w:t>悬浮物</w:t>
                  </w:r>
                </w:p>
              </w:tc>
              <w:tc>
                <w:tcPr>
                  <w:tcW w:w="775" w:type="dxa"/>
                  <w:tcBorders>
                    <w:tl2br w:val="nil"/>
                    <w:tr2bl w:val="nil"/>
                  </w:tcBorders>
                  <w:vAlign w:val="center"/>
                </w:tcPr>
                <w:p w14:paraId="215C113B">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35FD0B91">
                  <w:pPr>
                    <w:jc w:val="center"/>
                    <w:rPr>
                      <w:rFonts w:hint="default"/>
                      <w:sz w:val="21"/>
                      <w:szCs w:val="21"/>
                      <w:lang w:val="en-US" w:eastAsia="zh-CN"/>
                    </w:rPr>
                  </w:pPr>
                  <w:r>
                    <w:rPr>
                      <w:rFonts w:hint="eastAsia"/>
                      <w:sz w:val="21"/>
                      <w:szCs w:val="21"/>
                      <w:lang w:val="en-US" w:eastAsia="zh-CN"/>
                    </w:rPr>
                    <w:t>13-15</w:t>
                  </w:r>
                </w:p>
              </w:tc>
              <w:tc>
                <w:tcPr>
                  <w:tcW w:w="2093" w:type="dxa"/>
                  <w:tcBorders>
                    <w:tl2br w:val="nil"/>
                    <w:tr2bl w:val="nil"/>
                  </w:tcBorders>
                  <w:vAlign w:val="center"/>
                </w:tcPr>
                <w:p w14:paraId="727D8B63">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18A67AF3">
                  <w:pPr>
                    <w:jc w:val="center"/>
                    <w:rPr>
                      <w:rFonts w:hint="default"/>
                      <w:sz w:val="21"/>
                      <w:szCs w:val="21"/>
                      <w:lang w:val="en-US" w:eastAsia="zh-CN"/>
                    </w:rPr>
                  </w:pPr>
                  <w:r>
                    <w:rPr>
                      <w:rFonts w:hint="eastAsia"/>
                      <w:sz w:val="21"/>
                      <w:szCs w:val="21"/>
                      <w:lang w:val="en-US" w:eastAsia="zh-CN"/>
                    </w:rPr>
                    <w:t>70</w:t>
                  </w:r>
                </w:p>
              </w:tc>
              <w:tc>
                <w:tcPr>
                  <w:tcW w:w="746" w:type="dxa"/>
                  <w:tcBorders>
                    <w:tl2br w:val="nil"/>
                    <w:tr2bl w:val="nil"/>
                  </w:tcBorders>
                  <w:vAlign w:val="center"/>
                </w:tcPr>
                <w:p w14:paraId="30C53DE6">
                  <w:pPr>
                    <w:jc w:val="center"/>
                    <w:rPr>
                      <w:rFonts w:hint="default"/>
                      <w:sz w:val="21"/>
                      <w:szCs w:val="21"/>
                      <w:lang w:val="en-US" w:eastAsia="zh-CN"/>
                    </w:rPr>
                  </w:pPr>
                  <w:r>
                    <w:rPr>
                      <w:rFonts w:hint="eastAsia"/>
                      <w:sz w:val="21"/>
                      <w:szCs w:val="21"/>
                      <w:lang w:val="en-US" w:eastAsia="zh-CN"/>
                    </w:rPr>
                    <w:t>达标</w:t>
                  </w:r>
                </w:p>
              </w:tc>
            </w:tr>
            <w:tr w14:paraId="4DB22C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1643" w:type="dxa"/>
                  <w:tcBorders>
                    <w:tl2br w:val="nil"/>
                    <w:tr2bl w:val="nil"/>
                  </w:tcBorders>
                  <w:vAlign w:val="center"/>
                </w:tcPr>
                <w:p w14:paraId="5AA61FE0">
                  <w:pPr>
                    <w:jc w:val="center"/>
                    <w:rPr>
                      <w:rFonts w:hint="default"/>
                      <w:sz w:val="21"/>
                      <w:szCs w:val="21"/>
                      <w:lang w:val="en-US" w:eastAsia="zh-CN"/>
                    </w:rPr>
                  </w:pPr>
                  <w:r>
                    <w:rPr>
                      <w:rFonts w:hint="eastAsia"/>
                      <w:sz w:val="21"/>
                      <w:szCs w:val="21"/>
                      <w:lang w:val="en-US" w:eastAsia="zh-CN"/>
                    </w:rPr>
                    <w:t>氨氮</w:t>
                  </w:r>
                </w:p>
              </w:tc>
              <w:tc>
                <w:tcPr>
                  <w:tcW w:w="775" w:type="dxa"/>
                  <w:tcBorders>
                    <w:tl2br w:val="nil"/>
                    <w:tr2bl w:val="nil"/>
                  </w:tcBorders>
                  <w:vAlign w:val="center"/>
                </w:tcPr>
                <w:p w14:paraId="02FB7EE5">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0DB5FCB0">
                  <w:pPr>
                    <w:jc w:val="center"/>
                    <w:rPr>
                      <w:rFonts w:hint="default"/>
                      <w:sz w:val="21"/>
                      <w:szCs w:val="21"/>
                      <w:lang w:val="en-US" w:eastAsia="zh-CN"/>
                    </w:rPr>
                  </w:pPr>
                  <w:r>
                    <w:rPr>
                      <w:rFonts w:hint="eastAsia"/>
                      <w:sz w:val="21"/>
                      <w:szCs w:val="21"/>
                      <w:lang w:val="en-US" w:eastAsia="zh-CN"/>
                    </w:rPr>
                    <w:t>0.444-0.450</w:t>
                  </w:r>
                </w:p>
              </w:tc>
              <w:tc>
                <w:tcPr>
                  <w:tcW w:w="2093" w:type="dxa"/>
                  <w:tcBorders>
                    <w:tl2br w:val="nil"/>
                    <w:tr2bl w:val="nil"/>
                  </w:tcBorders>
                  <w:vAlign w:val="center"/>
                </w:tcPr>
                <w:p w14:paraId="5BC67EAC">
                  <w:pPr>
                    <w:jc w:val="center"/>
                    <w:rPr>
                      <w:rFonts w:hint="default"/>
                      <w:sz w:val="21"/>
                      <w:szCs w:val="21"/>
                      <w:lang w:val="en-US" w:eastAsia="zh-CN"/>
                    </w:rPr>
                  </w:pPr>
                  <w:r>
                    <w:rPr>
                      <w:rFonts w:hint="eastAsia"/>
                      <w:sz w:val="21"/>
                      <w:szCs w:val="21"/>
                      <w:lang w:val="en-US" w:eastAsia="zh-CN"/>
                    </w:rPr>
                    <w:t>10</w:t>
                  </w:r>
                </w:p>
              </w:tc>
              <w:tc>
                <w:tcPr>
                  <w:tcW w:w="1803" w:type="dxa"/>
                  <w:tcBorders>
                    <w:tl2br w:val="nil"/>
                    <w:tr2bl w:val="nil"/>
                  </w:tcBorders>
                  <w:vAlign w:val="center"/>
                </w:tcPr>
                <w:p w14:paraId="21BD5329">
                  <w:pPr>
                    <w:jc w:val="center"/>
                    <w:rPr>
                      <w:rFonts w:hint="default"/>
                      <w:sz w:val="21"/>
                      <w:szCs w:val="21"/>
                      <w:lang w:val="en-US" w:eastAsia="zh-CN"/>
                    </w:rPr>
                  </w:pPr>
                  <w:r>
                    <w:rPr>
                      <w:rFonts w:hint="eastAsia"/>
                      <w:sz w:val="21"/>
                      <w:szCs w:val="21"/>
                      <w:lang w:val="en-US" w:eastAsia="zh-CN"/>
                    </w:rPr>
                    <w:t>15</w:t>
                  </w:r>
                </w:p>
              </w:tc>
              <w:tc>
                <w:tcPr>
                  <w:tcW w:w="746" w:type="dxa"/>
                  <w:tcBorders>
                    <w:tl2br w:val="nil"/>
                    <w:tr2bl w:val="nil"/>
                  </w:tcBorders>
                  <w:vAlign w:val="center"/>
                </w:tcPr>
                <w:p w14:paraId="51CF138F">
                  <w:pPr>
                    <w:jc w:val="center"/>
                    <w:rPr>
                      <w:rFonts w:hint="default"/>
                      <w:sz w:val="21"/>
                      <w:szCs w:val="21"/>
                      <w:lang w:val="en-US" w:eastAsia="zh-CN"/>
                    </w:rPr>
                  </w:pPr>
                  <w:r>
                    <w:rPr>
                      <w:rFonts w:hint="eastAsia"/>
                      <w:sz w:val="21"/>
                      <w:szCs w:val="21"/>
                      <w:lang w:val="en-US" w:eastAsia="zh-CN"/>
                    </w:rPr>
                    <w:t>达标</w:t>
                  </w:r>
                </w:p>
              </w:tc>
            </w:tr>
            <w:tr w14:paraId="19BF00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 w:hRule="atLeast"/>
              </w:trPr>
              <w:tc>
                <w:tcPr>
                  <w:tcW w:w="1643" w:type="dxa"/>
                  <w:tcBorders>
                    <w:tl2br w:val="nil"/>
                    <w:tr2bl w:val="nil"/>
                  </w:tcBorders>
                  <w:vAlign w:val="center"/>
                </w:tcPr>
                <w:p w14:paraId="03915270">
                  <w:pPr>
                    <w:jc w:val="center"/>
                    <w:rPr>
                      <w:rFonts w:hint="default"/>
                      <w:sz w:val="21"/>
                      <w:szCs w:val="21"/>
                      <w:lang w:val="en-US" w:eastAsia="zh-CN"/>
                    </w:rPr>
                  </w:pPr>
                  <w:r>
                    <w:rPr>
                      <w:rFonts w:hint="eastAsia"/>
                      <w:sz w:val="21"/>
                      <w:szCs w:val="21"/>
                      <w:lang w:val="en-US" w:eastAsia="zh-CN"/>
                    </w:rPr>
                    <w:t>化学需氧量</w:t>
                  </w:r>
                </w:p>
              </w:tc>
              <w:tc>
                <w:tcPr>
                  <w:tcW w:w="775" w:type="dxa"/>
                  <w:tcBorders>
                    <w:tl2br w:val="nil"/>
                    <w:tr2bl w:val="nil"/>
                  </w:tcBorders>
                  <w:vAlign w:val="center"/>
                </w:tcPr>
                <w:p w14:paraId="754F2996">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129DA0D2">
                  <w:pPr>
                    <w:jc w:val="center"/>
                    <w:rPr>
                      <w:rFonts w:hint="default"/>
                      <w:sz w:val="21"/>
                      <w:szCs w:val="21"/>
                      <w:lang w:val="en-US" w:eastAsia="zh-CN"/>
                    </w:rPr>
                  </w:pPr>
                  <w:r>
                    <w:rPr>
                      <w:rFonts w:hint="eastAsia"/>
                      <w:sz w:val="21"/>
                      <w:szCs w:val="21"/>
                      <w:lang w:val="en-US" w:eastAsia="zh-CN"/>
                    </w:rPr>
                    <w:t>33-36</w:t>
                  </w:r>
                </w:p>
              </w:tc>
              <w:tc>
                <w:tcPr>
                  <w:tcW w:w="2093" w:type="dxa"/>
                  <w:tcBorders>
                    <w:tl2br w:val="nil"/>
                    <w:tr2bl w:val="nil"/>
                  </w:tcBorders>
                  <w:vAlign w:val="center"/>
                </w:tcPr>
                <w:p w14:paraId="0E0EC073">
                  <w:pPr>
                    <w:jc w:val="center"/>
                    <w:rPr>
                      <w:rFonts w:hint="default"/>
                      <w:sz w:val="21"/>
                      <w:szCs w:val="21"/>
                      <w:lang w:val="en-US" w:eastAsia="zh-CN"/>
                    </w:rPr>
                  </w:pPr>
                  <w:r>
                    <w:rPr>
                      <w:rFonts w:hint="eastAsia"/>
                      <w:sz w:val="21"/>
                      <w:szCs w:val="21"/>
                      <w:lang w:val="en-US" w:eastAsia="zh-CN"/>
                    </w:rPr>
                    <w:t>60</w:t>
                  </w:r>
                </w:p>
              </w:tc>
              <w:tc>
                <w:tcPr>
                  <w:tcW w:w="1803" w:type="dxa"/>
                  <w:tcBorders>
                    <w:tl2br w:val="nil"/>
                    <w:tr2bl w:val="nil"/>
                  </w:tcBorders>
                  <w:vAlign w:val="center"/>
                </w:tcPr>
                <w:p w14:paraId="4BEEFD3B">
                  <w:pPr>
                    <w:jc w:val="center"/>
                    <w:rPr>
                      <w:rFonts w:hint="default"/>
                      <w:sz w:val="21"/>
                      <w:szCs w:val="21"/>
                      <w:lang w:val="en-US" w:eastAsia="zh-CN"/>
                    </w:rPr>
                  </w:pPr>
                  <w:r>
                    <w:rPr>
                      <w:rFonts w:hint="eastAsia"/>
                      <w:sz w:val="21"/>
                      <w:szCs w:val="21"/>
                      <w:lang w:val="en-US" w:eastAsia="zh-CN"/>
                    </w:rPr>
                    <w:t>100</w:t>
                  </w:r>
                </w:p>
              </w:tc>
              <w:tc>
                <w:tcPr>
                  <w:tcW w:w="746" w:type="dxa"/>
                  <w:tcBorders>
                    <w:tl2br w:val="nil"/>
                    <w:tr2bl w:val="nil"/>
                  </w:tcBorders>
                  <w:vAlign w:val="center"/>
                </w:tcPr>
                <w:p w14:paraId="61C38237">
                  <w:pPr>
                    <w:jc w:val="center"/>
                    <w:rPr>
                      <w:rFonts w:hint="default"/>
                      <w:sz w:val="21"/>
                      <w:szCs w:val="21"/>
                      <w:lang w:val="en-US" w:eastAsia="zh-CN"/>
                    </w:rPr>
                  </w:pPr>
                  <w:r>
                    <w:rPr>
                      <w:rFonts w:hint="eastAsia"/>
                      <w:sz w:val="21"/>
                      <w:szCs w:val="21"/>
                      <w:lang w:val="en-US" w:eastAsia="zh-CN"/>
                    </w:rPr>
                    <w:t>达标</w:t>
                  </w:r>
                </w:p>
              </w:tc>
            </w:tr>
            <w:tr w14:paraId="101E29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1643" w:type="dxa"/>
                  <w:tcBorders>
                    <w:tl2br w:val="nil"/>
                    <w:tr2bl w:val="nil"/>
                  </w:tcBorders>
                  <w:vAlign w:val="center"/>
                </w:tcPr>
                <w:p w14:paraId="1AD71B1A">
                  <w:pPr>
                    <w:jc w:val="center"/>
                    <w:rPr>
                      <w:rFonts w:hint="default"/>
                      <w:sz w:val="21"/>
                      <w:szCs w:val="21"/>
                      <w:lang w:val="en-US" w:eastAsia="zh-CN"/>
                    </w:rPr>
                  </w:pPr>
                  <w:r>
                    <w:rPr>
                      <w:rFonts w:hint="eastAsia"/>
                      <w:sz w:val="21"/>
                      <w:szCs w:val="21"/>
                      <w:lang w:val="en-US" w:eastAsia="zh-CN"/>
                    </w:rPr>
                    <w:t>硫化物</w:t>
                  </w:r>
                </w:p>
              </w:tc>
              <w:tc>
                <w:tcPr>
                  <w:tcW w:w="775" w:type="dxa"/>
                  <w:tcBorders>
                    <w:tl2br w:val="nil"/>
                    <w:tr2bl w:val="nil"/>
                  </w:tcBorders>
                  <w:vAlign w:val="center"/>
                </w:tcPr>
                <w:p w14:paraId="7556EB4C">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3E78AA34">
                  <w:pPr>
                    <w:jc w:val="center"/>
                    <w:rPr>
                      <w:rFonts w:hint="default"/>
                      <w:sz w:val="21"/>
                      <w:szCs w:val="21"/>
                      <w:lang w:val="en-US" w:eastAsia="zh-CN"/>
                    </w:rPr>
                  </w:pPr>
                  <w:r>
                    <w:rPr>
                      <w:rFonts w:hint="eastAsia"/>
                      <w:sz w:val="21"/>
                      <w:szCs w:val="21"/>
                      <w:lang w:val="en-US" w:eastAsia="zh-CN"/>
                    </w:rPr>
                    <w:t>未检出</w:t>
                  </w:r>
                </w:p>
              </w:tc>
              <w:tc>
                <w:tcPr>
                  <w:tcW w:w="2093" w:type="dxa"/>
                  <w:tcBorders>
                    <w:tl2br w:val="nil"/>
                    <w:tr2bl w:val="nil"/>
                  </w:tcBorders>
                  <w:vAlign w:val="center"/>
                </w:tcPr>
                <w:p w14:paraId="124D5795">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2CC20673">
                  <w:pPr>
                    <w:jc w:val="center"/>
                    <w:rPr>
                      <w:rFonts w:hint="default"/>
                      <w:sz w:val="21"/>
                      <w:szCs w:val="21"/>
                      <w:lang w:val="en-US" w:eastAsia="zh-CN"/>
                    </w:rPr>
                  </w:pPr>
                  <w:r>
                    <w:rPr>
                      <w:rFonts w:hint="eastAsia"/>
                      <w:sz w:val="21"/>
                      <w:szCs w:val="21"/>
                      <w:lang w:val="en-US" w:eastAsia="zh-CN"/>
                    </w:rPr>
                    <w:t>1.0</w:t>
                  </w:r>
                </w:p>
              </w:tc>
              <w:tc>
                <w:tcPr>
                  <w:tcW w:w="746" w:type="dxa"/>
                  <w:tcBorders>
                    <w:tl2br w:val="nil"/>
                    <w:tr2bl w:val="nil"/>
                  </w:tcBorders>
                  <w:vAlign w:val="center"/>
                </w:tcPr>
                <w:p w14:paraId="211502A8">
                  <w:pPr>
                    <w:jc w:val="center"/>
                    <w:rPr>
                      <w:rFonts w:hint="default"/>
                      <w:sz w:val="21"/>
                      <w:szCs w:val="21"/>
                      <w:lang w:val="en-US" w:eastAsia="zh-CN"/>
                    </w:rPr>
                  </w:pPr>
                  <w:r>
                    <w:rPr>
                      <w:rFonts w:hint="eastAsia"/>
                      <w:sz w:val="21"/>
                      <w:szCs w:val="21"/>
                      <w:lang w:val="en-US" w:eastAsia="zh-CN"/>
                    </w:rPr>
                    <w:t>达标</w:t>
                  </w:r>
                </w:p>
              </w:tc>
            </w:tr>
            <w:tr w14:paraId="684128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8" w:hRule="atLeast"/>
              </w:trPr>
              <w:tc>
                <w:tcPr>
                  <w:tcW w:w="1643" w:type="dxa"/>
                  <w:tcBorders>
                    <w:tl2br w:val="nil"/>
                    <w:tr2bl w:val="nil"/>
                  </w:tcBorders>
                  <w:vAlign w:val="center"/>
                </w:tcPr>
                <w:p w14:paraId="6BA29AE4">
                  <w:pPr>
                    <w:jc w:val="center"/>
                    <w:rPr>
                      <w:rFonts w:hint="default"/>
                      <w:sz w:val="21"/>
                      <w:szCs w:val="21"/>
                      <w:lang w:val="en-US" w:eastAsia="zh-CN"/>
                    </w:rPr>
                  </w:pPr>
                  <w:r>
                    <w:rPr>
                      <w:rFonts w:hint="eastAsia"/>
                      <w:sz w:val="21"/>
                      <w:szCs w:val="21"/>
                      <w:lang w:val="en-US" w:eastAsia="zh-CN"/>
                    </w:rPr>
                    <w:t>铜</w:t>
                  </w:r>
                </w:p>
              </w:tc>
              <w:tc>
                <w:tcPr>
                  <w:tcW w:w="775" w:type="dxa"/>
                  <w:tcBorders>
                    <w:tl2br w:val="nil"/>
                    <w:tr2bl w:val="nil"/>
                  </w:tcBorders>
                  <w:vAlign w:val="center"/>
                </w:tcPr>
                <w:p w14:paraId="7A8ABB00">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45868FCE">
                  <w:pPr>
                    <w:jc w:val="center"/>
                    <w:rPr>
                      <w:rFonts w:hint="default"/>
                      <w:sz w:val="21"/>
                      <w:szCs w:val="21"/>
                      <w:lang w:val="en-US" w:eastAsia="zh-CN"/>
                    </w:rPr>
                  </w:pPr>
                  <w:r>
                    <w:rPr>
                      <w:rFonts w:hint="eastAsia"/>
                      <w:sz w:val="21"/>
                      <w:szCs w:val="21"/>
                      <w:lang w:val="en-US" w:eastAsia="zh-CN"/>
                    </w:rPr>
                    <w:t>未检出</w:t>
                  </w:r>
                </w:p>
              </w:tc>
              <w:tc>
                <w:tcPr>
                  <w:tcW w:w="2093" w:type="dxa"/>
                  <w:tcBorders>
                    <w:tl2br w:val="nil"/>
                    <w:tr2bl w:val="nil"/>
                  </w:tcBorders>
                  <w:vAlign w:val="center"/>
                </w:tcPr>
                <w:p w14:paraId="71BA2085">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4FB2A13E">
                  <w:pPr>
                    <w:jc w:val="center"/>
                    <w:rPr>
                      <w:rFonts w:hint="default"/>
                      <w:sz w:val="21"/>
                      <w:szCs w:val="21"/>
                      <w:lang w:val="en-US" w:eastAsia="zh-CN"/>
                    </w:rPr>
                  </w:pPr>
                  <w:r>
                    <w:rPr>
                      <w:rFonts w:hint="eastAsia"/>
                      <w:sz w:val="21"/>
                      <w:szCs w:val="21"/>
                      <w:lang w:val="en-US" w:eastAsia="zh-CN"/>
                    </w:rPr>
                    <w:t>0.5</w:t>
                  </w:r>
                </w:p>
              </w:tc>
              <w:tc>
                <w:tcPr>
                  <w:tcW w:w="746" w:type="dxa"/>
                  <w:tcBorders>
                    <w:tl2br w:val="nil"/>
                    <w:tr2bl w:val="nil"/>
                  </w:tcBorders>
                  <w:vAlign w:val="center"/>
                </w:tcPr>
                <w:p w14:paraId="6888786A">
                  <w:pPr>
                    <w:jc w:val="center"/>
                    <w:rPr>
                      <w:rFonts w:hint="default"/>
                      <w:sz w:val="21"/>
                      <w:szCs w:val="21"/>
                      <w:lang w:val="en-US" w:eastAsia="zh-CN"/>
                    </w:rPr>
                  </w:pPr>
                  <w:r>
                    <w:rPr>
                      <w:rFonts w:hint="eastAsia"/>
                      <w:sz w:val="21"/>
                      <w:szCs w:val="21"/>
                      <w:lang w:val="en-US" w:eastAsia="zh-CN"/>
                    </w:rPr>
                    <w:t>达标</w:t>
                  </w:r>
                </w:p>
              </w:tc>
            </w:tr>
            <w:tr w14:paraId="6F018F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084CB114">
                  <w:pPr>
                    <w:jc w:val="center"/>
                    <w:rPr>
                      <w:rFonts w:hint="default"/>
                      <w:sz w:val="21"/>
                      <w:szCs w:val="21"/>
                      <w:lang w:val="en-US" w:eastAsia="zh-CN"/>
                    </w:rPr>
                  </w:pPr>
                  <w:r>
                    <w:rPr>
                      <w:rFonts w:hint="eastAsia"/>
                      <w:sz w:val="21"/>
                      <w:szCs w:val="21"/>
                      <w:lang w:val="en-US" w:eastAsia="zh-CN"/>
                    </w:rPr>
                    <w:t>铅</w:t>
                  </w:r>
                </w:p>
              </w:tc>
              <w:tc>
                <w:tcPr>
                  <w:tcW w:w="775" w:type="dxa"/>
                  <w:tcBorders>
                    <w:tl2br w:val="nil"/>
                    <w:tr2bl w:val="nil"/>
                  </w:tcBorders>
                  <w:vAlign w:val="center"/>
                </w:tcPr>
                <w:p w14:paraId="7C0B9A70">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5C27B7DC">
                  <w:pPr>
                    <w:jc w:val="center"/>
                    <w:rPr>
                      <w:rFonts w:hint="default"/>
                      <w:sz w:val="21"/>
                      <w:szCs w:val="21"/>
                      <w:lang w:val="en-US" w:eastAsia="zh-CN"/>
                    </w:rPr>
                  </w:pPr>
                  <w:r>
                    <w:rPr>
                      <w:rFonts w:hint="eastAsia"/>
                      <w:sz w:val="21"/>
                      <w:szCs w:val="21"/>
                      <w:lang w:val="en-US" w:eastAsia="zh-CN"/>
                    </w:rPr>
                    <w:t>未检出</w:t>
                  </w:r>
                </w:p>
              </w:tc>
              <w:tc>
                <w:tcPr>
                  <w:tcW w:w="2093" w:type="dxa"/>
                  <w:tcBorders>
                    <w:tl2br w:val="nil"/>
                    <w:tr2bl w:val="nil"/>
                  </w:tcBorders>
                  <w:vAlign w:val="center"/>
                </w:tcPr>
                <w:p w14:paraId="4CEF60B1">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2CF9CA04">
                  <w:pPr>
                    <w:jc w:val="center"/>
                    <w:rPr>
                      <w:rFonts w:hint="default"/>
                      <w:sz w:val="21"/>
                      <w:szCs w:val="21"/>
                      <w:lang w:val="en-US" w:eastAsia="zh-CN"/>
                    </w:rPr>
                  </w:pPr>
                  <w:r>
                    <w:rPr>
                      <w:rFonts w:hint="eastAsia"/>
                      <w:sz w:val="21"/>
                      <w:szCs w:val="21"/>
                      <w:lang w:val="en-US" w:eastAsia="zh-CN"/>
                    </w:rPr>
                    <w:t>1.0</w:t>
                  </w:r>
                </w:p>
              </w:tc>
              <w:tc>
                <w:tcPr>
                  <w:tcW w:w="746" w:type="dxa"/>
                  <w:tcBorders>
                    <w:tl2br w:val="nil"/>
                    <w:tr2bl w:val="nil"/>
                  </w:tcBorders>
                  <w:vAlign w:val="center"/>
                </w:tcPr>
                <w:p w14:paraId="5FF7E441">
                  <w:pPr>
                    <w:jc w:val="center"/>
                    <w:rPr>
                      <w:rFonts w:hint="default"/>
                      <w:sz w:val="21"/>
                      <w:szCs w:val="21"/>
                      <w:lang w:val="en-US" w:eastAsia="zh-CN"/>
                    </w:rPr>
                  </w:pPr>
                  <w:r>
                    <w:rPr>
                      <w:rFonts w:hint="eastAsia"/>
                      <w:sz w:val="21"/>
                      <w:szCs w:val="21"/>
                      <w:lang w:val="en-US" w:eastAsia="zh-CN"/>
                    </w:rPr>
                    <w:t>达标</w:t>
                  </w:r>
                </w:p>
              </w:tc>
            </w:tr>
            <w:tr w14:paraId="1947F8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1D04551E">
                  <w:pPr>
                    <w:jc w:val="center"/>
                    <w:rPr>
                      <w:rFonts w:hint="default"/>
                      <w:sz w:val="21"/>
                      <w:szCs w:val="21"/>
                      <w:lang w:val="en-US" w:eastAsia="zh-CN"/>
                    </w:rPr>
                  </w:pPr>
                  <w:r>
                    <w:rPr>
                      <w:rFonts w:hint="eastAsia"/>
                      <w:sz w:val="21"/>
                      <w:szCs w:val="21"/>
                      <w:lang w:val="en-US" w:eastAsia="zh-CN"/>
                    </w:rPr>
                    <w:t>锌</w:t>
                  </w:r>
                </w:p>
              </w:tc>
              <w:tc>
                <w:tcPr>
                  <w:tcW w:w="775" w:type="dxa"/>
                  <w:tcBorders>
                    <w:tl2br w:val="nil"/>
                    <w:tr2bl w:val="nil"/>
                  </w:tcBorders>
                  <w:vAlign w:val="center"/>
                </w:tcPr>
                <w:p w14:paraId="6C965540">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03C05544">
                  <w:pPr>
                    <w:jc w:val="center"/>
                    <w:rPr>
                      <w:rFonts w:hint="default"/>
                      <w:sz w:val="21"/>
                      <w:szCs w:val="21"/>
                      <w:lang w:val="en-US" w:eastAsia="zh-CN"/>
                    </w:rPr>
                  </w:pPr>
                  <w:r>
                    <w:rPr>
                      <w:rFonts w:hint="eastAsia"/>
                      <w:sz w:val="21"/>
                      <w:szCs w:val="21"/>
                      <w:lang w:val="en-US" w:eastAsia="zh-CN"/>
                    </w:rPr>
                    <w:t>0.34-0.35</w:t>
                  </w:r>
                </w:p>
              </w:tc>
              <w:tc>
                <w:tcPr>
                  <w:tcW w:w="2093" w:type="dxa"/>
                  <w:tcBorders>
                    <w:tl2br w:val="nil"/>
                    <w:tr2bl w:val="nil"/>
                  </w:tcBorders>
                  <w:vAlign w:val="center"/>
                </w:tcPr>
                <w:p w14:paraId="16342446">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6D5B962A">
                  <w:pPr>
                    <w:jc w:val="center"/>
                    <w:rPr>
                      <w:rFonts w:hint="default"/>
                      <w:sz w:val="21"/>
                      <w:szCs w:val="21"/>
                      <w:lang w:val="en-US" w:eastAsia="zh-CN"/>
                    </w:rPr>
                  </w:pPr>
                  <w:r>
                    <w:rPr>
                      <w:rFonts w:hint="eastAsia"/>
                      <w:sz w:val="21"/>
                      <w:szCs w:val="21"/>
                      <w:lang w:val="en-US" w:eastAsia="zh-CN"/>
                    </w:rPr>
                    <w:t>2.0</w:t>
                  </w:r>
                </w:p>
              </w:tc>
              <w:tc>
                <w:tcPr>
                  <w:tcW w:w="746" w:type="dxa"/>
                  <w:tcBorders>
                    <w:tl2br w:val="nil"/>
                    <w:tr2bl w:val="nil"/>
                  </w:tcBorders>
                  <w:vAlign w:val="center"/>
                </w:tcPr>
                <w:p w14:paraId="5B4AEB7C">
                  <w:pPr>
                    <w:jc w:val="center"/>
                    <w:rPr>
                      <w:rFonts w:hint="default"/>
                      <w:sz w:val="21"/>
                      <w:szCs w:val="21"/>
                      <w:lang w:val="en-US" w:eastAsia="zh-CN"/>
                    </w:rPr>
                  </w:pPr>
                  <w:r>
                    <w:rPr>
                      <w:rFonts w:hint="eastAsia"/>
                      <w:sz w:val="21"/>
                      <w:szCs w:val="21"/>
                      <w:lang w:val="en-US" w:eastAsia="zh-CN"/>
                    </w:rPr>
                    <w:t>达标</w:t>
                  </w:r>
                </w:p>
              </w:tc>
            </w:tr>
            <w:tr w14:paraId="3A0A38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608311DB">
                  <w:pPr>
                    <w:jc w:val="center"/>
                    <w:rPr>
                      <w:rFonts w:hint="default"/>
                      <w:sz w:val="21"/>
                      <w:szCs w:val="21"/>
                      <w:lang w:val="en-US" w:eastAsia="zh-CN"/>
                    </w:rPr>
                  </w:pPr>
                  <w:r>
                    <w:rPr>
                      <w:rFonts w:hint="eastAsia"/>
                      <w:sz w:val="21"/>
                      <w:szCs w:val="21"/>
                      <w:lang w:val="en-US" w:eastAsia="zh-CN"/>
                    </w:rPr>
                    <w:t>镉</w:t>
                  </w:r>
                </w:p>
              </w:tc>
              <w:tc>
                <w:tcPr>
                  <w:tcW w:w="775" w:type="dxa"/>
                  <w:tcBorders>
                    <w:tl2br w:val="nil"/>
                    <w:tr2bl w:val="nil"/>
                  </w:tcBorders>
                  <w:vAlign w:val="center"/>
                </w:tcPr>
                <w:p w14:paraId="025DF24C">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058EA3EE">
                  <w:pPr>
                    <w:jc w:val="center"/>
                    <w:rPr>
                      <w:rFonts w:hint="default"/>
                      <w:sz w:val="21"/>
                      <w:szCs w:val="21"/>
                      <w:lang w:val="en-US" w:eastAsia="zh-CN"/>
                    </w:rPr>
                  </w:pPr>
                  <w:r>
                    <w:rPr>
                      <w:rFonts w:hint="eastAsia"/>
                      <w:sz w:val="21"/>
                      <w:szCs w:val="21"/>
                      <w:lang w:val="en-US" w:eastAsia="zh-CN"/>
                    </w:rPr>
                    <w:t>未检出</w:t>
                  </w:r>
                </w:p>
              </w:tc>
              <w:tc>
                <w:tcPr>
                  <w:tcW w:w="2093" w:type="dxa"/>
                  <w:tcBorders>
                    <w:tl2br w:val="nil"/>
                    <w:tr2bl w:val="nil"/>
                  </w:tcBorders>
                  <w:vAlign w:val="center"/>
                </w:tcPr>
                <w:p w14:paraId="7DB7C367">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2342DDE2">
                  <w:pPr>
                    <w:jc w:val="center"/>
                    <w:rPr>
                      <w:rFonts w:hint="default"/>
                      <w:sz w:val="21"/>
                      <w:szCs w:val="21"/>
                      <w:lang w:val="en-US" w:eastAsia="zh-CN"/>
                    </w:rPr>
                  </w:pPr>
                  <w:r>
                    <w:rPr>
                      <w:rFonts w:hint="eastAsia"/>
                      <w:sz w:val="21"/>
                      <w:szCs w:val="21"/>
                      <w:lang w:val="en-US" w:eastAsia="zh-CN"/>
                    </w:rPr>
                    <w:t>0.1</w:t>
                  </w:r>
                </w:p>
              </w:tc>
              <w:tc>
                <w:tcPr>
                  <w:tcW w:w="746" w:type="dxa"/>
                  <w:tcBorders>
                    <w:tl2br w:val="nil"/>
                    <w:tr2bl w:val="nil"/>
                  </w:tcBorders>
                  <w:vAlign w:val="center"/>
                </w:tcPr>
                <w:p w14:paraId="421B06C0">
                  <w:pPr>
                    <w:jc w:val="center"/>
                    <w:rPr>
                      <w:rFonts w:hint="default"/>
                      <w:sz w:val="21"/>
                      <w:szCs w:val="21"/>
                      <w:lang w:val="en-US" w:eastAsia="zh-CN"/>
                    </w:rPr>
                  </w:pPr>
                  <w:r>
                    <w:rPr>
                      <w:rFonts w:hint="eastAsia"/>
                      <w:sz w:val="21"/>
                      <w:szCs w:val="21"/>
                      <w:lang w:val="en-US" w:eastAsia="zh-CN"/>
                    </w:rPr>
                    <w:t>达标</w:t>
                  </w:r>
                </w:p>
              </w:tc>
            </w:tr>
            <w:tr w14:paraId="205C94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5A090412">
                  <w:pPr>
                    <w:jc w:val="center"/>
                    <w:rPr>
                      <w:rFonts w:hint="default"/>
                      <w:sz w:val="21"/>
                      <w:szCs w:val="21"/>
                      <w:lang w:val="en-US" w:eastAsia="zh-CN"/>
                    </w:rPr>
                  </w:pPr>
                  <w:r>
                    <w:rPr>
                      <w:rFonts w:hint="eastAsia"/>
                      <w:sz w:val="21"/>
                      <w:szCs w:val="21"/>
                      <w:lang w:val="en-US" w:eastAsia="zh-CN"/>
                    </w:rPr>
                    <w:t>砷</w:t>
                  </w:r>
                </w:p>
              </w:tc>
              <w:tc>
                <w:tcPr>
                  <w:tcW w:w="775" w:type="dxa"/>
                  <w:tcBorders>
                    <w:tl2br w:val="nil"/>
                    <w:tr2bl w:val="nil"/>
                  </w:tcBorders>
                  <w:vAlign w:val="center"/>
                </w:tcPr>
                <w:p w14:paraId="18F3A85F">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401CC952">
                  <w:pPr>
                    <w:jc w:val="center"/>
                    <w:rPr>
                      <w:rFonts w:hint="default"/>
                      <w:sz w:val="21"/>
                      <w:szCs w:val="21"/>
                      <w:lang w:val="en-US" w:eastAsia="zh-CN"/>
                    </w:rPr>
                  </w:pPr>
                  <w:r>
                    <w:rPr>
                      <w:rFonts w:hint="eastAsia"/>
                      <w:sz w:val="21"/>
                      <w:szCs w:val="21"/>
                      <w:lang w:val="en-US" w:eastAsia="zh-CN"/>
                    </w:rPr>
                    <w:t>6.0</w:t>
                  </w:r>
                  <w:r>
                    <w:rPr>
                      <w:rFonts w:hint="default" w:ascii="Arial" w:hAnsi="Arial" w:cs="Arial"/>
                      <w:sz w:val="21"/>
                      <w:szCs w:val="21"/>
                      <w:lang w:val="en-US" w:eastAsia="zh-CN"/>
                    </w:rPr>
                    <w:t>×</w:t>
                  </w:r>
                  <w:r>
                    <w:rPr>
                      <w:rFonts w:hint="eastAsia"/>
                      <w:sz w:val="21"/>
                      <w:szCs w:val="21"/>
                      <w:lang w:val="en-US" w:eastAsia="zh-CN"/>
                    </w:rPr>
                    <w:t>10</w:t>
                  </w:r>
                  <w:r>
                    <w:rPr>
                      <w:rFonts w:hint="eastAsia"/>
                      <w:sz w:val="21"/>
                      <w:szCs w:val="21"/>
                      <w:vertAlign w:val="superscript"/>
                      <w:lang w:val="en-US" w:eastAsia="zh-CN"/>
                    </w:rPr>
                    <w:t>-4</w:t>
                  </w:r>
                  <w:r>
                    <w:rPr>
                      <w:rFonts w:hint="eastAsia"/>
                      <w:sz w:val="21"/>
                      <w:szCs w:val="21"/>
                      <w:vertAlign w:val="baseline"/>
                      <w:lang w:val="en-US" w:eastAsia="zh-CN"/>
                    </w:rPr>
                    <w:t>-7</w:t>
                  </w:r>
                  <w:r>
                    <w:rPr>
                      <w:rFonts w:hint="eastAsia"/>
                      <w:sz w:val="21"/>
                      <w:szCs w:val="21"/>
                      <w:lang w:val="en-US" w:eastAsia="zh-CN"/>
                    </w:rPr>
                    <w:t>.0</w:t>
                  </w:r>
                  <w:r>
                    <w:rPr>
                      <w:rFonts w:hint="default" w:ascii="Arial" w:hAnsi="Arial" w:cs="Arial"/>
                      <w:sz w:val="21"/>
                      <w:szCs w:val="21"/>
                      <w:lang w:val="en-US" w:eastAsia="zh-CN"/>
                    </w:rPr>
                    <w:t>×</w:t>
                  </w:r>
                  <w:r>
                    <w:rPr>
                      <w:rFonts w:hint="eastAsia"/>
                      <w:sz w:val="21"/>
                      <w:szCs w:val="21"/>
                      <w:lang w:val="en-US" w:eastAsia="zh-CN"/>
                    </w:rPr>
                    <w:t>10</w:t>
                  </w:r>
                  <w:r>
                    <w:rPr>
                      <w:rFonts w:hint="eastAsia"/>
                      <w:sz w:val="21"/>
                      <w:szCs w:val="21"/>
                      <w:vertAlign w:val="superscript"/>
                      <w:lang w:val="en-US" w:eastAsia="zh-CN"/>
                    </w:rPr>
                    <w:t>-4</w:t>
                  </w:r>
                </w:p>
              </w:tc>
              <w:tc>
                <w:tcPr>
                  <w:tcW w:w="2093" w:type="dxa"/>
                  <w:tcBorders>
                    <w:tl2br w:val="nil"/>
                    <w:tr2bl w:val="nil"/>
                  </w:tcBorders>
                  <w:vAlign w:val="center"/>
                </w:tcPr>
                <w:p w14:paraId="67EC5223">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477CF065">
                  <w:pPr>
                    <w:jc w:val="center"/>
                    <w:rPr>
                      <w:rFonts w:hint="default"/>
                      <w:sz w:val="21"/>
                      <w:szCs w:val="21"/>
                      <w:lang w:val="en-US" w:eastAsia="zh-CN"/>
                    </w:rPr>
                  </w:pPr>
                  <w:r>
                    <w:rPr>
                      <w:rFonts w:hint="eastAsia"/>
                      <w:sz w:val="21"/>
                      <w:szCs w:val="21"/>
                      <w:lang w:val="en-US" w:eastAsia="zh-CN"/>
                    </w:rPr>
                    <w:t>0.5</w:t>
                  </w:r>
                </w:p>
              </w:tc>
              <w:tc>
                <w:tcPr>
                  <w:tcW w:w="746" w:type="dxa"/>
                  <w:tcBorders>
                    <w:tl2br w:val="nil"/>
                    <w:tr2bl w:val="nil"/>
                  </w:tcBorders>
                  <w:vAlign w:val="center"/>
                </w:tcPr>
                <w:p w14:paraId="2E18AA2D">
                  <w:pPr>
                    <w:jc w:val="center"/>
                    <w:rPr>
                      <w:rFonts w:hint="default"/>
                      <w:sz w:val="21"/>
                      <w:szCs w:val="21"/>
                      <w:lang w:val="en-US" w:eastAsia="zh-CN"/>
                    </w:rPr>
                  </w:pPr>
                  <w:r>
                    <w:rPr>
                      <w:rFonts w:hint="eastAsia"/>
                      <w:sz w:val="21"/>
                      <w:szCs w:val="21"/>
                      <w:lang w:val="en-US" w:eastAsia="zh-CN"/>
                    </w:rPr>
                    <w:t>达标</w:t>
                  </w:r>
                </w:p>
              </w:tc>
            </w:tr>
            <w:tr w14:paraId="750FB7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55A147F2">
                  <w:pPr>
                    <w:jc w:val="center"/>
                    <w:rPr>
                      <w:rFonts w:hint="default"/>
                      <w:sz w:val="21"/>
                      <w:szCs w:val="21"/>
                      <w:lang w:val="en-US" w:eastAsia="zh-CN"/>
                    </w:rPr>
                  </w:pPr>
                  <w:r>
                    <w:rPr>
                      <w:rFonts w:hint="eastAsia"/>
                      <w:sz w:val="21"/>
                      <w:szCs w:val="21"/>
                      <w:lang w:val="en-US" w:eastAsia="zh-CN"/>
                    </w:rPr>
                    <w:t>六价铬</w:t>
                  </w:r>
                </w:p>
              </w:tc>
              <w:tc>
                <w:tcPr>
                  <w:tcW w:w="775" w:type="dxa"/>
                  <w:tcBorders>
                    <w:tl2br w:val="nil"/>
                    <w:tr2bl w:val="nil"/>
                  </w:tcBorders>
                  <w:vAlign w:val="center"/>
                </w:tcPr>
                <w:p w14:paraId="01A8E662">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7FAD24D6">
                  <w:pPr>
                    <w:jc w:val="center"/>
                    <w:rPr>
                      <w:rFonts w:hint="default"/>
                      <w:sz w:val="21"/>
                      <w:szCs w:val="21"/>
                      <w:lang w:val="en-US" w:eastAsia="zh-CN"/>
                    </w:rPr>
                  </w:pPr>
                  <w:r>
                    <w:rPr>
                      <w:rFonts w:hint="eastAsia"/>
                      <w:sz w:val="21"/>
                      <w:szCs w:val="21"/>
                      <w:lang w:val="en-US" w:eastAsia="zh-CN"/>
                    </w:rPr>
                    <w:t>未检出</w:t>
                  </w:r>
                </w:p>
              </w:tc>
              <w:tc>
                <w:tcPr>
                  <w:tcW w:w="2093" w:type="dxa"/>
                  <w:tcBorders>
                    <w:tl2br w:val="nil"/>
                    <w:tr2bl w:val="nil"/>
                  </w:tcBorders>
                  <w:vAlign w:val="center"/>
                </w:tcPr>
                <w:p w14:paraId="14F2D5A2">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3A8C9952">
                  <w:pPr>
                    <w:jc w:val="center"/>
                    <w:rPr>
                      <w:rFonts w:hint="default"/>
                      <w:sz w:val="21"/>
                      <w:szCs w:val="21"/>
                      <w:lang w:val="en-US" w:eastAsia="zh-CN"/>
                    </w:rPr>
                  </w:pPr>
                  <w:r>
                    <w:rPr>
                      <w:rFonts w:hint="eastAsia"/>
                      <w:sz w:val="21"/>
                      <w:szCs w:val="21"/>
                      <w:lang w:val="en-US" w:eastAsia="zh-CN"/>
                    </w:rPr>
                    <w:t>0.5</w:t>
                  </w:r>
                </w:p>
              </w:tc>
              <w:tc>
                <w:tcPr>
                  <w:tcW w:w="746" w:type="dxa"/>
                  <w:tcBorders>
                    <w:tl2br w:val="nil"/>
                    <w:tr2bl w:val="nil"/>
                  </w:tcBorders>
                  <w:vAlign w:val="center"/>
                </w:tcPr>
                <w:p w14:paraId="69613627">
                  <w:pPr>
                    <w:jc w:val="center"/>
                    <w:rPr>
                      <w:rFonts w:hint="default"/>
                      <w:sz w:val="21"/>
                      <w:szCs w:val="21"/>
                      <w:lang w:val="en-US" w:eastAsia="zh-CN"/>
                    </w:rPr>
                  </w:pPr>
                  <w:r>
                    <w:rPr>
                      <w:rFonts w:hint="eastAsia"/>
                      <w:sz w:val="21"/>
                      <w:szCs w:val="21"/>
                      <w:lang w:val="en-US" w:eastAsia="zh-CN"/>
                    </w:rPr>
                    <w:t>达标</w:t>
                  </w:r>
                </w:p>
              </w:tc>
            </w:tr>
            <w:tr w14:paraId="6B9966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797F1B4E">
                  <w:pPr>
                    <w:jc w:val="center"/>
                    <w:rPr>
                      <w:rFonts w:hint="default"/>
                      <w:sz w:val="21"/>
                      <w:szCs w:val="21"/>
                      <w:lang w:val="en-US" w:eastAsia="zh-CN"/>
                    </w:rPr>
                  </w:pPr>
                  <w:r>
                    <w:rPr>
                      <w:rFonts w:hint="eastAsia"/>
                      <w:sz w:val="21"/>
                      <w:szCs w:val="21"/>
                      <w:lang w:val="en-US" w:eastAsia="zh-CN"/>
                    </w:rPr>
                    <w:t>氟化物</w:t>
                  </w:r>
                </w:p>
              </w:tc>
              <w:tc>
                <w:tcPr>
                  <w:tcW w:w="775" w:type="dxa"/>
                  <w:tcBorders>
                    <w:tl2br w:val="nil"/>
                    <w:tr2bl w:val="nil"/>
                  </w:tcBorders>
                  <w:vAlign w:val="center"/>
                </w:tcPr>
                <w:p w14:paraId="2E19F211">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18C955F2">
                  <w:pPr>
                    <w:jc w:val="center"/>
                    <w:rPr>
                      <w:rFonts w:hint="default"/>
                      <w:sz w:val="21"/>
                      <w:szCs w:val="21"/>
                      <w:lang w:val="en-US" w:eastAsia="zh-CN"/>
                    </w:rPr>
                  </w:pPr>
                  <w:r>
                    <w:rPr>
                      <w:rFonts w:hint="eastAsia"/>
                      <w:sz w:val="21"/>
                      <w:szCs w:val="21"/>
                      <w:lang w:val="en-US" w:eastAsia="zh-CN"/>
                    </w:rPr>
                    <w:t>0.90-0.96</w:t>
                  </w:r>
                </w:p>
              </w:tc>
              <w:tc>
                <w:tcPr>
                  <w:tcW w:w="2093" w:type="dxa"/>
                  <w:tcBorders>
                    <w:tl2br w:val="nil"/>
                    <w:tr2bl w:val="nil"/>
                  </w:tcBorders>
                  <w:vAlign w:val="center"/>
                </w:tcPr>
                <w:p w14:paraId="1FDC1625">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7B60FC53">
                  <w:pPr>
                    <w:jc w:val="center"/>
                    <w:rPr>
                      <w:rFonts w:hint="default"/>
                      <w:sz w:val="21"/>
                      <w:szCs w:val="21"/>
                      <w:lang w:val="en-US" w:eastAsia="zh-CN"/>
                    </w:rPr>
                  </w:pPr>
                  <w:r>
                    <w:rPr>
                      <w:rFonts w:hint="eastAsia"/>
                      <w:sz w:val="21"/>
                      <w:szCs w:val="21"/>
                      <w:lang w:val="en-US" w:eastAsia="zh-CN"/>
                    </w:rPr>
                    <w:t>10</w:t>
                  </w:r>
                </w:p>
              </w:tc>
              <w:tc>
                <w:tcPr>
                  <w:tcW w:w="746" w:type="dxa"/>
                  <w:tcBorders>
                    <w:tl2br w:val="nil"/>
                    <w:tr2bl w:val="nil"/>
                  </w:tcBorders>
                  <w:vAlign w:val="center"/>
                </w:tcPr>
                <w:p w14:paraId="23446017">
                  <w:pPr>
                    <w:jc w:val="center"/>
                    <w:rPr>
                      <w:rFonts w:hint="default"/>
                      <w:sz w:val="21"/>
                      <w:szCs w:val="21"/>
                      <w:lang w:val="en-US" w:eastAsia="zh-CN"/>
                    </w:rPr>
                  </w:pPr>
                  <w:r>
                    <w:rPr>
                      <w:rFonts w:hint="eastAsia"/>
                      <w:sz w:val="21"/>
                      <w:szCs w:val="21"/>
                      <w:lang w:val="en-US" w:eastAsia="zh-CN"/>
                    </w:rPr>
                    <w:t>达标</w:t>
                  </w:r>
                </w:p>
              </w:tc>
            </w:tr>
            <w:tr w14:paraId="62C508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3954971A">
                  <w:pPr>
                    <w:jc w:val="center"/>
                    <w:rPr>
                      <w:rFonts w:hint="default"/>
                      <w:sz w:val="21"/>
                      <w:szCs w:val="21"/>
                      <w:lang w:val="en-US" w:eastAsia="zh-CN"/>
                    </w:rPr>
                  </w:pPr>
                  <w:r>
                    <w:rPr>
                      <w:rFonts w:hint="eastAsia"/>
                      <w:sz w:val="21"/>
                      <w:szCs w:val="21"/>
                      <w:lang w:val="en-US" w:eastAsia="zh-CN"/>
                    </w:rPr>
                    <w:t>石油类</w:t>
                  </w:r>
                </w:p>
              </w:tc>
              <w:tc>
                <w:tcPr>
                  <w:tcW w:w="775" w:type="dxa"/>
                  <w:tcBorders>
                    <w:tl2br w:val="nil"/>
                    <w:tr2bl w:val="nil"/>
                  </w:tcBorders>
                  <w:vAlign w:val="center"/>
                </w:tcPr>
                <w:p w14:paraId="384D39B8">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5F80E5A1">
                  <w:pPr>
                    <w:jc w:val="center"/>
                    <w:rPr>
                      <w:rFonts w:hint="default"/>
                      <w:sz w:val="21"/>
                      <w:szCs w:val="21"/>
                      <w:lang w:val="en-US" w:eastAsia="zh-CN"/>
                    </w:rPr>
                  </w:pPr>
                  <w:r>
                    <w:rPr>
                      <w:rFonts w:hint="eastAsia"/>
                      <w:sz w:val="21"/>
                      <w:szCs w:val="21"/>
                      <w:lang w:val="en-US" w:eastAsia="zh-CN"/>
                    </w:rPr>
                    <w:t>0.48-0.51</w:t>
                  </w:r>
                </w:p>
              </w:tc>
              <w:tc>
                <w:tcPr>
                  <w:tcW w:w="2093" w:type="dxa"/>
                  <w:tcBorders>
                    <w:tl2br w:val="nil"/>
                    <w:tr2bl w:val="nil"/>
                  </w:tcBorders>
                  <w:vAlign w:val="center"/>
                </w:tcPr>
                <w:p w14:paraId="76D1172D">
                  <w:pPr>
                    <w:jc w:val="center"/>
                    <w:rPr>
                      <w:rFonts w:hint="default"/>
                      <w:sz w:val="21"/>
                      <w:szCs w:val="21"/>
                      <w:lang w:val="en-US" w:eastAsia="zh-CN"/>
                    </w:rPr>
                  </w:pPr>
                  <w:r>
                    <w:rPr>
                      <w:rFonts w:hint="eastAsia"/>
                      <w:sz w:val="21"/>
                      <w:szCs w:val="21"/>
                      <w:lang w:val="en-US" w:eastAsia="zh-CN"/>
                    </w:rPr>
                    <w:t>1</w:t>
                  </w:r>
                </w:p>
              </w:tc>
              <w:tc>
                <w:tcPr>
                  <w:tcW w:w="1803" w:type="dxa"/>
                  <w:tcBorders>
                    <w:tl2br w:val="nil"/>
                    <w:tr2bl w:val="nil"/>
                  </w:tcBorders>
                  <w:vAlign w:val="center"/>
                </w:tcPr>
                <w:p w14:paraId="389AD252">
                  <w:pPr>
                    <w:jc w:val="center"/>
                    <w:rPr>
                      <w:rFonts w:hint="default"/>
                      <w:sz w:val="21"/>
                      <w:szCs w:val="21"/>
                      <w:lang w:val="en-US" w:eastAsia="zh-CN"/>
                    </w:rPr>
                  </w:pPr>
                  <w:r>
                    <w:rPr>
                      <w:rFonts w:hint="eastAsia"/>
                      <w:sz w:val="21"/>
                      <w:szCs w:val="21"/>
                      <w:lang w:val="en-US" w:eastAsia="zh-CN"/>
                    </w:rPr>
                    <w:t>5</w:t>
                  </w:r>
                </w:p>
              </w:tc>
              <w:tc>
                <w:tcPr>
                  <w:tcW w:w="746" w:type="dxa"/>
                  <w:tcBorders>
                    <w:tl2br w:val="nil"/>
                    <w:tr2bl w:val="nil"/>
                  </w:tcBorders>
                  <w:vAlign w:val="center"/>
                </w:tcPr>
                <w:p w14:paraId="13E68C2E">
                  <w:pPr>
                    <w:jc w:val="center"/>
                    <w:rPr>
                      <w:rFonts w:hint="default"/>
                      <w:sz w:val="21"/>
                      <w:szCs w:val="21"/>
                      <w:lang w:val="en-US" w:eastAsia="zh-CN"/>
                    </w:rPr>
                  </w:pPr>
                  <w:r>
                    <w:rPr>
                      <w:rFonts w:hint="eastAsia"/>
                      <w:sz w:val="21"/>
                      <w:szCs w:val="21"/>
                      <w:lang w:val="en-US" w:eastAsia="zh-CN"/>
                    </w:rPr>
                    <w:t>达标</w:t>
                  </w:r>
                </w:p>
              </w:tc>
            </w:tr>
            <w:tr w14:paraId="7D4631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18ACB836">
                  <w:pPr>
                    <w:jc w:val="center"/>
                    <w:rPr>
                      <w:rFonts w:hint="default"/>
                      <w:sz w:val="21"/>
                      <w:szCs w:val="21"/>
                      <w:lang w:val="en-US" w:eastAsia="zh-CN"/>
                    </w:rPr>
                  </w:pPr>
                  <w:r>
                    <w:rPr>
                      <w:rFonts w:hint="eastAsia"/>
                      <w:sz w:val="21"/>
                      <w:szCs w:val="21"/>
                      <w:lang w:val="en-US" w:eastAsia="zh-CN"/>
                    </w:rPr>
                    <w:t>铬</w:t>
                  </w:r>
                </w:p>
              </w:tc>
              <w:tc>
                <w:tcPr>
                  <w:tcW w:w="775" w:type="dxa"/>
                  <w:tcBorders>
                    <w:tl2br w:val="nil"/>
                    <w:tr2bl w:val="nil"/>
                  </w:tcBorders>
                  <w:vAlign w:val="center"/>
                </w:tcPr>
                <w:p w14:paraId="101F1350">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5F310E42">
                  <w:pPr>
                    <w:jc w:val="center"/>
                    <w:rPr>
                      <w:rFonts w:hint="default"/>
                      <w:sz w:val="21"/>
                      <w:szCs w:val="21"/>
                      <w:lang w:val="en-US" w:eastAsia="zh-CN"/>
                    </w:rPr>
                  </w:pPr>
                  <w:r>
                    <w:rPr>
                      <w:rFonts w:hint="eastAsia"/>
                      <w:sz w:val="21"/>
                      <w:szCs w:val="21"/>
                      <w:lang w:val="en-US" w:eastAsia="zh-CN"/>
                    </w:rPr>
                    <w:t>未检出</w:t>
                  </w:r>
                </w:p>
              </w:tc>
              <w:tc>
                <w:tcPr>
                  <w:tcW w:w="2093" w:type="dxa"/>
                  <w:tcBorders>
                    <w:tl2br w:val="nil"/>
                    <w:tr2bl w:val="nil"/>
                  </w:tcBorders>
                  <w:vAlign w:val="center"/>
                </w:tcPr>
                <w:p w14:paraId="4048FE4A">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0A251034">
                  <w:pPr>
                    <w:jc w:val="center"/>
                    <w:rPr>
                      <w:rFonts w:hint="default"/>
                      <w:sz w:val="21"/>
                      <w:szCs w:val="21"/>
                      <w:lang w:val="en-US" w:eastAsia="zh-CN"/>
                    </w:rPr>
                  </w:pPr>
                  <w:r>
                    <w:rPr>
                      <w:rFonts w:hint="eastAsia"/>
                      <w:sz w:val="21"/>
                      <w:szCs w:val="21"/>
                      <w:lang w:val="en-US" w:eastAsia="zh-CN"/>
                    </w:rPr>
                    <w:t>1.5</w:t>
                  </w:r>
                </w:p>
              </w:tc>
              <w:tc>
                <w:tcPr>
                  <w:tcW w:w="746" w:type="dxa"/>
                  <w:tcBorders>
                    <w:tl2br w:val="nil"/>
                    <w:tr2bl w:val="nil"/>
                  </w:tcBorders>
                  <w:vAlign w:val="center"/>
                </w:tcPr>
                <w:p w14:paraId="4E341A38">
                  <w:pPr>
                    <w:jc w:val="center"/>
                    <w:rPr>
                      <w:rFonts w:hint="default"/>
                      <w:sz w:val="21"/>
                      <w:szCs w:val="21"/>
                      <w:lang w:val="en-US" w:eastAsia="zh-CN"/>
                    </w:rPr>
                  </w:pPr>
                  <w:r>
                    <w:rPr>
                      <w:rFonts w:hint="eastAsia"/>
                      <w:sz w:val="21"/>
                      <w:szCs w:val="21"/>
                      <w:lang w:val="en-US" w:eastAsia="zh-CN"/>
                    </w:rPr>
                    <w:t>达标</w:t>
                  </w:r>
                </w:p>
              </w:tc>
            </w:tr>
            <w:tr w14:paraId="5D1007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10A1BB5D">
                  <w:pPr>
                    <w:jc w:val="center"/>
                    <w:rPr>
                      <w:rFonts w:hint="default"/>
                      <w:sz w:val="21"/>
                      <w:szCs w:val="21"/>
                      <w:lang w:val="en-US" w:eastAsia="zh-CN"/>
                    </w:rPr>
                  </w:pPr>
                  <w:r>
                    <w:rPr>
                      <w:rFonts w:hint="eastAsia"/>
                      <w:sz w:val="21"/>
                      <w:szCs w:val="21"/>
                      <w:lang w:val="en-US" w:eastAsia="zh-CN"/>
                    </w:rPr>
                    <w:t>汞</w:t>
                  </w:r>
                </w:p>
              </w:tc>
              <w:tc>
                <w:tcPr>
                  <w:tcW w:w="775" w:type="dxa"/>
                  <w:tcBorders>
                    <w:tl2br w:val="nil"/>
                    <w:tr2bl w:val="nil"/>
                  </w:tcBorders>
                  <w:vAlign w:val="center"/>
                </w:tcPr>
                <w:p w14:paraId="6FB5274E">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7FCD225D">
                  <w:pPr>
                    <w:jc w:val="center"/>
                    <w:rPr>
                      <w:rFonts w:hint="default"/>
                      <w:sz w:val="21"/>
                      <w:szCs w:val="21"/>
                      <w:lang w:val="en-US" w:eastAsia="zh-CN"/>
                    </w:rPr>
                  </w:pPr>
                  <w:r>
                    <w:rPr>
                      <w:rFonts w:hint="eastAsia"/>
                      <w:sz w:val="21"/>
                      <w:szCs w:val="21"/>
                      <w:lang w:val="en-US" w:eastAsia="zh-CN"/>
                    </w:rPr>
                    <w:t>1</w:t>
                  </w:r>
                  <w:r>
                    <w:rPr>
                      <w:rFonts w:hint="default" w:ascii="Arial" w:hAnsi="Arial" w:cs="Arial"/>
                      <w:sz w:val="21"/>
                      <w:szCs w:val="21"/>
                      <w:lang w:val="en-US" w:eastAsia="zh-CN"/>
                    </w:rPr>
                    <w:t>×</w:t>
                  </w:r>
                  <w:r>
                    <w:rPr>
                      <w:rFonts w:hint="eastAsia"/>
                      <w:sz w:val="21"/>
                      <w:szCs w:val="21"/>
                      <w:lang w:val="en-US" w:eastAsia="zh-CN"/>
                    </w:rPr>
                    <w:t>10</w:t>
                  </w:r>
                  <w:r>
                    <w:rPr>
                      <w:rFonts w:hint="eastAsia"/>
                      <w:sz w:val="21"/>
                      <w:szCs w:val="21"/>
                      <w:vertAlign w:val="superscript"/>
                      <w:lang w:val="en-US" w:eastAsia="zh-CN"/>
                    </w:rPr>
                    <w:t>-4</w:t>
                  </w:r>
                </w:p>
              </w:tc>
              <w:tc>
                <w:tcPr>
                  <w:tcW w:w="2093" w:type="dxa"/>
                  <w:tcBorders>
                    <w:tl2br w:val="nil"/>
                    <w:tr2bl w:val="nil"/>
                  </w:tcBorders>
                  <w:vAlign w:val="center"/>
                </w:tcPr>
                <w:p w14:paraId="0F0D71A3">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009261C3">
                  <w:pPr>
                    <w:jc w:val="center"/>
                    <w:rPr>
                      <w:rFonts w:hint="default"/>
                      <w:sz w:val="21"/>
                      <w:szCs w:val="21"/>
                      <w:lang w:val="en-US" w:eastAsia="zh-CN"/>
                    </w:rPr>
                  </w:pPr>
                  <w:r>
                    <w:rPr>
                      <w:rFonts w:hint="eastAsia"/>
                      <w:sz w:val="21"/>
                      <w:szCs w:val="21"/>
                      <w:lang w:val="en-US" w:eastAsia="zh-CN"/>
                    </w:rPr>
                    <w:t>0.05</w:t>
                  </w:r>
                </w:p>
              </w:tc>
              <w:tc>
                <w:tcPr>
                  <w:tcW w:w="746" w:type="dxa"/>
                  <w:tcBorders>
                    <w:tl2br w:val="nil"/>
                    <w:tr2bl w:val="nil"/>
                  </w:tcBorders>
                  <w:vAlign w:val="center"/>
                </w:tcPr>
                <w:p w14:paraId="5FB1AB9E">
                  <w:pPr>
                    <w:jc w:val="center"/>
                    <w:rPr>
                      <w:rFonts w:hint="default"/>
                      <w:sz w:val="21"/>
                      <w:szCs w:val="21"/>
                      <w:lang w:val="en-US" w:eastAsia="zh-CN"/>
                    </w:rPr>
                  </w:pPr>
                  <w:r>
                    <w:rPr>
                      <w:rFonts w:hint="eastAsia"/>
                      <w:sz w:val="21"/>
                      <w:szCs w:val="21"/>
                      <w:lang w:val="en-US" w:eastAsia="zh-CN"/>
                    </w:rPr>
                    <w:t>达标</w:t>
                  </w:r>
                </w:p>
              </w:tc>
            </w:tr>
            <w:tr w14:paraId="52AA57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4E041901">
                  <w:pPr>
                    <w:jc w:val="center"/>
                    <w:rPr>
                      <w:rFonts w:hint="default"/>
                      <w:sz w:val="21"/>
                      <w:szCs w:val="21"/>
                      <w:lang w:val="en-US" w:eastAsia="zh-CN"/>
                    </w:rPr>
                  </w:pPr>
                  <w:r>
                    <w:rPr>
                      <w:rFonts w:hint="eastAsia"/>
                      <w:sz w:val="21"/>
                      <w:szCs w:val="21"/>
                      <w:lang w:val="en-US" w:eastAsia="zh-CN"/>
                    </w:rPr>
                    <w:t>镍</w:t>
                  </w:r>
                </w:p>
              </w:tc>
              <w:tc>
                <w:tcPr>
                  <w:tcW w:w="775" w:type="dxa"/>
                  <w:tcBorders>
                    <w:tl2br w:val="nil"/>
                    <w:tr2bl w:val="nil"/>
                  </w:tcBorders>
                  <w:vAlign w:val="center"/>
                </w:tcPr>
                <w:p w14:paraId="2D55B960">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41F24C3B">
                  <w:pPr>
                    <w:jc w:val="center"/>
                    <w:rPr>
                      <w:rFonts w:hint="default"/>
                      <w:sz w:val="21"/>
                      <w:szCs w:val="21"/>
                      <w:lang w:val="en-US" w:eastAsia="zh-CN"/>
                    </w:rPr>
                  </w:pPr>
                  <w:r>
                    <w:rPr>
                      <w:rFonts w:hint="eastAsia"/>
                      <w:sz w:val="21"/>
                      <w:szCs w:val="21"/>
                      <w:lang w:val="en-US" w:eastAsia="zh-CN"/>
                    </w:rPr>
                    <w:t>0.073-0.078</w:t>
                  </w:r>
                </w:p>
              </w:tc>
              <w:tc>
                <w:tcPr>
                  <w:tcW w:w="2093" w:type="dxa"/>
                  <w:tcBorders>
                    <w:tl2br w:val="nil"/>
                    <w:tr2bl w:val="nil"/>
                  </w:tcBorders>
                  <w:vAlign w:val="center"/>
                </w:tcPr>
                <w:p w14:paraId="5EB64720">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187FE8DB">
                  <w:pPr>
                    <w:jc w:val="center"/>
                    <w:rPr>
                      <w:rFonts w:hint="default"/>
                      <w:sz w:val="21"/>
                      <w:szCs w:val="21"/>
                      <w:lang w:val="en-US" w:eastAsia="zh-CN"/>
                    </w:rPr>
                  </w:pPr>
                  <w:r>
                    <w:rPr>
                      <w:rFonts w:hint="eastAsia"/>
                      <w:sz w:val="21"/>
                      <w:szCs w:val="21"/>
                      <w:lang w:val="en-US" w:eastAsia="zh-CN"/>
                    </w:rPr>
                    <w:t>1.0</w:t>
                  </w:r>
                </w:p>
              </w:tc>
              <w:tc>
                <w:tcPr>
                  <w:tcW w:w="746" w:type="dxa"/>
                  <w:tcBorders>
                    <w:tl2br w:val="nil"/>
                    <w:tr2bl w:val="nil"/>
                  </w:tcBorders>
                  <w:vAlign w:val="center"/>
                </w:tcPr>
                <w:p w14:paraId="265A18E6">
                  <w:pPr>
                    <w:jc w:val="center"/>
                    <w:rPr>
                      <w:rFonts w:hint="default"/>
                      <w:sz w:val="21"/>
                      <w:szCs w:val="21"/>
                      <w:lang w:val="en-US" w:eastAsia="zh-CN"/>
                    </w:rPr>
                  </w:pPr>
                  <w:r>
                    <w:rPr>
                      <w:rFonts w:hint="eastAsia"/>
                      <w:sz w:val="21"/>
                      <w:szCs w:val="21"/>
                      <w:lang w:val="en-US" w:eastAsia="zh-CN"/>
                    </w:rPr>
                    <w:t>达标</w:t>
                  </w:r>
                </w:p>
              </w:tc>
            </w:tr>
            <w:tr w14:paraId="5F5633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1643" w:type="dxa"/>
                  <w:tcBorders>
                    <w:tl2br w:val="nil"/>
                    <w:tr2bl w:val="nil"/>
                  </w:tcBorders>
                  <w:vAlign w:val="center"/>
                </w:tcPr>
                <w:p w14:paraId="6BCB789E">
                  <w:pPr>
                    <w:jc w:val="center"/>
                    <w:rPr>
                      <w:rFonts w:hint="default"/>
                      <w:sz w:val="21"/>
                      <w:szCs w:val="21"/>
                      <w:lang w:val="en-US" w:eastAsia="zh-CN"/>
                    </w:rPr>
                  </w:pPr>
                  <w:r>
                    <w:rPr>
                      <w:rFonts w:hint="eastAsia"/>
                      <w:sz w:val="21"/>
                      <w:szCs w:val="21"/>
                      <w:lang w:val="en-US" w:eastAsia="zh-CN"/>
                    </w:rPr>
                    <w:t>钼</w:t>
                  </w:r>
                </w:p>
              </w:tc>
              <w:tc>
                <w:tcPr>
                  <w:tcW w:w="775" w:type="dxa"/>
                  <w:tcBorders>
                    <w:tl2br w:val="nil"/>
                    <w:tr2bl w:val="nil"/>
                  </w:tcBorders>
                  <w:vAlign w:val="center"/>
                </w:tcPr>
                <w:p w14:paraId="1ABF422A">
                  <w:pPr>
                    <w:jc w:val="center"/>
                    <w:rPr>
                      <w:rFonts w:hint="default"/>
                      <w:sz w:val="21"/>
                      <w:szCs w:val="21"/>
                      <w:lang w:val="en-US" w:eastAsia="zh-CN"/>
                    </w:rPr>
                  </w:pPr>
                  <w:r>
                    <w:rPr>
                      <w:rFonts w:hint="eastAsia"/>
                      <w:sz w:val="21"/>
                      <w:szCs w:val="21"/>
                      <w:lang w:val="en-US" w:eastAsia="zh-CN"/>
                    </w:rPr>
                    <w:t>mg/L</w:t>
                  </w:r>
                </w:p>
              </w:tc>
              <w:tc>
                <w:tcPr>
                  <w:tcW w:w="1295" w:type="dxa"/>
                  <w:tcBorders>
                    <w:tl2br w:val="nil"/>
                    <w:tr2bl w:val="nil"/>
                  </w:tcBorders>
                  <w:vAlign w:val="center"/>
                </w:tcPr>
                <w:p w14:paraId="0F78CF75">
                  <w:pPr>
                    <w:jc w:val="center"/>
                    <w:rPr>
                      <w:rFonts w:hint="default"/>
                      <w:sz w:val="21"/>
                      <w:szCs w:val="21"/>
                      <w:lang w:val="en-US" w:eastAsia="zh-CN"/>
                    </w:rPr>
                  </w:pPr>
                  <w:r>
                    <w:rPr>
                      <w:rFonts w:hint="eastAsia"/>
                      <w:sz w:val="21"/>
                      <w:szCs w:val="21"/>
                      <w:lang w:val="en-US" w:eastAsia="zh-CN"/>
                    </w:rPr>
                    <w:t>0.52-0.57</w:t>
                  </w:r>
                </w:p>
              </w:tc>
              <w:tc>
                <w:tcPr>
                  <w:tcW w:w="2093" w:type="dxa"/>
                  <w:tcBorders>
                    <w:tl2br w:val="nil"/>
                    <w:tr2bl w:val="nil"/>
                  </w:tcBorders>
                  <w:vAlign w:val="center"/>
                </w:tcPr>
                <w:p w14:paraId="1C3B3C85">
                  <w:pPr>
                    <w:jc w:val="center"/>
                    <w:rPr>
                      <w:rFonts w:hint="default"/>
                      <w:sz w:val="21"/>
                      <w:szCs w:val="21"/>
                      <w:lang w:val="en-US" w:eastAsia="zh-CN"/>
                    </w:rPr>
                  </w:pPr>
                  <w:r>
                    <w:rPr>
                      <w:rFonts w:hint="eastAsia"/>
                      <w:sz w:val="21"/>
                      <w:szCs w:val="21"/>
                      <w:lang w:val="en-US" w:eastAsia="zh-CN"/>
                    </w:rPr>
                    <w:t>/</w:t>
                  </w:r>
                </w:p>
              </w:tc>
              <w:tc>
                <w:tcPr>
                  <w:tcW w:w="1803" w:type="dxa"/>
                  <w:tcBorders>
                    <w:tl2br w:val="nil"/>
                    <w:tr2bl w:val="nil"/>
                  </w:tcBorders>
                  <w:vAlign w:val="center"/>
                </w:tcPr>
                <w:p w14:paraId="1AA1B713">
                  <w:pPr>
                    <w:jc w:val="center"/>
                    <w:rPr>
                      <w:rFonts w:hint="default"/>
                      <w:sz w:val="21"/>
                      <w:szCs w:val="21"/>
                      <w:lang w:val="en-US" w:eastAsia="zh-CN"/>
                    </w:rPr>
                  </w:pPr>
                  <w:r>
                    <w:rPr>
                      <w:rFonts w:hint="eastAsia"/>
                      <w:sz w:val="21"/>
                      <w:szCs w:val="21"/>
                      <w:lang w:val="en-US" w:eastAsia="zh-CN"/>
                    </w:rPr>
                    <w:t>/</w:t>
                  </w:r>
                </w:p>
              </w:tc>
              <w:tc>
                <w:tcPr>
                  <w:tcW w:w="746" w:type="dxa"/>
                  <w:tcBorders>
                    <w:tl2br w:val="nil"/>
                    <w:tr2bl w:val="nil"/>
                  </w:tcBorders>
                  <w:vAlign w:val="center"/>
                </w:tcPr>
                <w:p w14:paraId="4A2BD9AC">
                  <w:pPr>
                    <w:jc w:val="center"/>
                    <w:rPr>
                      <w:rFonts w:hint="default"/>
                      <w:sz w:val="21"/>
                      <w:szCs w:val="21"/>
                      <w:lang w:val="en-US" w:eastAsia="zh-CN"/>
                    </w:rPr>
                  </w:pPr>
                  <w:r>
                    <w:rPr>
                      <w:rFonts w:hint="eastAsia"/>
                      <w:sz w:val="21"/>
                      <w:szCs w:val="21"/>
                      <w:lang w:val="en-US" w:eastAsia="zh-CN"/>
                    </w:rPr>
                    <w:t>/</w:t>
                  </w:r>
                </w:p>
              </w:tc>
            </w:tr>
          </w:tbl>
          <w:p w14:paraId="0C3578B2">
            <w:pPr>
              <w:pStyle w:val="63"/>
              <w:spacing w:line="360" w:lineRule="auto"/>
              <w:ind w:left="0" w:leftChars="0" w:firstLine="0" w:firstLineChars="0"/>
              <w:rPr>
                <w:rFonts w:hint="eastAsia" w:hAnsi="宋体"/>
                <w:bCs/>
                <w:sz w:val="24"/>
                <w:lang w:val="en-US" w:eastAsia="zh-CN"/>
              </w:rPr>
            </w:pPr>
            <w:r>
              <w:rPr>
                <w:rFonts w:hint="eastAsia"/>
                <w:sz w:val="24"/>
                <w:lang w:val="en-US" w:eastAsia="zh-CN"/>
              </w:rPr>
              <w:t xml:space="preserve">    </w:t>
            </w:r>
            <w:r>
              <w:rPr>
                <w:rFonts w:hint="eastAsia" w:hAnsi="宋体"/>
                <w:bCs/>
                <w:sz w:val="24"/>
                <w:lang w:val="en-US" w:eastAsia="zh-CN"/>
              </w:rPr>
              <w:t>由上可知，项目生产废水经溢流水池、矿井水收集系统收集，最终回用于选</w:t>
            </w:r>
          </w:p>
          <w:p w14:paraId="4F7A6802">
            <w:pPr>
              <w:numPr>
                <w:ilvl w:val="0"/>
                <w:numId w:val="0"/>
              </w:numPr>
              <w:bidi w:val="0"/>
              <w:spacing w:line="360" w:lineRule="auto"/>
              <w:rPr>
                <w:rFonts w:hint="default" w:hAnsi="宋体"/>
                <w:bCs/>
                <w:sz w:val="24"/>
                <w:lang w:val="en-US" w:eastAsia="zh-CN"/>
              </w:rPr>
            </w:pPr>
            <w:r>
              <w:rPr>
                <w:rFonts w:hint="eastAsia" w:hAnsi="宋体"/>
                <w:bCs/>
                <w:sz w:val="24"/>
                <w:lang w:val="en-US" w:eastAsia="zh-CN"/>
              </w:rPr>
              <w:t>矿使用，废水各监测因子均能满足《城市污水再生利用工业用水水质》（GB/T19923-2024）工艺用水和《污水综合排放标准》（GB8978-1996）一级标准限制要求，</w:t>
            </w:r>
            <w:r>
              <w:rPr>
                <w:rFonts w:hint="eastAsia" w:cs="Times New Roman"/>
                <w:spacing w:val="0"/>
                <w:w w:val="100"/>
                <w:kern w:val="0"/>
                <w:sz w:val="24"/>
                <w:szCs w:val="24"/>
                <w:lang w:val="en-US" w:eastAsia="zh-CN" w:bidi="ar-SA"/>
              </w:rPr>
              <w:t>同时可</w:t>
            </w:r>
            <w:r>
              <w:rPr>
                <w:rFonts w:hint="default" w:ascii="Times New Roman" w:hAnsi="Times New Roman" w:eastAsia="宋体" w:cs="Times New Roman"/>
                <w:spacing w:val="0"/>
                <w:w w:val="100"/>
                <w:kern w:val="0"/>
                <w:sz w:val="24"/>
                <w:szCs w:val="24"/>
                <w:lang w:val="en-US" w:eastAsia="zh-CN" w:bidi="ar-SA"/>
              </w:rPr>
              <w:t>达到</w:t>
            </w:r>
            <w:r>
              <w:rPr>
                <w:rFonts w:hint="eastAsia" w:ascii="Times New Roman" w:hAnsi="Times New Roman" w:eastAsia="宋体" w:cs="Times New Roman"/>
                <w:spacing w:val="0"/>
                <w:w w:val="100"/>
                <w:kern w:val="0"/>
                <w:sz w:val="24"/>
                <w:szCs w:val="24"/>
                <w:lang w:val="en-US" w:eastAsia="zh-CN" w:bidi="ar-SA"/>
              </w:rPr>
              <w:t>惠顿</w:t>
            </w:r>
            <w:r>
              <w:rPr>
                <w:rFonts w:hint="default" w:ascii="Times New Roman" w:hAnsi="Times New Roman" w:eastAsia="宋体" w:cs="Times New Roman"/>
                <w:spacing w:val="0"/>
                <w:w w:val="100"/>
                <w:kern w:val="0"/>
                <w:sz w:val="24"/>
                <w:szCs w:val="24"/>
                <w:lang w:val="en-US" w:eastAsia="zh-CN" w:bidi="ar-SA"/>
              </w:rPr>
              <w:t>选矿厂选矿工艺</w:t>
            </w:r>
            <w:r>
              <w:rPr>
                <w:rFonts w:hint="eastAsia" w:cs="Times New Roman"/>
                <w:spacing w:val="0"/>
                <w:w w:val="100"/>
                <w:kern w:val="0"/>
                <w:sz w:val="24"/>
                <w:szCs w:val="24"/>
                <w:lang w:val="en-US" w:eastAsia="zh-CN" w:bidi="ar-SA"/>
              </w:rPr>
              <w:t>回用水水质</w:t>
            </w:r>
            <w:r>
              <w:rPr>
                <w:rFonts w:hint="default" w:ascii="Times New Roman" w:hAnsi="Times New Roman" w:eastAsia="宋体" w:cs="Times New Roman"/>
                <w:spacing w:val="0"/>
                <w:w w:val="100"/>
                <w:kern w:val="0"/>
                <w:sz w:val="24"/>
                <w:szCs w:val="24"/>
                <w:lang w:val="en-US" w:eastAsia="zh-CN" w:bidi="ar-SA"/>
              </w:rPr>
              <w:t>要求</w:t>
            </w:r>
            <w:r>
              <w:rPr>
                <w:rFonts w:hint="eastAsia" w:ascii="Times New Roman" w:hAnsi="Times New Roman" w:eastAsia="宋体" w:cs="Times New Roman"/>
                <w:spacing w:val="0"/>
                <w:w w:val="100"/>
                <w:kern w:val="0"/>
                <w:sz w:val="24"/>
                <w:szCs w:val="24"/>
                <w:lang w:val="en-US" w:eastAsia="zh-CN" w:bidi="ar-SA"/>
              </w:rPr>
              <w:t>。</w:t>
            </w:r>
          </w:p>
          <w:p w14:paraId="39DD4FFA">
            <w:pPr>
              <w:numPr>
                <w:ilvl w:val="0"/>
                <w:numId w:val="0"/>
              </w:numPr>
              <w:bidi w:val="0"/>
              <w:spacing w:line="360" w:lineRule="auto"/>
              <w:ind w:firstLine="480" w:firstLineChars="200"/>
              <w:rPr>
                <w:rFonts w:hint="eastAsia" w:hAnsi="宋体"/>
                <w:bCs/>
                <w:sz w:val="24"/>
                <w:lang w:val="en-US" w:eastAsia="zh-CN"/>
              </w:rPr>
            </w:pPr>
            <w:r>
              <w:rPr>
                <w:rFonts w:hint="eastAsia" w:hAnsi="宋体"/>
                <w:bCs/>
                <w:sz w:val="24"/>
                <w:lang w:val="en-US" w:eastAsia="zh-CN"/>
              </w:rPr>
              <w:t>综上，本项目废水均综合利用，不外排，对环境影响较小。</w:t>
            </w:r>
          </w:p>
          <w:p w14:paraId="1ABAA0F3">
            <w:pPr>
              <w:pStyle w:val="20"/>
              <w:numPr>
                <w:ilvl w:val="0"/>
                <w:numId w:val="0"/>
              </w:numPr>
              <w:spacing w:line="360" w:lineRule="auto"/>
              <w:ind w:leftChars="0"/>
              <w:contextualSpacing/>
              <w:rPr>
                <w:b/>
                <w:spacing w:val="-10"/>
                <w:sz w:val="24"/>
              </w:rPr>
            </w:pPr>
            <w:r>
              <w:rPr>
                <w:b/>
                <w:spacing w:val="-10"/>
                <w:sz w:val="24"/>
              </w:rPr>
              <w:t>3</w:t>
            </w:r>
            <w:r>
              <w:rPr>
                <w:rFonts w:hint="eastAsia"/>
                <w:b/>
                <w:spacing w:val="-10"/>
                <w:sz w:val="24"/>
                <w:lang w:eastAsia="zh-CN"/>
              </w:rPr>
              <w:t>、</w:t>
            </w:r>
            <w:r>
              <w:rPr>
                <w:b/>
                <w:spacing w:val="-10"/>
                <w:sz w:val="24"/>
              </w:rPr>
              <w:t>噪声</w:t>
            </w:r>
          </w:p>
          <w:p w14:paraId="2AF48A63">
            <w:pPr>
              <w:pStyle w:val="20"/>
              <w:numPr>
                <w:ilvl w:val="0"/>
                <w:numId w:val="0"/>
              </w:numPr>
              <w:spacing w:line="360" w:lineRule="auto"/>
              <w:ind w:leftChars="0"/>
              <w:contextualSpacing/>
              <w:rPr>
                <w:b/>
                <w:bCs/>
                <w:spacing w:val="-10"/>
                <w:sz w:val="24"/>
              </w:rPr>
            </w:pPr>
            <w:r>
              <w:rPr>
                <w:b/>
                <w:bCs/>
                <w:spacing w:val="-10"/>
                <w:sz w:val="24"/>
              </w:rPr>
              <w:t>3.1</w:t>
            </w:r>
            <w:r>
              <w:rPr>
                <w:rFonts w:hint="eastAsia"/>
                <w:b/>
                <w:bCs/>
                <w:kern w:val="0"/>
                <w:sz w:val="24"/>
              </w:rPr>
              <w:t>噪声源强及污染防治措施</w:t>
            </w:r>
          </w:p>
          <w:p w14:paraId="5D5E7351">
            <w:pPr>
              <w:spacing w:line="360" w:lineRule="auto"/>
              <w:ind w:firstLine="480" w:firstLineChars="200"/>
              <w:contextualSpacing/>
              <w:rPr>
                <w:rFonts w:hint="eastAsia"/>
                <w:kern w:val="0"/>
                <w:lang w:eastAsia="zh-CN"/>
              </w:rPr>
            </w:pPr>
            <w:r>
              <w:rPr>
                <w:rFonts w:hint="eastAsia"/>
                <w:kern w:val="0"/>
                <w:sz w:val="24"/>
                <w:lang w:val="en-US" w:eastAsia="zh-CN"/>
              </w:rPr>
              <w:t>本项目噪声源主要为浓密机、搅拌机、填充泵等设备在运行过程中产生的机械噪声，通过距离衰减及厂房隔声等措施进行控制</w:t>
            </w:r>
            <w:r>
              <w:rPr>
                <w:kern w:val="0"/>
                <w:sz w:val="24"/>
              </w:rPr>
              <w:t>。</w:t>
            </w:r>
            <w:r>
              <w:rPr>
                <w:sz w:val="24"/>
              </w:rPr>
              <w:t>根据同类型企业的类比调查，</w:t>
            </w:r>
            <w:r>
              <w:rPr>
                <w:rFonts w:hint="eastAsia"/>
                <w:bCs/>
                <w:sz w:val="24"/>
              </w:rPr>
              <w:t>主要设备</w:t>
            </w:r>
            <w:r>
              <w:rPr>
                <w:bCs/>
                <w:sz w:val="24"/>
              </w:rPr>
              <w:t>噪声源强见</w:t>
            </w:r>
            <w:r>
              <w:rPr>
                <w:rFonts w:hint="eastAsia"/>
                <w:bCs/>
                <w:sz w:val="24"/>
              </w:rPr>
              <w:t>下</w:t>
            </w:r>
            <w:r>
              <w:rPr>
                <w:bCs/>
                <w:sz w:val="24"/>
              </w:rPr>
              <w:t>表</w:t>
            </w:r>
            <w:r>
              <w:rPr>
                <w:bCs/>
                <w:spacing w:val="-10"/>
                <w:sz w:val="24"/>
              </w:rPr>
              <w:t>。</w:t>
            </w:r>
          </w:p>
          <w:p w14:paraId="36B1E454">
            <w:pPr>
              <w:pStyle w:val="119"/>
              <w:numPr>
                <w:ilvl w:val="0"/>
                <w:numId w:val="0"/>
              </w:numPr>
              <w:jc w:val="center"/>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表4-</w:t>
            </w:r>
            <w:r>
              <w:rPr>
                <w:rFonts w:hint="eastAsia" w:cs="Times New Roman"/>
                <w:kern w:val="0"/>
                <w:lang w:val="en-US" w:eastAsia="zh-CN"/>
              </w:rPr>
              <w:t>9</w:t>
            </w:r>
            <w:r>
              <w:rPr>
                <w:rFonts w:hint="default" w:ascii="Times New Roman" w:hAnsi="Times New Roman" w:cs="Times New Roman"/>
                <w:kern w:val="0"/>
                <w:lang w:val="en-US" w:eastAsia="zh-CN"/>
              </w:rPr>
              <w:t xml:space="preserve">   本项目主要噪声源强调查清单（室外声源）</w:t>
            </w:r>
          </w:p>
          <w:p w14:paraId="66D8902E">
            <w:pPr>
              <w:spacing w:line="21" w:lineRule="exact"/>
              <w:rPr>
                <w:rFonts w:hint="default" w:ascii="Times New Roman" w:hAnsi="Times New Roman" w:cs="Times New Roman"/>
              </w:rPr>
            </w:pPr>
          </w:p>
          <w:tbl>
            <w:tblPr>
              <w:tblStyle w:val="134"/>
              <w:tblW w:w="7969"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399"/>
              <w:gridCol w:w="1203"/>
              <w:gridCol w:w="748"/>
              <w:gridCol w:w="700"/>
              <w:gridCol w:w="662"/>
              <w:gridCol w:w="1110"/>
              <w:gridCol w:w="1844"/>
              <w:gridCol w:w="1303"/>
            </w:tblGrid>
            <w:tr w14:paraId="1735C4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399" w:type="dxa"/>
                  <w:vMerge w:val="restart"/>
                  <w:tcBorders>
                    <w:tl2br w:val="nil"/>
                    <w:tr2bl w:val="nil"/>
                  </w:tcBorders>
                  <w:vAlign w:val="center"/>
                </w:tcPr>
                <w:p w14:paraId="5A6637E8">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1203" w:type="dxa"/>
                  <w:vMerge w:val="restart"/>
                  <w:tcBorders>
                    <w:tl2br w:val="nil"/>
                    <w:tr2bl w:val="nil"/>
                  </w:tcBorders>
                  <w:vAlign w:val="center"/>
                </w:tcPr>
                <w:p w14:paraId="4EA14E88">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声源名称</w:t>
                  </w:r>
                </w:p>
              </w:tc>
              <w:tc>
                <w:tcPr>
                  <w:tcW w:w="2110" w:type="dxa"/>
                  <w:gridSpan w:val="3"/>
                  <w:tcBorders>
                    <w:tl2br w:val="nil"/>
                    <w:tr2bl w:val="nil"/>
                  </w:tcBorders>
                  <w:vAlign w:val="center"/>
                </w:tcPr>
                <w:p w14:paraId="33D9FF98">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空间相对位置/m</w:t>
                  </w:r>
                </w:p>
              </w:tc>
              <w:tc>
                <w:tcPr>
                  <w:tcW w:w="1110" w:type="dxa"/>
                  <w:tcBorders>
                    <w:tl2br w:val="nil"/>
                    <w:tr2bl w:val="nil"/>
                  </w:tcBorders>
                  <w:vAlign w:val="center"/>
                </w:tcPr>
                <w:p w14:paraId="4535B9BB">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声源源强</w:t>
                  </w:r>
                </w:p>
              </w:tc>
              <w:tc>
                <w:tcPr>
                  <w:tcW w:w="1844" w:type="dxa"/>
                  <w:vMerge w:val="restart"/>
                  <w:tcBorders>
                    <w:tl2br w:val="nil"/>
                    <w:tr2bl w:val="nil"/>
                  </w:tcBorders>
                  <w:vAlign w:val="center"/>
                </w:tcPr>
                <w:p w14:paraId="6FA3BDF7">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声源控制措施</w:t>
                  </w:r>
                </w:p>
              </w:tc>
              <w:tc>
                <w:tcPr>
                  <w:tcW w:w="1303" w:type="dxa"/>
                  <w:vMerge w:val="restart"/>
                  <w:tcBorders>
                    <w:tl2br w:val="nil"/>
                    <w:tr2bl w:val="nil"/>
                  </w:tcBorders>
                  <w:vAlign w:val="center"/>
                </w:tcPr>
                <w:p w14:paraId="3F91E11B">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运行时段</w:t>
                  </w:r>
                </w:p>
              </w:tc>
            </w:tr>
            <w:tr w14:paraId="15B30D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399" w:type="dxa"/>
                  <w:vMerge w:val="continue"/>
                  <w:tcBorders>
                    <w:tl2br w:val="nil"/>
                    <w:tr2bl w:val="nil"/>
                  </w:tcBorders>
                  <w:vAlign w:val="center"/>
                </w:tcPr>
                <w:p w14:paraId="57DD1FBE">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1203" w:type="dxa"/>
                  <w:vMerge w:val="continue"/>
                  <w:tcBorders>
                    <w:tl2br w:val="nil"/>
                    <w:tr2bl w:val="nil"/>
                  </w:tcBorders>
                  <w:vAlign w:val="center"/>
                </w:tcPr>
                <w:p w14:paraId="1A626B97">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748" w:type="dxa"/>
                  <w:tcBorders>
                    <w:tl2br w:val="nil"/>
                    <w:tr2bl w:val="nil"/>
                  </w:tcBorders>
                  <w:vAlign w:val="center"/>
                </w:tcPr>
                <w:p w14:paraId="137E8BF0">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X</w:t>
                  </w:r>
                </w:p>
              </w:tc>
              <w:tc>
                <w:tcPr>
                  <w:tcW w:w="700" w:type="dxa"/>
                  <w:tcBorders>
                    <w:tl2br w:val="nil"/>
                    <w:tr2bl w:val="nil"/>
                  </w:tcBorders>
                  <w:vAlign w:val="center"/>
                </w:tcPr>
                <w:p w14:paraId="3E35EF67">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Y</w:t>
                  </w:r>
                </w:p>
              </w:tc>
              <w:tc>
                <w:tcPr>
                  <w:tcW w:w="662" w:type="dxa"/>
                  <w:tcBorders>
                    <w:tl2br w:val="nil"/>
                    <w:tr2bl w:val="nil"/>
                  </w:tcBorders>
                  <w:vAlign w:val="center"/>
                </w:tcPr>
                <w:p w14:paraId="6BF29D9E">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Z</w:t>
                  </w:r>
                </w:p>
              </w:tc>
              <w:tc>
                <w:tcPr>
                  <w:tcW w:w="1110" w:type="dxa"/>
                  <w:tcBorders>
                    <w:tl2br w:val="nil"/>
                    <w:tr2bl w:val="nil"/>
                  </w:tcBorders>
                  <w:vAlign w:val="center"/>
                </w:tcPr>
                <w:p w14:paraId="0A58C2D2">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声压级/dB(A)</w:t>
                  </w:r>
                </w:p>
              </w:tc>
              <w:tc>
                <w:tcPr>
                  <w:tcW w:w="1844" w:type="dxa"/>
                  <w:vMerge w:val="continue"/>
                  <w:tcBorders>
                    <w:tl2br w:val="nil"/>
                    <w:tr2bl w:val="nil"/>
                  </w:tcBorders>
                  <w:vAlign w:val="center"/>
                </w:tcPr>
                <w:p w14:paraId="7F50D5A9">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1303" w:type="dxa"/>
                  <w:vMerge w:val="continue"/>
                  <w:tcBorders>
                    <w:tl2br w:val="nil"/>
                    <w:tr2bl w:val="nil"/>
                  </w:tcBorders>
                  <w:vAlign w:val="center"/>
                </w:tcPr>
                <w:p w14:paraId="66BB8467">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0B8464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399" w:type="dxa"/>
                  <w:tcBorders>
                    <w:tl2br w:val="nil"/>
                    <w:tr2bl w:val="nil"/>
                  </w:tcBorders>
                  <w:vAlign w:val="center"/>
                </w:tcPr>
                <w:p w14:paraId="3D8AC84E">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203" w:type="dxa"/>
                  <w:tcBorders>
                    <w:tl2br w:val="nil"/>
                    <w:tr2bl w:val="nil"/>
                  </w:tcBorders>
                  <w:vAlign w:val="center"/>
                </w:tcPr>
                <w:p w14:paraId="5C6E6C6B">
                  <w:pPr>
                    <w:pStyle w:val="123"/>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浓密机</w:t>
                  </w:r>
                </w:p>
              </w:tc>
              <w:tc>
                <w:tcPr>
                  <w:tcW w:w="748" w:type="dxa"/>
                  <w:tcBorders>
                    <w:tl2br w:val="nil"/>
                    <w:tr2bl w:val="nil"/>
                  </w:tcBorders>
                  <w:vAlign w:val="center"/>
                </w:tcPr>
                <w:p w14:paraId="0D28422B">
                  <w:pPr>
                    <w:pStyle w:val="123"/>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2.18</w:t>
                  </w:r>
                </w:p>
              </w:tc>
              <w:tc>
                <w:tcPr>
                  <w:tcW w:w="700" w:type="dxa"/>
                  <w:tcBorders>
                    <w:tl2br w:val="nil"/>
                    <w:tr2bl w:val="nil"/>
                  </w:tcBorders>
                  <w:vAlign w:val="center"/>
                </w:tcPr>
                <w:p w14:paraId="789E4BAE">
                  <w:pPr>
                    <w:pStyle w:val="123"/>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14.8</w:t>
                  </w:r>
                </w:p>
              </w:tc>
              <w:tc>
                <w:tcPr>
                  <w:tcW w:w="662" w:type="dxa"/>
                  <w:tcBorders>
                    <w:tl2br w:val="nil"/>
                    <w:tr2bl w:val="nil"/>
                  </w:tcBorders>
                  <w:vAlign w:val="center"/>
                </w:tcPr>
                <w:p w14:paraId="34605910">
                  <w:pPr>
                    <w:pStyle w:val="123"/>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1110" w:type="dxa"/>
                  <w:tcBorders>
                    <w:tl2br w:val="nil"/>
                    <w:tr2bl w:val="nil"/>
                  </w:tcBorders>
                  <w:vAlign w:val="center"/>
                </w:tcPr>
                <w:p w14:paraId="4DCC4414">
                  <w:pPr>
                    <w:pStyle w:val="123"/>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75</w:t>
                  </w:r>
                </w:p>
              </w:tc>
              <w:tc>
                <w:tcPr>
                  <w:tcW w:w="1844" w:type="dxa"/>
                  <w:tcBorders>
                    <w:tl2br w:val="nil"/>
                    <w:tr2bl w:val="nil"/>
                  </w:tcBorders>
                  <w:vAlign w:val="center"/>
                </w:tcPr>
                <w:p w14:paraId="3B3BBA06">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减震垫、消声措施</w:t>
                  </w:r>
                </w:p>
              </w:tc>
              <w:tc>
                <w:tcPr>
                  <w:tcW w:w="1303" w:type="dxa"/>
                  <w:tcBorders>
                    <w:tl2br w:val="nil"/>
                    <w:tr2bl w:val="nil"/>
                  </w:tcBorders>
                  <w:vAlign w:val="center"/>
                </w:tcPr>
                <w:p w14:paraId="7B079B12">
                  <w:pPr>
                    <w:pStyle w:val="123"/>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昼夜</w:t>
                  </w:r>
                </w:p>
              </w:tc>
            </w:tr>
            <w:tr w14:paraId="57A78C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399" w:type="dxa"/>
                  <w:tcBorders>
                    <w:tl2br w:val="nil"/>
                    <w:tr2bl w:val="nil"/>
                  </w:tcBorders>
                  <w:vAlign w:val="center"/>
                </w:tcPr>
                <w:p w14:paraId="7FC4141C">
                  <w:pPr>
                    <w:pStyle w:val="123"/>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1203" w:type="dxa"/>
                  <w:tcBorders>
                    <w:tl2br w:val="nil"/>
                    <w:tr2bl w:val="nil"/>
                  </w:tcBorders>
                  <w:vAlign w:val="center"/>
                </w:tcPr>
                <w:p w14:paraId="3078F4BF">
                  <w:pPr>
                    <w:pStyle w:val="123"/>
                    <w:spacing w:line="240" w:lineRule="auto"/>
                    <w:rPr>
                      <w:rFonts w:hint="default" w:cs="Times New Roman"/>
                      <w:color w:val="000000" w:themeColor="text1"/>
                      <w:sz w:val="21"/>
                      <w:szCs w:val="21"/>
                      <w:lang w:val="en-US" w:eastAsia="zh-CN"/>
                      <w14:textFill>
                        <w14:solidFill>
                          <w14:schemeClr w14:val="tx1"/>
                        </w14:solidFill>
                      </w14:textFill>
                    </w:rPr>
                  </w:pPr>
                  <w:r>
                    <w:rPr>
                      <w:rFonts w:hint="eastAsia"/>
                      <w:lang w:val="en-US" w:eastAsia="zh-CN"/>
                    </w:rPr>
                    <w:t>覆膜袋式除尘器（1#）</w:t>
                  </w:r>
                </w:p>
              </w:tc>
              <w:tc>
                <w:tcPr>
                  <w:tcW w:w="748" w:type="dxa"/>
                  <w:tcBorders>
                    <w:tl2br w:val="nil"/>
                    <w:tr2bl w:val="nil"/>
                  </w:tcBorders>
                  <w:vAlign w:val="center"/>
                </w:tcPr>
                <w:p w14:paraId="5D068300">
                  <w:pPr>
                    <w:pStyle w:val="123"/>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8.78</w:t>
                  </w:r>
                </w:p>
              </w:tc>
              <w:tc>
                <w:tcPr>
                  <w:tcW w:w="700" w:type="dxa"/>
                  <w:tcBorders>
                    <w:tl2br w:val="nil"/>
                    <w:tr2bl w:val="nil"/>
                  </w:tcBorders>
                  <w:vAlign w:val="center"/>
                </w:tcPr>
                <w:p w14:paraId="772FFBAE">
                  <w:pPr>
                    <w:pStyle w:val="123"/>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37.01</w:t>
                  </w:r>
                </w:p>
              </w:tc>
              <w:tc>
                <w:tcPr>
                  <w:tcW w:w="662" w:type="dxa"/>
                  <w:tcBorders>
                    <w:tl2br w:val="nil"/>
                    <w:tr2bl w:val="nil"/>
                  </w:tcBorders>
                  <w:vAlign w:val="center"/>
                </w:tcPr>
                <w:p w14:paraId="399357C5">
                  <w:pPr>
                    <w:pStyle w:val="123"/>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14</w:t>
                  </w:r>
                </w:p>
              </w:tc>
              <w:tc>
                <w:tcPr>
                  <w:tcW w:w="1110" w:type="dxa"/>
                  <w:tcBorders>
                    <w:tl2br w:val="nil"/>
                    <w:tr2bl w:val="nil"/>
                  </w:tcBorders>
                  <w:vAlign w:val="center"/>
                </w:tcPr>
                <w:p w14:paraId="24EFA4F5">
                  <w:pPr>
                    <w:pStyle w:val="123"/>
                    <w:spacing w:line="240" w:lineRule="auto"/>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80</w:t>
                  </w:r>
                </w:p>
              </w:tc>
              <w:tc>
                <w:tcPr>
                  <w:tcW w:w="1844" w:type="dxa"/>
                  <w:tcBorders>
                    <w:tl2br w:val="nil"/>
                    <w:tr2bl w:val="nil"/>
                  </w:tcBorders>
                  <w:vAlign w:val="center"/>
                </w:tcPr>
                <w:p w14:paraId="5BB9E6D5">
                  <w:pPr>
                    <w:pStyle w:val="123"/>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spacing w:val="8"/>
                      <w:sz w:val="21"/>
                      <w:szCs w:val="21"/>
                    </w:rPr>
                    <w:t>减震垫、消声措施</w:t>
                  </w:r>
                </w:p>
              </w:tc>
              <w:tc>
                <w:tcPr>
                  <w:tcW w:w="1303" w:type="dxa"/>
                  <w:tcBorders>
                    <w:tl2br w:val="nil"/>
                    <w:tr2bl w:val="nil"/>
                  </w:tcBorders>
                  <w:vAlign w:val="center"/>
                </w:tcPr>
                <w:p w14:paraId="20321682">
                  <w:pPr>
                    <w:pStyle w:val="123"/>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昼夜</w:t>
                  </w:r>
                </w:p>
              </w:tc>
            </w:tr>
          </w:tbl>
          <w:p w14:paraId="64A57501">
            <w:pPr>
              <w:pStyle w:val="119"/>
              <w:numPr>
                <w:ilvl w:val="0"/>
                <w:numId w:val="0"/>
              </w:numPr>
              <w:jc w:val="both"/>
              <w:rPr>
                <w:rFonts w:hint="eastAsia"/>
                <w:kern w:val="0"/>
                <w:lang w:eastAsia="zh-CN"/>
              </w:rPr>
            </w:pPr>
          </w:p>
          <w:p w14:paraId="21E3FC7C">
            <w:pPr>
              <w:pStyle w:val="119"/>
              <w:numPr>
                <w:ilvl w:val="0"/>
                <w:numId w:val="0"/>
              </w:numPr>
              <w:jc w:val="center"/>
              <w:rPr>
                <w:rFonts w:hint="eastAsia"/>
                <w:kern w:val="0"/>
              </w:rPr>
            </w:pPr>
            <w:r>
              <w:rPr>
                <w:rFonts w:hint="eastAsia"/>
                <w:kern w:val="0"/>
                <w:lang w:eastAsia="zh-CN"/>
              </w:rPr>
              <w:t>表</w:t>
            </w:r>
            <w:r>
              <w:rPr>
                <w:rFonts w:hint="eastAsia"/>
                <w:kern w:val="0"/>
                <w:lang w:val="en-US" w:eastAsia="zh-CN"/>
              </w:rPr>
              <w:t>4-10</w:t>
            </w:r>
            <w:r>
              <w:rPr>
                <w:rFonts w:hint="eastAsia"/>
                <w:kern w:val="0"/>
              </w:rPr>
              <w:t xml:space="preserve">  </w:t>
            </w:r>
            <w:r>
              <w:rPr>
                <w:rFonts w:hint="eastAsia"/>
              </w:rPr>
              <w:t>噪声</w:t>
            </w:r>
            <w:r>
              <w:t>源强调查清单（室内声源）</w:t>
            </w:r>
          </w:p>
          <w:tbl>
            <w:tblPr>
              <w:tblStyle w:val="31"/>
              <w:tblW w:w="83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738"/>
              <w:gridCol w:w="871"/>
              <w:gridCol w:w="577"/>
              <w:gridCol w:w="778"/>
              <w:gridCol w:w="315"/>
              <w:gridCol w:w="423"/>
              <w:gridCol w:w="569"/>
              <w:gridCol w:w="894"/>
              <w:gridCol w:w="511"/>
              <w:gridCol w:w="932"/>
              <w:gridCol w:w="1032"/>
            </w:tblGrid>
            <w:tr w14:paraId="1834A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8" w:type="dxa"/>
                  <w:vMerge w:val="restart"/>
                  <w:tcBorders>
                    <w:tl2br w:val="nil"/>
                    <w:tr2bl w:val="nil"/>
                  </w:tcBorders>
                  <w:noWrap w:val="0"/>
                  <w:tcMar>
                    <w:left w:w="11" w:type="dxa"/>
                    <w:right w:w="11" w:type="dxa"/>
                  </w:tcMar>
                  <w:vAlign w:val="center"/>
                </w:tcPr>
                <w:p w14:paraId="7560E792">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声源名称</w:t>
                  </w:r>
                </w:p>
              </w:tc>
              <w:tc>
                <w:tcPr>
                  <w:tcW w:w="738" w:type="dxa"/>
                  <w:vMerge w:val="restart"/>
                  <w:tcBorders>
                    <w:tl2br w:val="nil"/>
                    <w:tr2bl w:val="nil"/>
                  </w:tcBorders>
                  <w:noWrap w:val="0"/>
                  <w:tcMar>
                    <w:left w:w="11" w:type="dxa"/>
                    <w:right w:w="11" w:type="dxa"/>
                  </w:tcMar>
                  <w:vAlign w:val="center"/>
                </w:tcPr>
                <w:p w14:paraId="362B1189">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声源</w:t>
                  </w:r>
                </w:p>
                <w:p w14:paraId="6F91C494">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源强dB(A)</w:t>
                  </w:r>
                </w:p>
              </w:tc>
              <w:tc>
                <w:tcPr>
                  <w:tcW w:w="871" w:type="dxa"/>
                  <w:vMerge w:val="restart"/>
                  <w:tcBorders>
                    <w:tl2br w:val="nil"/>
                    <w:tr2bl w:val="nil"/>
                  </w:tcBorders>
                  <w:noWrap w:val="0"/>
                  <w:vAlign w:val="center"/>
                </w:tcPr>
                <w:p w14:paraId="65330097">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声源控制措施</w:t>
                  </w:r>
                </w:p>
              </w:tc>
              <w:tc>
                <w:tcPr>
                  <w:tcW w:w="1670" w:type="dxa"/>
                  <w:gridSpan w:val="3"/>
                  <w:tcBorders>
                    <w:tl2br w:val="nil"/>
                    <w:tr2bl w:val="nil"/>
                  </w:tcBorders>
                  <w:noWrap w:val="0"/>
                  <w:tcMar>
                    <w:left w:w="11" w:type="dxa"/>
                    <w:right w:w="11" w:type="dxa"/>
                  </w:tcMar>
                  <w:vAlign w:val="center"/>
                </w:tcPr>
                <w:p w14:paraId="29C4B55F">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空间相对位置/m</w:t>
                  </w:r>
                </w:p>
              </w:tc>
              <w:tc>
                <w:tcPr>
                  <w:tcW w:w="992" w:type="dxa"/>
                  <w:gridSpan w:val="2"/>
                  <w:vMerge w:val="restart"/>
                  <w:tcBorders>
                    <w:tl2br w:val="nil"/>
                    <w:tr2bl w:val="nil"/>
                  </w:tcBorders>
                  <w:noWrap w:val="0"/>
                  <w:tcMar>
                    <w:left w:w="11" w:type="dxa"/>
                    <w:right w:w="11" w:type="dxa"/>
                  </w:tcMar>
                  <w:vAlign w:val="center"/>
                </w:tcPr>
                <w:p w14:paraId="5988F752">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距室内边界距离m</w:t>
                  </w:r>
                </w:p>
              </w:tc>
              <w:tc>
                <w:tcPr>
                  <w:tcW w:w="894" w:type="dxa"/>
                  <w:vMerge w:val="restart"/>
                  <w:tcBorders>
                    <w:tl2br w:val="nil"/>
                    <w:tr2bl w:val="nil"/>
                  </w:tcBorders>
                  <w:noWrap w:val="0"/>
                  <w:tcMar>
                    <w:left w:w="11" w:type="dxa"/>
                    <w:right w:w="11" w:type="dxa"/>
                  </w:tcMar>
                  <w:vAlign w:val="center"/>
                </w:tcPr>
                <w:p w14:paraId="48223619">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室内边界声级dB（A）</w:t>
                  </w:r>
                </w:p>
              </w:tc>
              <w:tc>
                <w:tcPr>
                  <w:tcW w:w="511" w:type="dxa"/>
                  <w:vMerge w:val="restart"/>
                  <w:tcBorders>
                    <w:tl2br w:val="nil"/>
                    <w:tr2bl w:val="nil"/>
                  </w:tcBorders>
                  <w:noWrap w:val="0"/>
                  <w:vAlign w:val="center"/>
                </w:tcPr>
                <w:p w14:paraId="7BD9A28B">
                  <w:pPr>
                    <w:pStyle w:val="123"/>
                    <w:spacing w:line="240" w:lineRule="auto"/>
                    <w:ind w:left="-109" w:leftChars="-52" w:right="-113" w:rightChars="-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运行</w:t>
                  </w:r>
                </w:p>
                <w:p w14:paraId="569E56D0">
                  <w:pPr>
                    <w:pStyle w:val="123"/>
                    <w:spacing w:line="240" w:lineRule="auto"/>
                    <w:ind w:left="-109" w:leftChars="-52" w:right="-113" w:rightChars="-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时段</w:t>
                  </w:r>
                </w:p>
              </w:tc>
              <w:tc>
                <w:tcPr>
                  <w:tcW w:w="932" w:type="dxa"/>
                  <w:vMerge w:val="restart"/>
                  <w:tcBorders>
                    <w:tl2br w:val="nil"/>
                    <w:tr2bl w:val="nil"/>
                  </w:tcBorders>
                  <w:noWrap w:val="0"/>
                  <w:vAlign w:val="center"/>
                </w:tcPr>
                <w:p w14:paraId="0F130CAC">
                  <w:pPr>
                    <w:pStyle w:val="123"/>
                    <w:spacing w:line="240" w:lineRule="auto"/>
                    <w:ind w:left="-147" w:leftChars="-70" w:right="-118" w:rightChars="-5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建筑物</w:t>
                  </w:r>
                </w:p>
                <w:p w14:paraId="12B86D35">
                  <w:pPr>
                    <w:pStyle w:val="123"/>
                    <w:spacing w:line="240" w:lineRule="auto"/>
                    <w:ind w:left="-147" w:leftChars="-70" w:right="-118" w:rightChars="-5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插入损失</w:t>
                  </w:r>
                </w:p>
                <w:p w14:paraId="5BB4B8CC">
                  <w:pPr>
                    <w:pStyle w:val="123"/>
                    <w:spacing w:line="240" w:lineRule="auto"/>
                    <w:ind w:left="-147" w:leftChars="-70" w:right="-118" w:rightChars="-5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dB（A）</w:t>
                  </w:r>
                </w:p>
              </w:tc>
              <w:tc>
                <w:tcPr>
                  <w:tcW w:w="1032" w:type="dxa"/>
                  <w:vMerge w:val="restart"/>
                  <w:tcBorders>
                    <w:tl2br w:val="nil"/>
                    <w:tr2bl w:val="nil"/>
                  </w:tcBorders>
                  <w:noWrap w:val="0"/>
                  <w:vAlign w:val="center"/>
                </w:tcPr>
                <w:p w14:paraId="15448AC9">
                  <w:pPr>
                    <w:pStyle w:val="123"/>
                    <w:spacing w:line="240" w:lineRule="auto"/>
                    <w:ind w:left="-147" w:leftChars="-70" w:right="-118" w:rightChars="-5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建筑物外声压级</w:t>
                  </w:r>
                </w:p>
                <w:p w14:paraId="3D7679A2">
                  <w:pPr>
                    <w:pStyle w:val="123"/>
                    <w:spacing w:line="240" w:lineRule="auto"/>
                    <w:ind w:left="-147" w:leftChars="-70" w:right="-118" w:rightChars="-5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dB（A）</w:t>
                  </w:r>
                </w:p>
              </w:tc>
            </w:tr>
            <w:tr w14:paraId="45EA0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8" w:type="dxa"/>
                  <w:vMerge w:val="continue"/>
                  <w:tcBorders>
                    <w:tl2br w:val="nil"/>
                    <w:tr2bl w:val="nil"/>
                  </w:tcBorders>
                  <w:noWrap w:val="0"/>
                  <w:tcMar>
                    <w:left w:w="11" w:type="dxa"/>
                    <w:right w:w="11" w:type="dxa"/>
                  </w:tcMar>
                  <w:vAlign w:val="center"/>
                </w:tcPr>
                <w:p w14:paraId="2302D2AC">
                  <w:pPr>
                    <w:pStyle w:val="123"/>
                    <w:spacing w:line="240" w:lineRule="auto"/>
                    <w:rPr>
                      <w:color w:val="000000" w:themeColor="text1"/>
                      <w:sz w:val="21"/>
                      <w:szCs w:val="21"/>
                      <w14:textFill>
                        <w14:solidFill>
                          <w14:schemeClr w14:val="tx1"/>
                        </w14:solidFill>
                      </w14:textFill>
                    </w:rPr>
                  </w:pPr>
                </w:p>
              </w:tc>
              <w:tc>
                <w:tcPr>
                  <w:tcW w:w="738" w:type="dxa"/>
                  <w:vMerge w:val="continue"/>
                  <w:tcBorders>
                    <w:tl2br w:val="nil"/>
                    <w:tr2bl w:val="nil"/>
                  </w:tcBorders>
                  <w:noWrap w:val="0"/>
                  <w:tcMar>
                    <w:left w:w="11" w:type="dxa"/>
                    <w:right w:w="11" w:type="dxa"/>
                  </w:tcMar>
                  <w:vAlign w:val="center"/>
                </w:tcPr>
                <w:p w14:paraId="4ACEBAA9">
                  <w:pPr>
                    <w:pStyle w:val="123"/>
                    <w:spacing w:line="240" w:lineRule="auto"/>
                    <w:rPr>
                      <w:color w:val="000000" w:themeColor="text1"/>
                      <w:sz w:val="21"/>
                      <w:szCs w:val="21"/>
                      <w14:textFill>
                        <w14:solidFill>
                          <w14:schemeClr w14:val="tx1"/>
                        </w14:solidFill>
                      </w14:textFill>
                    </w:rPr>
                  </w:pPr>
                </w:p>
              </w:tc>
              <w:tc>
                <w:tcPr>
                  <w:tcW w:w="871" w:type="dxa"/>
                  <w:vMerge w:val="continue"/>
                  <w:tcBorders>
                    <w:tl2br w:val="nil"/>
                    <w:tr2bl w:val="nil"/>
                  </w:tcBorders>
                  <w:noWrap w:val="0"/>
                  <w:vAlign w:val="center"/>
                </w:tcPr>
                <w:p w14:paraId="70194252">
                  <w:pPr>
                    <w:pStyle w:val="123"/>
                    <w:spacing w:line="240" w:lineRule="auto"/>
                    <w:rPr>
                      <w:color w:val="000000" w:themeColor="text1"/>
                      <w:sz w:val="21"/>
                      <w:szCs w:val="21"/>
                      <w14:textFill>
                        <w14:solidFill>
                          <w14:schemeClr w14:val="tx1"/>
                        </w14:solidFill>
                      </w14:textFill>
                    </w:rPr>
                  </w:pPr>
                </w:p>
              </w:tc>
              <w:tc>
                <w:tcPr>
                  <w:tcW w:w="577" w:type="dxa"/>
                  <w:tcBorders>
                    <w:tl2br w:val="nil"/>
                    <w:tr2bl w:val="nil"/>
                  </w:tcBorders>
                  <w:noWrap w:val="0"/>
                  <w:tcMar>
                    <w:left w:w="11" w:type="dxa"/>
                    <w:right w:w="11" w:type="dxa"/>
                  </w:tcMar>
                  <w:vAlign w:val="center"/>
                </w:tcPr>
                <w:p w14:paraId="7A59C5F1">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X</w:t>
                  </w:r>
                </w:p>
              </w:tc>
              <w:tc>
                <w:tcPr>
                  <w:tcW w:w="778" w:type="dxa"/>
                  <w:tcBorders>
                    <w:tl2br w:val="nil"/>
                    <w:tr2bl w:val="nil"/>
                  </w:tcBorders>
                  <w:noWrap w:val="0"/>
                  <w:vAlign w:val="center"/>
                </w:tcPr>
                <w:p w14:paraId="377D4612">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Y</w:t>
                  </w:r>
                </w:p>
              </w:tc>
              <w:tc>
                <w:tcPr>
                  <w:tcW w:w="315" w:type="dxa"/>
                  <w:tcBorders>
                    <w:tl2br w:val="nil"/>
                    <w:tr2bl w:val="nil"/>
                  </w:tcBorders>
                  <w:noWrap w:val="0"/>
                  <w:vAlign w:val="center"/>
                </w:tcPr>
                <w:p w14:paraId="5930FDAE">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Z</w:t>
                  </w:r>
                </w:p>
              </w:tc>
              <w:tc>
                <w:tcPr>
                  <w:tcW w:w="992" w:type="dxa"/>
                  <w:gridSpan w:val="2"/>
                  <w:vMerge w:val="continue"/>
                  <w:tcBorders>
                    <w:tl2br w:val="nil"/>
                    <w:tr2bl w:val="nil"/>
                  </w:tcBorders>
                  <w:noWrap w:val="0"/>
                  <w:tcMar>
                    <w:left w:w="11" w:type="dxa"/>
                    <w:right w:w="11" w:type="dxa"/>
                  </w:tcMar>
                  <w:vAlign w:val="center"/>
                </w:tcPr>
                <w:p w14:paraId="6A216285">
                  <w:pPr>
                    <w:pStyle w:val="123"/>
                    <w:spacing w:line="240" w:lineRule="auto"/>
                    <w:rPr>
                      <w:color w:val="FF0000"/>
                      <w:sz w:val="21"/>
                      <w:szCs w:val="21"/>
                    </w:rPr>
                  </w:pPr>
                </w:p>
              </w:tc>
              <w:tc>
                <w:tcPr>
                  <w:tcW w:w="894" w:type="dxa"/>
                  <w:vMerge w:val="continue"/>
                  <w:tcBorders>
                    <w:tl2br w:val="nil"/>
                    <w:tr2bl w:val="nil"/>
                  </w:tcBorders>
                  <w:noWrap w:val="0"/>
                  <w:tcMar>
                    <w:left w:w="11" w:type="dxa"/>
                    <w:right w:w="11" w:type="dxa"/>
                  </w:tcMar>
                  <w:vAlign w:val="center"/>
                </w:tcPr>
                <w:p w14:paraId="35B9649A">
                  <w:pPr>
                    <w:pStyle w:val="123"/>
                    <w:spacing w:line="240" w:lineRule="auto"/>
                    <w:rPr>
                      <w:color w:val="FF0000"/>
                      <w:sz w:val="21"/>
                      <w:szCs w:val="21"/>
                    </w:rPr>
                  </w:pPr>
                </w:p>
              </w:tc>
              <w:tc>
                <w:tcPr>
                  <w:tcW w:w="511" w:type="dxa"/>
                  <w:vMerge w:val="continue"/>
                  <w:tcBorders>
                    <w:tl2br w:val="nil"/>
                    <w:tr2bl w:val="nil"/>
                  </w:tcBorders>
                  <w:noWrap w:val="0"/>
                  <w:vAlign w:val="center"/>
                </w:tcPr>
                <w:p w14:paraId="1B44A89F">
                  <w:pPr>
                    <w:pStyle w:val="123"/>
                    <w:spacing w:line="240" w:lineRule="auto"/>
                    <w:ind w:left="-109" w:leftChars="-52" w:right="-113" w:rightChars="-54"/>
                    <w:rPr>
                      <w:color w:val="FF0000"/>
                      <w:sz w:val="21"/>
                      <w:szCs w:val="21"/>
                    </w:rPr>
                  </w:pPr>
                </w:p>
              </w:tc>
              <w:tc>
                <w:tcPr>
                  <w:tcW w:w="932" w:type="dxa"/>
                  <w:vMerge w:val="continue"/>
                  <w:tcBorders>
                    <w:tl2br w:val="nil"/>
                    <w:tr2bl w:val="nil"/>
                  </w:tcBorders>
                  <w:noWrap w:val="0"/>
                  <w:vAlign w:val="center"/>
                </w:tcPr>
                <w:p w14:paraId="08B6C4A4">
                  <w:pPr>
                    <w:pStyle w:val="123"/>
                    <w:spacing w:line="240" w:lineRule="auto"/>
                    <w:ind w:left="-147" w:leftChars="-70" w:right="-118" w:rightChars="-56"/>
                    <w:rPr>
                      <w:color w:val="FF0000"/>
                      <w:sz w:val="21"/>
                      <w:szCs w:val="21"/>
                    </w:rPr>
                  </w:pPr>
                </w:p>
              </w:tc>
              <w:tc>
                <w:tcPr>
                  <w:tcW w:w="1032" w:type="dxa"/>
                  <w:vMerge w:val="continue"/>
                  <w:tcBorders>
                    <w:tl2br w:val="nil"/>
                    <w:tr2bl w:val="nil"/>
                  </w:tcBorders>
                  <w:noWrap w:val="0"/>
                  <w:vAlign w:val="center"/>
                </w:tcPr>
                <w:p w14:paraId="0181A8B6">
                  <w:pPr>
                    <w:pStyle w:val="123"/>
                    <w:spacing w:line="240" w:lineRule="auto"/>
                    <w:ind w:left="-147" w:leftChars="-70" w:right="-118" w:rightChars="-56"/>
                    <w:rPr>
                      <w:color w:val="FF0000"/>
                      <w:sz w:val="21"/>
                      <w:szCs w:val="21"/>
                    </w:rPr>
                  </w:pPr>
                </w:p>
              </w:tc>
            </w:tr>
            <w:tr w14:paraId="1AD98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728" w:type="dxa"/>
                  <w:vMerge w:val="restart"/>
                  <w:tcBorders>
                    <w:tl2br w:val="nil"/>
                    <w:tr2bl w:val="nil"/>
                  </w:tcBorders>
                  <w:noWrap w:val="0"/>
                  <w:tcMar>
                    <w:left w:w="11" w:type="dxa"/>
                    <w:right w:w="11" w:type="dxa"/>
                  </w:tcMar>
                  <w:vAlign w:val="center"/>
                </w:tcPr>
                <w:p w14:paraId="20F759A5">
                  <w:pPr>
                    <w:pStyle w:val="123"/>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搅拌机</w:t>
                  </w:r>
                </w:p>
              </w:tc>
              <w:tc>
                <w:tcPr>
                  <w:tcW w:w="738" w:type="dxa"/>
                  <w:vMerge w:val="restart"/>
                  <w:tcBorders>
                    <w:tl2br w:val="nil"/>
                    <w:tr2bl w:val="nil"/>
                  </w:tcBorders>
                  <w:noWrap w:val="0"/>
                  <w:tcMar>
                    <w:left w:w="11" w:type="dxa"/>
                    <w:right w:w="11" w:type="dxa"/>
                  </w:tcMar>
                  <w:vAlign w:val="center"/>
                </w:tcPr>
                <w:p w14:paraId="3F35271E">
                  <w:pPr>
                    <w:pStyle w:val="123"/>
                    <w:spacing w:line="240" w:lineRule="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75</w:t>
                  </w:r>
                </w:p>
              </w:tc>
              <w:tc>
                <w:tcPr>
                  <w:tcW w:w="871" w:type="dxa"/>
                  <w:vMerge w:val="restart"/>
                  <w:tcBorders>
                    <w:tl2br w:val="nil"/>
                    <w:tr2bl w:val="nil"/>
                  </w:tcBorders>
                  <w:noWrap w:val="0"/>
                  <w:vAlign w:val="center"/>
                </w:tcPr>
                <w:p w14:paraId="680D8DE9">
                  <w:pPr>
                    <w:pStyle w:val="123"/>
                    <w:spacing w:line="24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基础减震</w:t>
                  </w:r>
                  <w:r>
                    <w:rPr>
                      <w:color w:val="000000" w:themeColor="text1"/>
                      <w:sz w:val="21"/>
                      <w:szCs w:val="21"/>
                      <w14:textFill>
                        <w14:solidFill>
                          <w14:schemeClr w14:val="tx1"/>
                        </w14:solidFill>
                      </w14:textFill>
                    </w:rPr>
                    <w:t>，厂房隔声</w:t>
                  </w:r>
                </w:p>
              </w:tc>
              <w:tc>
                <w:tcPr>
                  <w:tcW w:w="577" w:type="dxa"/>
                  <w:vMerge w:val="restart"/>
                  <w:tcBorders>
                    <w:tl2br w:val="nil"/>
                    <w:tr2bl w:val="nil"/>
                  </w:tcBorders>
                  <w:noWrap w:val="0"/>
                  <w:tcMar>
                    <w:left w:w="11" w:type="dxa"/>
                    <w:right w:w="11" w:type="dxa"/>
                  </w:tcMar>
                  <w:vAlign w:val="center"/>
                </w:tcPr>
                <w:p w14:paraId="19C92F04">
                  <w:pPr>
                    <w:pStyle w:val="123"/>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28.53</w:t>
                  </w:r>
                </w:p>
              </w:tc>
              <w:tc>
                <w:tcPr>
                  <w:tcW w:w="778" w:type="dxa"/>
                  <w:vMerge w:val="restart"/>
                  <w:tcBorders>
                    <w:tl2br w:val="nil"/>
                    <w:tr2bl w:val="nil"/>
                  </w:tcBorders>
                  <w:noWrap w:val="0"/>
                  <w:vAlign w:val="center"/>
                </w:tcPr>
                <w:p w14:paraId="49ABDDBB">
                  <w:pPr>
                    <w:pStyle w:val="123"/>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43.19</w:t>
                  </w:r>
                </w:p>
              </w:tc>
              <w:tc>
                <w:tcPr>
                  <w:tcW w:w="315" w:type="dxa"/>
                  <w:vMerge w:val="restart"/>
                  <w:tcBorders>
                    <w:tl2br w:val="nil"/>
                    <w:tr2bl w:val="nil"/>
                  </w:tcBorders>
                  <w:noWrap w:val="0"/>
                  <w:vAlign w:val="center"/>
                </w:tcPr>
                <w:p w14:paraId="36C9F7C1">
                  <w:pPr>
                    <w:pStyle w:val="123"/>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423" w:type="dxa"/>
                  <w:tcBorders>
                    <w:tl2br w:val="nil"/>
                    <w:tr2bl w:val="nil"/>
                  </w:tcBorders>
                  <w:noWrap w:val="0"/>
                  <w:tcMar>
                    <w:left w:w="11" w:type="dxa"/>
                    <w:right w:w="11" w:type="dxa"/>
                  </w:tcMar>
                  <w:vAlign w:val="center"/>
                </w:tcPr>
                <w:p w14:paraId="360995AD">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569" w:type="dxa"/>
                  <w:tcBorders>
                    <w:tl2br w:val="nil"/>
                    <w:tr2bl w:val="nil"/>
                  </w:tcBorders>
                  <w:noWrap w:val="0"/>
                  <w:tcMar>
                    <w:left w:w="11" w:type="dxa"/>
                    <w:right w:w="11" w:type="dxa"/>
                  </w:tcMar>
                  <w:vAlign w:val="center"/>
                </w:tcPr>
                <w:p w14:paraId="20ADD14D">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894" w:type="dxa"/>
                  <w:tcBorders>
                    <w:tl2br w:val="nil"/>
                    <w:tr2bl w:val="nil"/>
                  </w:tcBorders>
                  <w:noWrap w:val="0"/>
                  <w:tcMar>
                    <w:left w:w="11" w:type="dxa"/>
                    <w:right w:w="11" w:type="dxa"/>
                  </w:tcMar>
                  <w:vAlign w:val="center"/>
                </w:tcPr>
                <w:p w14:paraId="43016632">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59</w:t>
                  </w:r>
                </w:p>
              </w:tc>
              <w:tc>
                <w:tcPr>
                  <w:tcW w:w="511" w:type="dxa"/>
                  <w:vMerge w:val="restart"/>
                  <w:tcBorders>
                    <w:tl2br w:val="nil"/>
                    <w:tr2bl w:val="nil"/>
                  </w:tcBorders>
                  <w:noWrap w:val="0"/>
                  <w:vAlign w:val="center"/>
                </w:tcPr>
                <w:p w14:paraId="14F1E2A7">
                  <w:pPr>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昼</w:t>
                  </w:r>
                  <w:r>
                    <w:rPr>
                      <w:rFonts w:hint="eastAsia"/>
                      <w:color w:val="000000" w:themeColor="text1"/>
                      <w:sz w:val="21"/>
                      <w:szCs w:val="21"/>
                      <w:lang w:val="en-US" w:eastAsia="zh-CN"/>
                      <w14:textFill>
                        <w14:solidFill>
                          <w14:schemeClr w14:val="tx1"/>
                        </w14:solidFill>
                      </w14:textFill>
                    </w:rPr>
                    <w:t>夜</w:t>
                  </w:r>
                </w:p>
              </w:tc>
              <w:tc>
                <w:tcPr>
                  <w:tcW w:w="932" w:type="dxa"/>
                  <w:vMerge w:val="restart"/>
                  <w:tcBorders>
                    <w:tl2br w:val="nil"/>
                    <w:tr2bl w:val="nil"/>
                  </w:tcBorders>
                  <w:noWrap w:val="0"/>
                  <w:vAlign w:val="center"/>
                </w:tcPr>
                <w:p w14:paraId="3BBA904E">
                  <w:pPr>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6</w:t>
                  </w:r>
                </w:p>
              </w:tc>
              <w:tc>
                <w:tcPr>
                  <w:tcW w:w="1032" w:type="dxa"/>
                  <w:tcBorders>
                    <w:tl2br w:val="nil"/>
                    <w:tr2bl w:val="nil"/>
                  </w:tcBorders>
                  <w:noWrap w:val="0"/>
                  <w:vAlign w:val="center"/>
                </w:tcPr>
                <w:p w14:paraId="0503DFA5">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p>
              </w:tc>
            </w:tr>
            <w:tr w14:paraId="7BB91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728" w:type="dxa"/>
                  <w:vMerge w:val="continue"/>
                  <w:tcBorders>
                    <w:tl2br w:val="nil"/>
                    <w:tr2bl w:val="nil"/>
                  </w:tcBorders>
                  <w:noWrap w:val="0"/>
                  <w:tcMar>
                    <w:left w:w="11" w:type="dxa"/>
                    <w:right w:w="11" w:type="dxa"/>
                  </w:tcMar>
                  <w:vAlign w:val="center"/>
                </w:tcPr>
                <w:p w14:paraId="474D2C60">
                  <w:pPr>
                    <w:jc w:val="center"/>
                    <w:rPr>
                      <w:color w:val="FF0000"/>
                      <w:sz w:val="21"/>
                      <w:szCs w:val="21"/>
                    </w:rPr>
                  </w:pPr>
                </w:p>
              </w:tc>
              <w:tc>
                <w:tcPr>
                  <w:tcW w:w="738" w:type="dxa"/>
                  <w:vMerge w:val="continue"/>
                  <w:tcBorders>
                    <w:tl2br w:val="nil"/>
                    <w:tr2bl w:val="nil"/>
                  </w:tcBorders>
                  <w:noWrap w:val="0"/>
                  <w:tcMar>
                    <w:left w:w="11" w:type="dxa"/>
                    <w:right w:w="11" w:type="dxa"/>
                  </w:tcMar>
                  <w:vAlign w:val="center"/>
                </w:tcPr>
                <w:p w14:paraId="39C46F5F">
                  <w:pPr>
                    <w:jc w:val="center"/>
                    <w:rPr>
                      <w:color w:val="FF0000"/>
                      <w:sz w:val="21"/>
                      <w:szCs w:val="21"/>
                    </w:rPr>
                  </w:pPr>
                </w:p>
              </w:tc>
              <w:tc>
                <w:tcPr>
                  <w:tcW w:w="871" w:type="dxa"/>
                  <w:vMerge w:val="continue"/>
                  <w:tcBorders>
                    <w:tl2br w:val="nil"/>
                    <w:tr2bl w:val="nil"/>
                  </w:tcBorders>
                  <w:noWrap w:val="0"/>
                  <w:vAlign w:val="center"/>
                </w:tcPr>
                <w:p w14:paraId="09A7F2CF">
                  <w:pPr>
                    <w:jc w:val="center"/>
                    <w:rPr>
                      <w:color w:val="FF0000"/>
                      <w:sz w:val="21"/>
                      <w:szCs w:val="21"/>
                    </w:rPr>
                  </w:pPr>
                </w:p>
              </w:tc>
              <w:tc>
                <w:tcPr>
                  <w:tcW w:w="577" w:type="dxa"/>
                  <w:vMerge w:val="continue"/>
                  <w:tcBorders>
                    <w:tl2br w:val="nil"/>
                    <w:tr2bl w:val="nil"/>
                  </w:tcBorders>
                  <w:noWrap w:val="0"/>
                  <w:tcMar>
                    <w:left w:w="11" w:type="dxa"/>
                    <w:right w:w="11" w:type="dxa"/>
                  </w:tcMar>
                  <w:vAlign w:val="center"/>
                </w:tcPr>
                <w:p w14:paraId="3142288F">
                  <w:pPr>
                    <w:jc w:val="center"/>
                    <w:rPr>
                      <w:color w:val="FF0000"/>
                      <w:sz w:val="21"/>
                      <w:szCs w:val="21"/>
                    </w:rPr>
                  </w:pPr>
                </w:p>
              </w:tc>
              <w:tc>
                <w:tcPr>
                  <w:tcW w:w="778" w:type="dxa"/>
                  <w:vMerge w:val="continue"/>
                  <w:tcBorders>
                    <w:tl2br w:val="nil"/>
                    <w:tr2bl w:val="nil"/>
                  </w:tcBorders>
                  <w:noWrap w:val="0"/>
                  <w:vAlign w:val="center"/>
                </w:tcPr>
                <w:p w14:paraId="75589E0B">
                  <w:pPr>
                    <w:jc w:val="center"/>
                    <w:rPr>
                      <w:color w:val="FF0000"/>
                      <w:sz w:val="21"/>
                      <w:szCs w:val="21"/>
                    </w:rPr>
                  </w:pPr>
                </w:p>
              </w:tc>
              <w:tc>
                <w:tcPr>
                  <w:tcW w:w="315" w:type="dxa"/>
                  <w:vMerge w:val="continue"/>
                  <w:tcBorders>
                    <w:tl2br w:val="nil"/>
                    <w:tr2bl w:val="nil"/>
                  </w:tcBorders>
                  <w:noWrap w:val="0"/>
                  <w:vAlign w:val="center"/>
                </w:tcPr>
                <w:p w14:paraId="3E0988CA">
                  <w:pPr>
                    <w:jc w:val="center"/>
                    <w:rPr>
                      <w:color w:val="FF0000"/>
                      <w:sz w:val="21"/>
                      <w:szCs w:val="21"/>
                    </w:rPr>
                  </w:pPr>
                </w:p>
              </w:tc>
              <w:tc>
                <w:tcPr>
                  <w:tcW w:w="423" w:type="dxa"/>
                  <w:tcBorders>
                    <w:tl2br w:val="nil"/>
                    <w:tr2bl w:val="nil"/>
                  </w:tcBorders>
                  <w:noWrap w:val="0"/>
                  <w:tcMar>
                    <w:left w:w="11" w:type="dxa"/>
                    <w:right w:w="11" w:type="dxa"/>
                  </w:tcMar>
                  <w:vAlign w:val="center"/>
                </w:tcPr>
                <w:p w14:paraId="17388E2A">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p>
              </w:tc>
              <w:tc>
                <w:tcPr>
                  <w:tcW w:w="569" w:type="dxa"/>
                  <w:tcBorders>
                    <w:tl2br w:val="nil"/>
                    <w:tr2bl w:val="nil"/>
                  </w:tcBorders>
                  <w:noWrap w:val="0"/>
                  <w:tcMar>
                    <w:left w:w="11" w:type="dxa"/>
                    <w:right w:w="11" w:type="dxa"/>
                  </w:tcMar>
                  <w:vAlign w:val="center"/>
                </w:tcPr>
                <w:p w14:paraId="59AEF7AC">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894" w:type="dxa"/>
                  <w:tcBorders>
                    <w:tl2br w:val="nil"/>
                    <w:tr2bl w:val="nil"/>
                  </w:tcBorders>
                  <w:noWrap w:val="0"/>
                  <w:tcMar>
                    <w:left w:w="11" w:type="dxa"/>
                    <w:right w:w="11" w:type="dxa"/>
                  </w:tcMar>
                  <w:vAlign w:val="center"/>
                </w:tcPr>
                <w:p w14:paraId="0E384EDB">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52</w:t>
                  </w:r>
                </w:p>
              </w:tc>
              <w:tc>
                <w:tcPr>
                  <w:tcW w:w="511" w:type="dxa"/>
                  <w:vMerge w:val="continue"/>
                  <w:tcBorders>
                    <w:tl2br w:val="nil"/>
                    <w:tr2bl w:val="nil"/>
                  </w:tcBorders>
                  <w:noWrap w:val="0"/>
                  <w:vAlign w:val="center"/>
                </w:tcPr>
                <w:p w14:paraId="1062A950">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1E3AAC77">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6D9F987A">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w:t>
                  </w:r>
                </w:p>
              </w:tc>
            </w:tr>
            <w:tr w14:paraId="4BAF7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28" w:type="dxa"/>
                  <w:vMerge w:val="continue"/>
                  <w:tcBorders>
                    <w:tl2br w:val="nil"/>
                    <w:tr2bl w:val="nil"/>
                  </w:tcBorders>
                  <w:noWrap w:val="0"/>
                  <w:tcMar>
                    <w:left w:w="11" w:type="dxa"/>
                    <w:right w:w="11" w:type="dxa"/>
                  </w:tcMar>
                  <w:vAlign w:val="center"/>
                </w:tcPr>
                <w:p w14:paraId="511A75D7">
                  <w:pPr>
                    <w:jc w:val="center"/>
                    <w:rPr>
                      <w:color w:val="FF0000"/>
                      <w:sz w:val="21"/>
                      <w:szCs w:val="21"/>
                    </w:rPr>
                  </w:pPr>
                </w:p>
              </w:tc>
              <w:tc>
                <w:tcPr>
                  <w:tcW w:w="738" w:type="dxa"/>
                  <w:vMerge w:val="continue"/>
                  <w:tcBorders>
                    <w:tl2br w:val="nil"/>
                    <w:tr2bl w:val="nil"/>
                  </w:tcBorders>
                  <w:noWrap w:val="0"/>
                  <w:tcMar>
                    <w:left w:w="11" w:type="dxa"/>
                    <w:right w:w="11" w:type="dxa"/>
                  </w:tcMar>
                  <w:vAlign w:val="center"/>
                </w:tcPr>
                <w:p w14:paraId="34E231B6">
                  <w:pPr>
                    <w:jc w:val="center"/>
                    <w:rPr>
                      <w:color w:val="FF0000"/>
                      <w:sz w:val="21"/>
                      <w:szCs w:val="21"/>
                    </w:rPr>
                  </w:pPr>
                </w:p>
              </w:tc>
              <w:tc>
                <w:tcPr>
                  <w:tcW w:w="871" w:type="dxa"/>
                  <w:vMerge w:val="continue"/>
                  <w:tcBorders>
                    <w:tl2br w:val="nil"/>
                    <w:tr2bl w:val="nil"/>
                  </w:tcBorders>
                  <w:noWrap w:val="0"/>
                  <w:vAlign w:val="center"/>
                </w:tcPr>
                <w:p w14:paraId="65E91077">
                  <w:pPr>
                    <w:jc w:val="center"/>
                    <w:rPr>
                      <w:color w:val="FF0000"/>
                      <w:sz w:val="21"/>
                      <w:szCs w:val="21"/>
                    </w:rPr>
                  </w:pPr>
                </w:p>
              </w:tc>
              <w:tc>
                <w:tcPr>
                  <w:tcW w:w="577" w:type="dxa"/>
                  <w:vMerge w:val="continue"/>
                  <w:tcBorders>
                    <w:tl2br w:val="nil"/>
                    <w:tr2bl w:val="nil"/>
                  </w:tcBorders>
                  <w:noWrap w:val="0"/>
                  <w:tcMar>
                    <w:left w:w="11" w:type="dxa"/>
                    <w:right w:w="11" w:type="dxa"/>
                  </w:tcMar>
                  <w:vAlign w:val="center"/>
                </w:tcPr>
                <w:p w14:paraId="6C008B44">
                  <w:pPr>
                    <w:jc w:val="center"/>
                    <w:rPr>
                      <w:color w:val="FF0000"/>
                      <w:sz w:val="21"/>
                      <w:szCs w:val="21"/>
                    </w:rPr>
                  </w:pPr>
                </w:p>
              </w:tc>
              <w:tc>
                <w:tcPr>
                  <w:tcW w:w="778" w:type="dxa"/>
                  <w:vMerge w:val="continue"/>
                  <w:tcBorders>
                    <w:tl2br w:val="nil"/>
                    <w:tr2bl w:val="nil"/>
                  </w:tcBorders>
                  <w:noWrap w:val="0"/>
                  <w:vAlign w:val="center"/>
                </w:tcPr>
                <w:p w14:paraId="6F7017F6">
                  <w:pPr>
                    <w:jc w:val="center"/>
                    <w:rPr>
                      <w:color w:val="FF0000"/>
                      <w:sz w:val="21"/>
                      <w:szCs w:val="21"/>
                    </w:rPr>
                  </w:pPr>
                </w:p>
              </w:tc>
              <w:tc>
                <w:tcPr>
                  <w:tcW w:w="315" w:type="dxa"/>
                  <w:vMerge w:val="continue"/>
                  <w:tcBorders>
                    <w:tl2br w:val="nil"/>
                    <w:tr2bl w:val="nil"/>
                  </w:tcBorders>
                  <w:noWrap w:val="0"/>
                  <w:vAlign w:val="center"/>
                </w:tcPr>
                <w:p w14:paraId="645597BF">
                  <w:pPr>
                    <w:jc w:val="center"/>
                    <w:rPr>
                      <w:color w:val="FF0000"/>
                      <w:sz w:val="21"/>
                      <w:szCs w:val="21"/>
                    </w:rPr>
                  </w:pPr>
                </w:p>
              </w:tc>
              <w:tc>
                <w:tcPr>
                  <w:tcW w:w="423" w:type="dxa"/>
                  <w:tcBorders>
                    <w:tl2br w:val="nil"/>
                    <w:tr2bl w:val="nil"/>
                  </w:tcBorders>
                  <w:noWrap w:val="0"/>
                  <w:tcMar>
                    <w:left w:w="11" w:type="dxa"/>
                    <w:right w:w="11" w:type="dxa"/>
                  </w:tcMar>
                  <w:vAlign w:val="center"/>
                </w:tcPr>
                <w:p w14:paraId="33B7278A">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w:t>
                  </w:r>
                </w:p>
              </w:tc>
              <w:tc>
                <w:tcPr>
                  <w:tcW w:w="569" w:type="dxa"/>
                  <w:tcBorders>
                    <w:tl2br w:val="nil"/>
                    <w:tr2bl w:val="nil"/>
                  </w:tcBorders>
                  <w:noWrap w:val="0"/>
                  <w:tcMar>
                    <w:left w:w="11" w:type="dxa"/>
                    <w:right w:w="11" w:type="dxa"/>
                  </w:tcMar>
                  <w:vAlign w:val="center"/>
                </w:tcPr>
                <w:p w14:paraId="7E4B7A07">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894" w:type="dxa"/>
                  <w:tcBorders>
                    <w:tl2br w:val="nil"/>
                    <w:tr2bl w:val="nil"/>
                  </w:tcBorders>
                  <w:noWrap w:val="0"/>
                  <w:tcMar>
                    <w:left w:w="11" w:type="dxa"/>
                    <w:right w:w="11" w:type="dxa"/>
                  </w:tcMar>
                  <w:vAlign w:val="center"/>
                </w:tcPr>
                <w:p w14:paraId="7C1A8886">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60</w:t>
                  </w:r>
                </w:p>
              </w:tc>
              <w:tc>
                <w:tcPr>
                  <w:tcW w:w="511" w:type="dxa"/>
                  <w:vMerge w:val="continue"/>
                  <w:tcBorders>
                    <w:tl2br w:val="nil"/>
                    <w:tr2bl w:val="nil"/>
                  </w:tcBorders>
                  <w:noWrap w:val="0"/>
                  <w:vAlign w:val="center"/>
                </w:tcPr>
                <w:p w14:paraId="0961D8C2">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1610EA9F">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47E7D560">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w:t>
                  </w:r>
                </w:p>
              </w:tc>
            </w:tr>
            <w:tr w14:paraId="3D4B1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8" w:type="dxa"/>
                  <w:vMerge w:val="continue"/>
                  <w:tcBorders>
                    <w:tl2br w:val="nil"/>
                    <w:tr2bl w:val="nil"/>
                  </w:tcBorders>
                  <w:noWrap w:val="0"/>
                  <w:tcMar>
                    <w:left w:w="11" w:type="dxa"/>
                    <w:right w:w="11" w:type="dxa"/>
                  </w:tcMar>
                  <w:vAlign w:val="center"/>
                </w:tcPr>
                <w:p w14:paraId="54C4CF6C">
                  <w:pPr>
                    <w:jc w:val="center"/>
                    <w:rPr>
                      <w:color w:val="FF0000"/>
                      <w:sz w:val="21"/>
                      <w:szCs w:val="21"/>
                    </w:rPr>
                  </w:pPr>
                </w:p>
              </w:tc>
              <w:tc>
                <w:tcPr>
                  <w:tcW w:w="738" w:type="dxa"/>
                  <w:vMerge w:val="continue"/>
                  <w:tcBorders>
                    <w:tl2br w:val="nil"/>
                    <w:tr2bl w:val="nil"/>
                  </w:tcBorders>
                  <w:noWrap w:val="0"/>
                  <w:tcMar>
                    <w:left w:w="11" w:type="dxa"/>
                    <w:right w:w="11" w:type="dxa"/>
                  </w:tcMar>
                  <w:vAlign w:val="center"/>
                </w:tcPr>
                <w:p w14:paraId="39EE547D">
                  <w:pPr>
                    <w:jc w:val="center"/>
                    <w:rPr>
                      <w:color w:val="FF0000"/>
                      <w:sz w:val="21"/>
                      <w:szCs w:val="21"/>
                    </w:rPr>
                  </w:pPr>
                </w:p>
              </w:tc>
              <w:tc>
                <w:tcPr>
                  <w:tcW w:w="871" w:type="dxa"/>
                  <w:vMerge w:val="continue"/>
                  <w:tcBorders>
                    <w:tl2br w:val="nil"/>
                    <w:tr2bl w:val="nil"/>
                  </w:tcBorders>
                  <w:noWrap w:val="0"/>
                  <w:vAlign w:val="center"/>
                </w:tcPr>
                <w:p w14:paraId="12E2D07B">
                  <w:pPr>
                    <w:jc w:val="center"/>
                    <w:rPr>
                      <w:color w:val="FF0000"/>
                      <w:sz w:val="21"/>
                      <w:szCs w:val="21"/>
                    </w:rPr>
                  </w:pPr>
                </w:p>
              </w:tc>
              <w:tc>
                <w:tcPr>
                  <w:tcW w:w="577" w:type="dxa"/>
                  <w:vMerge w:val="continue"/>
                  <w:tcBorders>
                    <w:tl2br w:val="nil"/>
                    <w:tr2bl w:val="nil"/>
                  </w:tcBorders>
                  <w:noWrap w:val="0"/>
                  <w:tcMar>
                    <w:left w:w="11" w:type="dxa"/>
                    <w:right w:w="11" w:type="dxa"/>
                  </w:tcMar>
                  <w:vAlign w:val="center"/>
                </w:tcPr>
                <w:p w14:paraId="2EE655B4">
                  <w:pPr>
                    <w:jc w:val="center"/>
                    <w:rPr>
                      <w:color w:val="FF0000"/>
                      <w:sz w:val="21"/>
                      <w:szCs w:val="21"/>
                    </w:rPr>
                  </w:pPr>
                </w:p>
              </w:tc>
              <w:tc>
                <w:tcPr>
                  <w:tcW w:w="778" w:type="dxa"/>
                  <w:vMerge w:val="continue"/>
                  <w:tcBorders>
                    <w:tl2br w:val="nil"/>
                    <w:tr2bl w:val="nil"/>
                  </w:tcBorders>
                  <w:noWrap w:val="0"/>
                  <w:vAlign w:val="center"/>
                </w:tcPr>
                <w:p w14:paraId="28840971">
                  <w:pPr>
                    <w:jc w:val="center"/>
                    <w:rPr>
                      <w:color w:val="FF0000"/>
                      <w:sz w:val="21"/>
                      <w:szCs w:val="21"/>
                    </w:rPr>
                  </w:pPr>
                </w:p>
              </w:tc>
              <w:tc>
                <w:tcPr>
                  <w:tcW w:w="315" w:type="dxa"/>
                  <w:vMerge w:val="continue"/>
                  <w:tcBorders>
                    <w:tl2br w:val="nil"/>
                    <w:tr2bl w:val="nil"/>
                  </w:tcBorders>
                  <w:noWrap w:val="0"/>
                  <w:vAlign w:val="center"/>
                </w:tcPr>
                <w:p w14:paraId="30FF02EB">
                  <w:pPr>
                    <w:jc w:val="center"/>
                    <w:rPr>
                      <w:color w:val="FF0000"/>
                      <w:sz w:val="21"/>
                      <w:szCs w:val="21"/>
                    </w:rPr>
                  </w:pPr>
                </w:p>
              </w:tc>
              <w:tc>
                <w:tcPr>
                  <w:tcW w:w="423" w:type="dxa"/>
                  <w:tcBorders>
                    <w:tl2br w:val="nil"/>
                    <w:tr2bl w:val="nil"/>
                  </w:tcBorders>
                  <w:noWrap w:val="0"/>
                  <w:tcMar>
                    <w:left w:w="11" w:type="dxa"/>
                    <w:right w:w="11" w:type="dxa"/>
                  </w:tcMar>
                  <w:vAlign w:val="center"/>
                </w:tcPr>
                <w:p w14:paraId="3C4117EC">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p>
              </w:tc>
              <w:tc>
                <w:tcPr>
                  <w:tcW w:w="569" w:type="dxa"/>
                  <w:tcBorders>
                    <w:tl2br w:val="nil"/>
                    <w:tr2bl w:val="nil"/>
                  </w:tcBorders>
                  <w:noWrap w:val="0"/>
                  <w:tcMar>
                    <w:left w:w="11" w:type="dxa"/>
                    <w:right w:w="11" w:type="dxa"/>
                  </w:tcMar>
                  <w:vAlign w:val="center"/>
                </w:tcPr>
                <w:p w14:paraId="02CEDC36">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894" w:type="dxa"/>
                  <w:tcBorders>
                    <w:tl2br w:val="nil"/>
                    <w:tr2bl w:val="nil"/>
                  </w:tcBorders>
                  <w:noWrap w:val="0"/>
                  <w:tcMar>
                    <w:left w:w="11" w:type="dxa"/>
                    <w:right w:w="11" w:type="dxa"/>
                  </w:tcMar>
                  <w:vAlign w:val="center"/>
                </w:tcPr>
                <w:p w14:paraId="35CAAB8E">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53</w:t>
                  </w:r>
                </w:p>
              </w:tc>
              <w:tc>
                <w:tcPr>
                  <w:tcW w:w="511" w:type="dxa"/>
                  <w:vMerge w:val="continue"/>
                  <w:tcBorders>
                    <w:tl2br w:val="nil"/>
                    <w:tr2bl w:val="nil"/>
                  </w:tcBorders>
                  <w:noWrap w:val="0"/>
                  <w:vAlign w:val="center"/>
                </w:tcPr>
                <w:p w14:paraId="7F11C20C">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4003430A">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6066FAD5">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27</w:t>
                  </w:r>
                </w:p>
              </w:tc>
            </w:tr>
            <w:tr w14:paraId="0EBF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728" w:type="dxa"/>
                  <w:vMerge w:val="restart"/>
                  <w:tcBorders>
                    <w:tl2br w:val="nil"/>
                    <w:tr2bl w:val="nil"/>
                  </w:tcBorders>
                  <w:noWrap w:val="0"/>
                  <w:tcMar>
                    <w:left w:w="11" w:type="dxa"/>
                    <w:right w:w="11" w:type="dxa"/>
                  </w:tcMar>
                  <w:vAlign w:val="center"/>
                </w:tcPr>
                <w:p w14:paraId="54D641FF">
                  <w:pPr>
                    <w:pStyle w:val="123"/>
                    <w:spacing w:line="24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填充泵</w:t>
                  </w:r>
                </w:p>
              </w:tc>
              <w:tc>
                <w:tcPr>
                  <w:tcW w:w="738" w:type="dxa"/>
                  <w:vMerge w:val="restart"/>
                  <w:tcBorders>
                    <w:tl2br w:val="nil"/>
                    <w:tr2bl w:val="nil"/>
                  </w:tcBorders>
                  <w:noWrap w:val="0"/>
                  <w:tcMar>
                    <w:left w:w="11" w:type="dxa"/>
                    <w:right w:w="11" w:type="dxa"/>
                  </w:tcMar>
                  <w:vAlign w:val="center"/>
                </w:tcPr>
                <w:p w14:paraId="2216177A">
                  <w:pPr>
                    <w:pStyle w:val="123"/>
                    <w:spacing w:line="240" w:lineRule="auto"/>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80</w:t>
                  </w:r>
                </w:p>
              </w:tc>
              <w:tc>
                <w:tcPr>
                  <w:tcW w:w="871" w:type="dxa"/>
                  <w:vMerge w:val="restart"/>
                  <w:tcBorders>
                    <w:tl2br w:val="nil"/>
                    <w:tr2bl w:val="nil"/>
                  </w:tcBorders>
                  <w:noWrap w:val="0"/>
                  <w:vAlign w:val="center"/>
                </w:tcPr>
                <w:p w14:paraId="15331135">
                  <w:pPr>
                    <w:pStyle w:val="123"/>
                    <w:spacing w:line="24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基础减震</w:t>
                  </w:r>
                  <w:r>
                    <w:rPr>
                      <w:color w:val="000000" w:themeColor="text1"/>
                      <w:sz w:val="21"/>
                      <w:szCs w:val="21"/>
                      <w14:textFill>
                        <w14:solidFill>
                          <w14:schemeClr w14:val="tx1"/>
                        </w14:solidFill>
                      </w14:textFill>
                    </w:rPr>
                    <w:t>，厂房隔声</w:t>
                  </w:r>
                </w:p>
              </w:tc>
              <w:tc>
                <w:tcPr>
                  <w:tcW w:w="577" w:type="dxa"/>
                  <w:vMerge w:val="restart"/>
                  <w:tcBorders>
                    <w:tl2br w:val="nil"/>
                    <w:tr2bl w:val="nil"/>
                  </w:tcBorders>
                  <w:noWrap w:val="0"/>
                  <w:tcMar>
                    <w:left w:w="11" w:type="dxa"/>
                    <w:right w:w="11" w:type="dxa"/>
                  </w:tcMar>
                  <w:vAlign w:val="center"/>
                </w:tcPr>
                <w:p w14:paraId="20401313">
                  <w:pPr>
                    <w:pStyle w:val="123"/>
                    <w:spacing w:line="240" w:lineRule="auto"/>
                    <w:rPr>
                      <w:rFonts w:hint="default" w:eastAsia="宋体"/>
                      <w:color w:val="auto"/>
                      <w:sz w:val="21"/>
                      <w:szCs w:val="21"/>
                      <w:lang w:val="en-US" w:eastAsia="zh-CN"/>
                    </w:rPr>
                  </w:pPr>
                  <w:r>
                    <w:rPr>
                      <w:rFonts w:hint="eastAsia"/>
                      <w:color w:val="auto"/>
                      <w:sz w:val="21"/>
                      <w:szCs w:val="21"/>
                      <w:lang w:val="en-US" w:eastAsia="zh-CN"/>
                    </w:rPr>
                    <w:t>22.83</w:t>
                  </w:r>
                </w:p>
              </w:tc>
              <w:tc>
                <w:tcPr>
                  <w:tcW w:w="778" w:type="dxa"/>
                  <w:vMerge w:val="restart"/>
                  <w:tcBorders>
                    <w:tl2br w:val="nil"/>
                    <w:tr2bl w:val="nil"/>
                  </w:tcBorders>
                  <w:noWrap w:val="0"/>
                  <w:vAlign w:val="center"/>
                </w:tcPr>
                <w:p w14:paraId="210F2C38">
                  <w:pPr>
                    <w:pStyle w:val="123"/>
                    <w:spacing w:line="240" w:lineRule="auto"/>
                    <w:rPr>
                      <w:rFonts w:hint="default" w:eastAsia="宋体"/>
                      <w:color w:val="auto"/>
                      <w:sz w:val="21"/>
                      <w:szCs w:val="21"/>
                      <w:lang w:val="en-US" w:eastAsia="zh-CN"/>
                    </w:rPr>
                  </w:pPr>
                  <w:r>
                    <w:rPr>
                      <w:rFonts w:hint="eastAsia"/>
                      <w:color w:val="auto"/>
                      <w:sz w:val="21"/>
                      <w:szCs w:val="21"/>
                      <w:lang w:val="en-US" w:eastAsia="zh-CN"/>
                    </w:rPr>
                    <w:t>48.86</w:t>
                  </w:r>
                </w:p>
              </w:tc>
              <w:tc>
                <w:tcPr>
                  <w:tcW w:w="315" w:type="dxa"/>
                  <w:vMerge w:val="restart"/>
                  <w:tcBorders>
                    <w:tl2br w:val="nil"/>
                    <w:tr2bl w:val="nil"/>
                  </w:tcBorders>
                  <w:noWrap w:val="0"/>
                  <w:vAlign w:val="center"/>
                </w:tcPr>
                <w:p w14:paraId="22A9590A">
                  <w:pPr>
                    <w:pStyle w:val="123"/>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423" w:type="dxa"/>
                  <w:tcBorders>
                    <w:tl2br w:val="nil"/>
                    <w:tr2bl w:val="nil"/>
                  </w:tcBorders>
                  <w:noWrap w:val="0"/>
                  <w:tcMar>
                    <w:left w:w="11" w:type="dxa"/>
                    <w:right w:w="11" w:type="dxa"/>
                  </w:tcMar>
                  <w:vAlign w:val="center"/>
                </w:tcPr>
                <w:p w14:paraId="76295746">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569" w:type="dxa"/>
                  <w:tcBorders>
                    <w:tl2br w:val="nil"/>
                    <w:tr2bl w:val="nil"/>
                  </w:tcBorders>
                  <w:noWrap w:val="0"/>
                  <w:tcMar>
                    <w:left w:w="11" w:type="dxa"/>
                    <w:right w:w="11" w:type="dxa"/>
                  </w:tcMar>
                  <w:vAlign w:val="center"/>
                </w:tcPr>
                <w:p w14:paraId="00A57CF7">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894" w:type="dxa"/>
                  <w:tcBorders>
                    <w:tl2br w:val="nil"/>
                    <w:tr2bl w:val="nil"/>
                  </w:tcBorders>
                  <w:noWrap w:val="0"/>
                  <w:tcMar>
                    <w:left w:w="11" w:type="dxa"/>
                    <w:right w:w="11" w:type="dxa"/>
                  </w:tcMar>
                  <w:vAlign w:val="center"/>
                </w:tcPr>
                <w:p w14:paraId="267B38FF">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66</w:t>
                  </w:r>
                </w:p>
              </w:tc>
              <w:tc>
                <w:tcPr>
                  <w:tcW w:w="511" w:type="dxa"/>
                  <w:vMerge w:val="restart"/>
                  <w:tcBorders>
                    <w:tl2br w:val="nil"/>
                    <w:tr2bl w:val="nil"/>
                  </w:tcBorders>
                  <w:noWrap w:val="0"/>
                  <w:vAlign w:val="center"/>
                </w:tcPr>
                <w:p w14:paraId="7F923C20">
                  <w:pPr>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昼</w:t>
                  </w:r>
                  <w:r>
                    <w:rPr>
                      <w:rFonts w:hint="eastAsia"/>
                      <w:color w:val="000000" w:themeColor="text1"/>
                      <w:sz w:val="21"/>
                      <w:szCs w:val="21"/>
                      <w:lang w:val="en-US" w:eastAsia="zh-CN"/>
                      <w14:textFill>
                        <w14:solidFill>
                          <w14:schemeClr w14:val="tx1"/>
                        </w14:solidFill>
                      </w14:textFill>
                    </w:rPr>
                    <w:t>夜</w:t>
                  </w:r>
                </w:p>
              </w:tc>
              <w:tc>
                <w:tcPr>
                  <w:tcW w:w="932" w:type="dxa"/>
                  <w:vMerge w:val="restart"/>
                  <w:tcBorders>
                    <w:tl2br w:val="nil"/>
                    <w:tr2bl w:val="nil"/>
                  </w:tcBorders>
                  <w:noWrap w:val="0"/>
                  <w:vAlign w:val="center"/>
                </w:tcPr>
                <w:p w14:paraId="54FC8145">
                  <w:pPr>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6</w:t>
                  </w:r>
                </w:p>
              </w:tc>
              <w:tc>
                <w:tcPr>
                  <w:tcW w:w="1032" w:type="dxa"/>
                  <w:tcBorders>
                    <w:tl2br w:val="nil"/>
                    <w:tr2bl w:val="nil"/>
                  </w:tcBorders>
                  <w:noWrap w:val="0"/>
                  <w:vAlign w:val="center"/>
                </w:tcPr>
                <w:p w14:paraId="19882350">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14:paraId="4E826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28" w:type="dxa"/>
                  <w:vMerge w:val="continue"/>
                  <w:tcBorders>
                    <w:tl2br w:val="nil"/>
                    <w:tr2bl w:val="nil"/>
                  </w:tcBorders>
                  <w:noWrap w:val="0"/>
                  <w:tcMar>
                    <w:left w:w="11" w:type="dxa"/>
                    <w:right w:w="11" w:type="dxa"/>
                  </w:tcMar>
                  <w:vAlign w:val="center"/>
                </w:tcPr>
                <w:p w14:paraId="20B77E3A">
                  <w:pPr>
                    <w:pStyle w:val="123"/>
                    <w:spacing w:line="240" w:lineRule="auto"/>
                    <w:rPr>
                      <w:color w:val="FF0000"/>
                      <w:sz w:val="21"/>
                      <w:szCs w:val="21"/>
                    </w:rPr>
                  </w:pPr>
                </w:p>
              </w:tc>
              <w:tc>
                <w:tcPr>
                  <w:tcW w:w="738" w:type="dxa"/>
                  <w:vMerge w:val="continue"/>
                  <w:tcBorders>
                    <w:tl2br w:val="nil"/>
                    <w:tr2bl w:val="nil"/>
                  </w:tcBorders>
                  <w:noWrap w:val="0"/>
                  <w:tcMar>
                    <w:left w:w="11" w:type="dxa"/>
                    <w:right w:w="11" w:type="dxa"/>
                  </w:tcMar>
                  <w:vAlign w:val="center"/>
                </w:tcPr>
                <w:p w14:paraId="683180D3">
                  <w:pPr>
                    <w:pStyle w:val="123"/>
                    <w:spacing w:line="240" w:lineRule="auto"/>
                    <w:rPr>
                      <w:color w:val="FF0000"/>
                      <w:sz w:val="21"/>
                      <w:szCs w:val="21"/>
                    </w:rPr>
                  </w:pPr>
                </w:p>
              </w:tc>
              <w:tc>
                <w:tcPr>
                  <w:tcW w:w="871" w:type="dxa"/>
                  <w:vMerge w:val="continue"/>
                  <w:tcBorders>
                    <w:tl2br w:val="nil"/>
                    <w:tr2bl w:val="nil"/>
                  </w:tcBorders>
                  <w:noWrap w:val="0"/>
                  <w:vAlign w:val="center"/>
                </w:tcPr>
                <w:p w14:paraId="54277E39">
                  <w:pPr>
                    <w:pStyle w:val="123"/>
                    <w:spacing w:line="240" w:lineRule="auto"/>
                    <w:rPr>
                      <w:color w:val="FF0000"/>
                      <w:sz w:val="21"/>
                      <w:szCs w:val="21"/>
                    </w:rPr>
                  </w:pPr>
                </w:p>
              </w:tc>
              <w:tc>
                <w:tcPr>
                  <w:tcW w:w="577" w:type="dxa"/>
                  <w:vMerge w:val="continue"/>
                  <w:tcBorders>
                    <w:tl2br w:val="nil"/>
                    <w:tr2bl w:val="nil"/>
                  </w:tcBorders>
                  <w:noWrap w:val="0"/>
                  <w:tcMar>
                    <w:left w:w="11" w:type="dxa"/>
                    <w:right w:w="11" w:type="dxa"/>
                  </w:tcMar>
                  <w:vAlign w:val="center"/>
                </w:tcPr>
                <w:p w14:paraId="73C4A35A">
                  <w:pPr>
                    <w:pStyle w:val="123"/>
                    <w:spacing w:line="240" w:lineRule="auto"/>
                    <w:rPr>
                      <w:color w:val="FF0000"/>
                      <w:sz w:val="21"/>
                      <w:szCs w:val="21"/>
                    </w:rPr>
                  </w:pPr>
                </w:p>
              </w:tc>
              <w:tc>
                <w:tcPr>
                  <w:tcW w:w="778" w:type="dxa"/>
                  <w:vMerge w:val="continue"/>
                  <w:tcBorders>
                    <w:tl2br w:val="nil"/>
                    <w:tr2bl w:val="nil"/>
                  </w:tcBorders>
                  <w:noWrap w:val="0"/>
                  <w:vAlign w:val="center"/>
                </w:tcPr>
                <w:p w14:paraId="15E3E331">
                  <w:pPr>
                    <w:pStyle w:val="123"/>
                    <w:spacing w:line="240" w:lineRule="auto"/>
                    <w:rPr>
                      <w:color w:val="FF0000"/>
                      <w:sz w:val="21"/>
                      <w:szCs w:val="21"/>
                    </w:rPr>
                  </w:pPr>
                </w:p>
              </w:tc>
              <w:tc>
                <w:tcPr>
                  <w:tcW w:w="315" w:type="dxa"/>
                  <w:vMerge w:val="continue"/>
                  <w:tcBorders>
                    <w:tl2br w:val="nil"/>
                    <w:tr2bl w:val="nil"/>
                  </w:tcBorders>
                  <w:noWrap w:val="0"/>
                  <w:vAlign w:val="center"/>
                </w:tcPr>
                <w:p w14:paraId="3EBFB0C8">
                  <w:pPr>
                    <w:pStyle w:val="123"/>
                    <w:spacing w:line="240" w:lineRule="auto"/>
                    <w:rPr>
                      <w:color w:val="FF0000"/>
                      <w:sz w:val="21"/>
                      <w:szCs w:val="21"/>
                    </w:rPr>
                  </w:pPr>
                </w:p>
              </w:tc>
              <w:tc>
                <w:tcPr>
                  <w:tcW w:w="423" w:type="dxa"/>
                  <w:tcBorders>
                    <w:tl2br w:val="nil"/>
                    <w:tr2bl w:val="nil"/>
                  </w:tcBorders>
                  <w:noWrap w:val="0"/>
                  <w:tcMar>
                    <w:left w:w="11" w:type="dxa"/>
                    <w:right w:w="11" w:type="dxa"/>
                  </w:tcMar>
                  <w:vAlign w:val="center"/>
                </w:tcPr>
                <w:p w14:paraId="37AA8BD3">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p>
              </w:tc>
              <w:tc>
                <w:tcPr>
                  <w:tcW w:w="569" w:type="dxa"/>
                  <w:tcBorders>
                    <w:tl2br w:val="nil"/>
                    <w:tr2bl w:val="nil"/>
                  </w:tcBorders>
                  <w:noWrap w:val="0"/>
                  <w:tcMar>
                    <w:left w:w="11" w:type="dxa"/>
                    <w:right w:w="11" w:type="dxa"/>
                  </w:tcMar>
                  <w:vAlign w:val="center"/>
                </w:tcPr>
                <w:p w14:paraId="69CD0A95">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894" w:type="dxa"/>
                  <w:tcBorders>
                    <w:tl2br w:val="nil"/>
                    <w:tr2bl w:val="nil"/>
                  </w:tcBorders>
                  <w:noWrap w:val="0"/>
                  <w:tcMar>
                    <w:left w:w="11" w:type="dxa"/>
                    <w:right w:w="11" w:type="dxa"/>
                  </w:tcMar>
                  <w:vAlign w:val="center"/>
                </w:tcPr>
                <w:p w14:paraId="372077A0">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63</w:t>
                  </w:r>
                </w:p>
              </w:tc>
              <w:tc>
                <w:tcPr>
                  <w:tcW w:w="511" w:type="dxa"/>
                  <w:vMerge w:val="continue"/>
                  <w:tcBorders>
                    <w:tl2br w:val="nil"/>
                    <w:tr2bl w:val="nil"/>
                  </w:tcBorders>
                  <w:noWrap w:val="0"/>
                  <w:vAlign w:val="center"/>
                </w:tcPr>
                <w:p w14:paraId="23BA8D63">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0F48B573">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1C855E85">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37</w:t>
                  </w:r>
                </w:p>
              </w:tc>
            </w:tr>
            <w:tr w14:paraId="16A5B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728" w:type="dxa"/>
                  <w:vMerge w:val="continue"/>
                  <w:tcBorders>
                    <w:tl2br w:val="nil"/>
                    <w:tr2bl w:val="nil"/>
                  </w:tcBorders>
                  <w:noWrap w:val="0"/>
                  <w:tcMar>
                    <w:left w:w="11" w:type="dxa"/>
                    <w:right w:w="11" w:type="dxa"/>
                  </w:tcMar>
                  <w:vAlign w:val="center"/>
                </w:tcPr>
                <w:p w14:paraId="00F43684">
                  <w:pPr>
                    <w:pStyle w:val="123"/>
                    <w:spacing w:line="240" w:lineRule="auto"/>
                    <w:rPr>
                      <w:color w:val="FF0000"/>
                      <w:sz w:val="21"/>
                      <w:szCs w:val="21"/>
                    </w:rPr>
                  </w:pPr>
                </w:p>
              </w:tc>
              <w:tc>
                <w:tcPr>
                  <w:tcW w:w="738" w:type="dxa"/>
                  <w:vMerge w:val="continue"/>
                  <w:tcBorders>
                    <w:tl2br w:val="nil"/>
                    <w:tr2bl w:val="nil"/>
                  </w:tcBorders>
                  <w:noWrap w:val="0"/>
                  <w:tcMar>
                    <w:left w:w="11" w:type="dxa"/>
                    <w:right w:w="11" w:type="dxa"/>
                  </w:tcMar>
                  <w:vAlign w:val="center"/>
                </w:tcPr>
                <w:p w14:paraId="3D474B2C">
                  <w:pPr>
                    <w:pStyle w:val="123"/>
                    <w:spacing w:line="240" w:lineRule="auto"/>
                    <w:rPr>
                      <w:color w:val="FF0000"/>
                      <w:sz w:val="21"/>
                      <w:szCs w:val="21"/>
                    </w:rPr>
                  </w:pPr>
                </w:p>
              </w:tc>
              <w:tc>
                <w:tcPr>
                  <w:tcW w:w="871" w:type="dxa"/>
                  <w:vMerge w:val="continue"/>
                  <w:tcBorders>
                    <w:tl2br w:val="nil"/>
                    <w:tr2bl w:val="nil"/>
                  </w:tcBorders>
                  <w:noWrap w:val="0"/>
                  <w:vAlign w:val="center"/>
                </w:tcPr>
                <w:p w14:paraId="226B8307">
                  <w:pPr>
                    <w:pStyle w:val="123"/>
                    <w:spacing w:line="240" w:lineRule="auto"/>
                    <w:rPr>
                      <w:color w:val="FF0000"/>
                      <w:sz w:val="21"/>
                      <w:szCs w:val="21"/>
                    </w:rPr>
                  </w:pPr>
                </w:p>
              </w:tc>
              <w:tc>
                <w:tcPr>
                  <w:tcW w:w="577" w:type="dxa"/>
                  <w:vMerge w:val="continue"/>
                  <w:tcBorders>
                    <w:tl2br w:val="nil"/>
                    <w:tr2bl w:val="nil"/>
                  </w:tcBorders>
                  <w:noWrap w:val="0"/>
                  <w:tcMar>
                    <w:left w:w="11" w:type="dxa"/>
                    <w:right w:w="11" w:type="dxa"/>
                  </w:tcMar>
                  <w:vAlign w:val="center"/>
                </w:tcPr>
                <w:p w14:paraId="34F4C4EF">
                  <w:pPr>
                    <w:pStyle w:val="123"/>
                    <w:spacing w:line="240" w:lineRule="auto"/>
                    <w:rPr>
                      <w:color w:val="FF0000"/>
                      <w:sz w:val="21"/>
                      <w:szCs w:val="21"/>
                    </w:rPr>
                  </w:pPr>
                </w:p>
              </w:tc>
              <w:tc>
                <w:tcPr>
                  <w:tcW w:w="778" w:type="dxa"/>
                  <w:vMerge w:val="continue"/>
                  <w:tcBorders>
                    <w:tl2br w:val="nil"/>
                    <w:tr2bl w:val="nil"/>
                  </w:tcBorders>
                  <w:noWrap w:val="0"/>
                  <w:vAlign w:val="center"/>
                </w:tcPr>
                <w:p w14:paraId="6B424724">
                  <w:pPr>
                    <w:pStyle w:val="123"/>
                    <w:spacing w:line="240" w:lineRule="auto"/>
                    <w:rPr>
                      <w:color w:val="FF0000"/>
                      <w:sz w:val="21"/>
                      <w:szCs w:val="21"/>
                    </w:rPr>
                  </w:pPr>
                </w:p>
              </w:tc>
              <w:tc>
                <w:tcPr>
                  <w:tcW w:w="315" w:type="dxa"/>
                  <w:vMerge w:val="continue"/>
                  <w:tcBorders>
                    <w:tl2br w:val="nil"/>
                    <w:tr2bl w:val="nil"/>
                  </w:tcBorders>
                  <w:noWrap w:val="0"/>
                  <w:vAlign w:val="center"/>
                </w:tcPr>
                <w:p w14:paraId="4BE632FA">
                  <w:pPr>
                    <w:pStyle w:val="123"/>
                    <w:spacing w:line="240" w:lineRule="auto"/>
                    <w:rPr>
                      <w:color w:val="FF0000"/>
                      <w:sz w:val="21"/>
                      <w:szCs w:val="21"/>
                    </w:rPr>
                  </w:pPr>
                </w:p>
              </w:tc>
              <w:tc>
                <w:tcPr>
                  <w:tcW w:w="423" w:type="dxa"/>
                  <w:tcBorders>
                    <w:tl2br w:val="nil"/>
                    <w:tr2bl w:val="nil"/>
                  </w:tcBorders>
                  <w:noWrap w:val="0"/>
                  <w:tcMar>
                    <w:left w:w="11" w:type="dxa"/>
                    <w:right w:w="11" w:type="dxa"/>
                  </w:tcMar>
                  <w:vAlign w:val="center"/>
                </w:tcPr>
                <w:p w14:paraId="55F6923E">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w:t>
                  </w:r>
                </w:p>
              </w:tc>
              <w:tc>
                <w:tcPr>
                  <w:tcW w:w="569" w:type="dxa"/>
                  <w:tcBorders>
                    <w:tl2br w:val="nil"/>
                    <w:tr2bl w:val="nil"/>
                  </w:tcBorders>
                  <w:noWrap w:val="0"/>
                  <w:tcMar>
                    <w:left w:w="11" w:type="dxa"/>
                    <w:right w:w="11" w:type="dxa"/>
                  </w:tcMar>
                  <w:vAlign w:val="center"/>
                </w:tcPr>
                <w:p w14:paraId="3B8422BE">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894" w:type="dxa"/>
                  <w:tcBorders>
                    <w:tl2br w:val="nil"/>
                    <w:tr2bl w:val="nil"/>
                  </w:tcBorders>
                  <w:noWrap w:val="0"/>
                  <w:tcMar>
                    <w:left w:w="11" w:type="dxa"/>
                    <w:right w:w="11" w:type="dxa"/>
                  </w:tcMar>
                  <w:vAlign w:val="center"/>
                </w:tcPr>
                <w:p w14:paraId="609EAC68">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60</w:t>
                  </w:r>
                </w:p>
              </w:tc>
              <w:tc>
                <w:tcPr>
                  <w:tcW w:w="511" w:type="dxa"/>
                  <w:vMerge w:val="continue"/>
                  <w:tcBorders>
                    <w:tl2br w:val="nil"/>
                    <w:tr2bl w:val="nil"/>
                  </w:tcBorders>
                  <w:noWrap w:val="0"/>
                  <w:vAlign w:val="center"/>
                </w:tcPr>
                <w:p w14:paraId="50BD2329">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3718AB5F">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5B5E8FF0">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w:t>
                  </w:r>
                </w:p>
              </w:tc>
            </w:tr>
            <w:tr w14:paraId="351BA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728" w:type="dxa"/>
                  <w:vMerge w:val="continue"/>
                  <w:tcBorders>
                    <w:tl2br w:val="nil"/>
                    <w:tr2bl w:val="nil"/>
                  </w:tcBorders>
                  <w:noWrap w:val="0"/>
                  <w:tcMar>
                    <w:left w:w="11" w:type="dxa"/>
                    <w:right w:w="11" w:type="dxa"/>
                  </w:tcMar>
                  <w:vAlign w:val="center"/>
                </w:tcPr>
                <w:p w14:paraId="6FC060C3">
                  <w:pPr>
                    <w:pStyle w:val="123"/>
                    <w:spacing w:line="240" w:lineRule="auto"/>
                    <w:rPr>
                      <w:color w:val="FF0000"/>
                      <w:sz w:val="21"/>
                      <w:szCs w:val="21"/>
                    </w:rPr>
                  </w:pPr>
                </w:p>
              </w:tc>
              <w:tc>
                <w:tcPr>
                  <w:tcW w:w="738" w:type="dxa"/>
                  <w:vMerge w:val="continue"/>
                  <w:tcBorders>
                    <w:tl2br w:val="nil"/>
                    <w:tr2bl w:val="nil"/>
                  </w:tcBorders>
                  <w:noWrap w:val="0"/>
                  <w:tcMar>
                    <w:left w:w="11" w:type="dxa"/>
                    <w:right w:w="11" w:type="dxa"/>
                  </w:tcMar>
                  <w:vAlign w:val="center"/>
                </w:tcPr>
                <w:p w14:paraId="2E16D3B7">
                  <w:pPr>
                    <w:pStyle w:val="123"/>
                    <w:spacing w:line="240" w:lineRule="auto"/>
                    <w:rPr>
                      <w:color w:val="FF0000"/>
                      <w:sz w:val="21"/>
                      <w:szCs w:val="21"/>
                    </w:rPr>
                  </w:pPr>
                </w:p>
              </w:tc>
              <w:tc>
                <w:tcPr>
                  <w:tcW w:w="871" w:type="dxa"/>
                  <w:vMerge w:val="continue"/>
                  <w:tcBorders>
                    <w:tl2br w:val="nil"/>
                    <w:tr2bl w:val="nil"/>
                  </w:tcBorders>
                  <w:noWrap w:val="0"/>
                  <w:vAlign w:val="center"/>
                </w:tcPr>
                <w:p w14:paraId="3F0E0F3B">
                  <w:pPr>
                    <w:pStyle w:val="123"/>
                    <w:spacing w:line="240" w:lineRule="auto"/>
                    <w:rPr>
                      <w:color w:val="FF0000"/>
                      <w:sz w:val="21"/>
                      <w:szCs w:val="21"/>
                    </w:rPr>
                  </w:pPr>
                </w:p>
              </w:tc>
              <w:tc>
                <w:tcPr>
                  <w:tcW w:w="577" w:type="dxa"/>
                  <w:vMerge w:val="continue"/>
                  <w:tcBorders>
                    <w:tl2br w:val="nil"/>
                    <w:tr2bl w:val="nil"/>
                  </w:tcBorders>
                  <w:noWrap w:val="0"/>
                  <w:tcMar>
                    <w:left w:w="11" w:type="dxa"/>
                    <w:right w:w="11" w:type="dxa"/>
                  </w:tcMar>
                  <w:vAlign w:val="center"/>
                </w:tcPr>
                <w:p w14:paraId="70CD4AF8">
                  <w:pPr>
                    <w:pStyle w:val="123"/>
                    <w:spacing w:line="240" w:lineRule="auto"/>
                    <w:rPr>
                      <w:color w:val="FF0000"/>
                      <w:sz w:val="21"/>
                      <w:szCs w:val="21"/>
                    </w:rPr>
                  </w:pPr>
                </w:p>
              </w:tc>
              <w:tc>
                <w:tcPr>
                  <w:tcW w:w="778" w:type="dxa"/>
                  <w:vMerge w:val="continue"/>
                  <w:tcBorders>
                    <w:tl2br w:val="nil"/>
                    <w:tr2bl w:val="nil"/>
                  </w:tcBorders>
                  <w:noWrap w:val="0"/>
                  <w:vAlign w:val="center"/>
                </w:tcPr>
                <w:p w14:paraId="3D12CEC2">
                  <w:pPr>
                    <w:pStyle w:val="123"/>
                    <w:spacing w:line="240" w:lineRule="auto"/>
                    <w:rPr>
                      <w:color w:val="FF0000"/>
                      <w:sz w:val="21"/>
                      <w:szCs w:val="21"/>
                    </w:rPr>
                  </w:pPr>
                </w:p>
              </w:tc>
              <w:tc>
                <w:tcPr>
                  <w:tcW w:w="315" w:type="dxa"/>
                  <w:vMerge w:val="continue"/>
                  <w:tcBorders>
                    <w:tl2br w:val="nil"/>
                    <w:tr2bl w:val="nil"/>
                  </w:tcBorders>
                  <w:noWrap w:val="0"/>
                  <w:vAlign w:val="center"/>
                </w:tcPr>
                <w:p w14:paraId="748DCA88">
                  <w:pPr>
                    <w:pStyle w:val="123"/>
                    <w:spacing w:line="240" w:lineRule="auto"/>
                    <w:rPr>
                      <w:color w:val="FF0000"/>
                      <w:sz w:val="21"/>
                      <w:szCs w:val="21"/>
                    </w:rPr>
                  </w:pPr>
                </w:p>
              </w:tc>
              <w:tc>
                <w:tcPr>
                  <w:tcW w:w="423" w:type="dxa"/>
                  <w:tcBorders>
                    <w:tl2br w:val="nil"/>
                    <w:tr2bl w:val="nil"/>
                  </w:tcBorders>
                  <w:noWrap w:val="0"/>
                  <w:tcMar>
                    <w:left w:w="11" w:type="dxa"/>
                    <w:right w:w="11" w:type="dxa"/>
                  </w:tcMar>
                  <w:vAlign w:val="center"/>
                </w:tcPr>
                <w:p w14:paraId="10501D98">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p>
              </w:tc>
              <w:tc>
                <w:tcPr>
                  <w:tcW w:w="569" w:type="dxa"/>
                  <w:tcBorders>
                    <w:tl2br w:val="nil"/>
                    <w:tr2bl w:val="nil"/>
                  </w:tcBorders>
                  <w:noWrap w:val="0"/>
                  <w:tcMar>
                    <w:left w:w="11" w:type="dxa"/>
                    <w:right w:w="11" w:type="dxa"/>
                  </w:tcMar>
                  <w:vAlign w:val="center"/>
                </w:tcPr>
                <w:p w14:paraId="273CFA88">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19</w:t>
                  </w:r>
                </w:p>
              </w:tc>
              <w:tc>
                <w:tcPr>
                  <w:tcW w:w="894" w:type="dxa"/>
                  <w:tcBorders>
                    <w:tl2br w:val="nil"/>
                    <w:tr2bl w:val="nil"/>
                  </w:tcBorders>
                  <w:noWrap w:val="0"/>
                  <w:tcMar>
                    <w:left w:w="11" w:type="dxa"/>
                    <w:right w:w="11" w:type="dxa"/>
                  </w:tcMar>
                  <w:vAlign w:val="center"/>
                </w:tcPr>
                <w:p w14:paraId="01187576">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54</w:t>
                  </w:r>
                </w:p>
              </w:tc>
              <w:tc>
                <w:tcPr>
                  <w:tcW w:w="511" w:type="dxa"/>
                  <w:vMerge w:val="continue"/>
                  <w:tcBorders>
                    <w:tl2br w:val="nil"/>
                    <w:tr2bl w:val="nil"/>
                  </w:tcBorders>
                  <w:noWrap w:val="0"/>
                  <w:vAlign w:val="center"/>
                </w:tcPr>
                <w:p w14:paraId="01D5C00C">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0E78C070">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18A47C4A">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r>
            <w:tr w14:paraId="45D4A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28" w:type="dxa"/>
                  <w:vMerge w:val="restart"/>
                  <w:tcBorders>
                    <w:tl2br w:val="nil"/>
                    <w:tr2bl w:val="nil"/>
                  </w:tcBorders>
                  <w:noWrap w:val="0"/>
                  <w:tcMar>
                    <w:left w:w="11" w:type="dxa"/>
                    <w:right w:w="11" w:type="dxa"/>
                  </w:tcMar>
                  <w:vAlign w:val="center"/>
                </w:tcPr>
                <w:p w14:paraId="5ACAC273">
                  <w:pPr>
                    <w:pStyle w:val="123"/>
                    <w:spacing w:line="240" w:lineRule="auto"/>
                    <w:rPr>
                      <w:rFonts w:hint="eastAsia" w:eastAsia="宋体"/>
                      <w:color w:val="FF0000"/>
                      <w:sz w:val="21"/>
                      <w:szCs w:val="21"/>
                      <w:lang w:val="en-US" w:eastAsia="zh-CN"/>
                    </w:rPr>
                  </w:pPr>
                  <w:r>
                    <w:rPr>
                      <w:rFonts w:hint="eastAsia"/>
                      <w:color w:val="000000" w:themeColor="text1"/>
                      <w:sz w:val="21"/>
                      <w:szCs w:val="21"/>
                      <w:lang w:val="en-US" w:eastAsia="zh-CN"/>
                      <w14:textFill>
                        <w14:solidFill>
                          <w14:schemeClr w14:val="tx1"/>
                        </w14:solidFill>
                      </w14:textFill>
                    </w:rPr>
                    <w:t>回水泵</w:t>
                  </w:r>
                </w:p>
              </w:tc>
              <w:tc>
                <w:tcPr>
                  <w:tcW w:w="738" w:type="dxa"/>
                  <w:vMerge w:val="restart"/>
                  <w:tcBorders>
                    <w:tl2br w:val="nil"/>
                    <w:tr2bl w:val="nil"/>
                  </w:tcBorders>
                  <w:noWrap w:val="0"/>
                  <w:tcMar>
                    <w:left w:w="11" w:type="dxa"/>
                    <w:right w:w="11" w:type="dxa"/>
                  </w:tcMar>
                  <w:vAlign w:val="center"/>
                </w:tcPr>
                <w:p w14:paraId="2F270F5D">
                  <w:pPr>
                    <w:pStyle w:val="123"/>
                    <w:spacing w:line="240" w:lineRule="auto"/>
                    <w:rPr>
                      <w:rFonts w:hint="default" w:eastAsia="宋体"/>
                      <w:color w:val="FF0000"/>
                      <w:sz w:val="21"/>
                      <w:szCs w:val="21"/>
                      <w:lang w:val="en-US" w:eastAsia="zh-CN"/>
                    </w:rPr>
                  </w:pPr>
                  <w:r>
                    <w:rPr>
                      <w:rFonts w:hint="eastAsia"/>
                      <w:color w:val="auto"/>
                      <w:sz w:val="21"/>
                      <w:szCs w:val="21"/>
                      <w:lang w:val="en-US" w:eastAsia="zh-CN"/>
                    </w:rPr>
                    <w:t>80</w:t>
                  </w:r>
                </w:p>
              </w:tc>
              <w:tc>
                <w:tcPr>
                  <w:tcW w:w="871" w:type="dxa"/>
                  <w:vMerge w:val="restart"/>
                  <w:tcBorders>
                    <w:tl2br w:val="nil"/>
                    <w:tr2bl w:val="nil"/>
                  </w:tcBorders>
                  <w:noWrap w:val="0"/>
                  <w:vAlign w:val="center"/>
                </w:tcPr>
                <w:p w14:paraId="2EB9A170">
                  <w:pPr>
                    <w:pStyle w:val="123"/>
                    <w:spacing w:line="240" w:lineRule="auto"/>
                    <w:rPr>
                      <w:color w:val="FF0000"/>
                      <w:sz w:val="21"/>
                      <w:szCs w:val="21"/>
                    </w:rPr>
                  </w:pPr>
                  <w:r>
                    <w:rPr>
                      <w:rFonts w:hint="eastAsia"/>
                      <w:color w:val="000000" w:themeColor="text1"/>
                      <w:sz w:val="21"/>
                      <w:szCs w:val="21"/>
                      <w:lang w:val="en-US" w:eastAsia="zh-CN"/>
                      <w14:textFill>
                        <w14:solidFill>
                          <w14:schemeClr w14:val="tx1"/>
                        </w14:solidFill>
                      </w14:textFill>
                    </w:rPr>
                    <w:t>基础减震</w:t>
                  </w:r>
                  <w:r>
                    <w:rPr>
                      <w:color w:val="000000" w:themeColor="text1"/>
                      <w:sz w:val="21"/>
                      <w:szCs w:val="21"/>
                      <w14:textFill>
                        <w14:solidFill>
                          <w14:schemeClr w14:val="tx1"/>
                        </w14:solidFill>
                      </w14:textFill>
                    </w:rPr>
                    <w:t>，厂房隔声</w:t>
                  </w:r>
                </w:p>
              </w:tc>
              <w:tc>
                <w:tcPr>
                  <w:tcW w:w="577" w:type="dxa"/>
                  <w:vMerge w:val="restart"/>
                  <w:tcBorders>
                    <w:tl2br w:val="nil"/>
                    <w:tr2bl w:val="nil"/>
                  </w:tcBorders>
                  <w:noWrap w:val="0"/>
                  <w:tcMar>
                    <w:left w:w="11" w:type="dxa"/>
                    <w:right w:w="11" w:type="dxa"/>
                  </w:tcMar>
                  <w:vAlign w:val="center"/>
                </w:tcPr>
                <w:p w14:paraId="6503820E">
                  <w:pPr>
                    <w:pStyle w:val="123"/>
                    <w:spacing w:line="240" w:lineRule="auto"/>
                    <w:rPr>
                      <w:rFonts w:hint="default" w:eastAsia="宋体"/>
                      <w:color w:val="auto"/>
                      <w:sz w:val="21"/>
                      <w:szCs w:val="21"/>
                      <w:lang w:val="en-US" w:eastAsia="zh-CN"/>
                    </w:rPr>
                  </w:pPr>
                  <w:r>
                    <w:rPr>
                      <w:rFonts w:hint="eastAsia"/>
                      <w:color w:val="auto"/>
                      <w:sz w:val="21"/>
                      <w:szCs w:val="21"/>
                      <w:lang w:val="en-US" w:eastAsia="zh-CN"/>
                    </w:rPr>
                    <w:t>5.82</w:t>
                  </w:r>
                </w:p>
              </w:tc>
              <w:tc>
                <w:tcPr>
                  <w:tcW w:w="778" w:type="dxa"/>
                  <w:vMerge w:val="restart"/>
                  <w:tcBorders>
                    <w:tl2br w:val="nil"/>
                    <w:tr2bl w:val="nil"/>
                  </w:tcBorders>
                  <w:noWrap w:val="0"/>
                  <w:vAlign w:val="center"/>
                </w:tcPr>
                <w:p w14:paraId="6F1CBB6D">
                  <w:pPr>
                    <w:pStyle w:val="123"/>
                    <w:spacing w:line="240" w:lineRule="auto"/>
                    <w:rPr>
                      <w:rFonts w:hint="default" w:eastAsia="宋体"/>
                      <w:color w:val="auto"/>
                      <w:sz w:val="21"/>
                      <w:szCs w:val="21"/>
                      <w:lang w:val="en-US" w:eastAsia="zh-CN"/>
                    </w:rPr>
                  </w:pPr>
                  <w:r>
                    <w:rPr>
                      <w:rFonts w:hint="eastAsia"/>
                      <w:color w:val="auto"/>
                      <w:sz w:val="21"/>
                      <w:szCs w:val="21"/>
                      <w:lang w:val="en-US" w:eastAsia="zh-CN"/>
                    </w:rPr>
                    <w:t>36.02</w:t>
                  </w:r>
                </w:p>
              </w:tc>
              <w:tc>
                <w:tcPr>
                  <w:tcW w:w="315" w:type="dxa"/>
                  <w:vMerge w:val="restart"/>
                  <w:tcBorders>
                    <w:tl2br w:val="nil"/>
                    <w:tr2bl w:val="nil"/>
                  </w:tcBorders>
                  <w:noWrap w:val="0"/>
                  <w:vAlign w:val="center"/>
                </w:tcPr>
                <w:p w14:paraId="1F109EAC">
                  <w:pPr>
                    <w:pStyle w:val="123"/>
                    <w:spacing w:line="240" w:lineRule="auto"/>
                    <w:rPr>
                      <w:rFonts w:hint="default" w:eastAsia="宋体"/>
                      <w:color w:val="auto"/>
                      <w:sz w:val="21"/>
                      <w:szCs w:val="21"/>
                      <w:lang w:val="en-US" w:eastAsia="zh-CN"/>
                    </w:rPr>
                  </w:pPr>
                  <w:r>
                    <w:rPr>
                      <w:rFonts w:hint="eastAsia"/>
                      <w:color w:val="auto"/>
                      <w:sz w:val="21"/>
                      <w:szCs w:val="21"/>
                      <w:lang w:val="en-US" w:eastAsia="zh-CN"/>
                    </w:rPr>
                    <w:t>6</w:t>
                  </w:r>
                </w:p>
              </w:tc>
              <w:tc>
                <w:tcPr>
                  <w:tcW w:w="423" w:type="dxa"/>
                  <w:tcBorders>
                    <w:tl2br w:val="nil"/>
                    <w:tr2bl w:val="nil"/>
                  </w:tcBorders>
                  <w:noWrap w:val="0"/>
                  <w:tcMar>
                    <w:left w:w="11" w:type="dxa"/>
                    <w:right w:w="11" w:type="dxa"/>
                  </w:tcMar>
                  <w:vAlign w:val="center"/>
                </w:tcPr>
                <w:p w14:paraId="4E63CF9A">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569" w:type="dxa"/>
                  <w:tcBorders>
                    <w:tl2br w:val="nil"/>
                    <w:tr2bl w:val="nil"/>
                  </w:tcBorders>
                  <w:noWrap w:val="0"/>
                  <w:tcMar>
                    <w:left w:w="11" w:type="dxa"/>
                    <w:right w:w="11" w:type="dxa"/>
                  </w:tcMar>
                  <w:vAlign w:val="center"/>
                </w:tcPr>
                <w:p w14:paraId="5D07BC94">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894" w:type="dxa"/>
                  <w:tcBorders>
                    <w:tl2br w:val="nil"/>
                    <w:tr2bl w:val="nil"/>
                  </w:tcBorders>
                  <w:noWrap w:val="0"/>
                  <w:tcMar>
                    <w:left w:w="11" w:type="dxa"/>
                    <w:right w:w="11" w:type="dxa"/>
                  </w:tcMar>
                  <w:vAlign w:val="center"/>
                </w:tcPr>
                <w:p w14:paraId="03649E2E">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68</w:t>
                  </w:r>
                </w:p>
              </w:tc>
              <w:tc>
                <w:tcPr>
                  <w:tcW w:w="511" w:type="dxa"/>
                  <w:vMerge w:val="restart"/>
                  <w:tcBorders>
                    <w:tl2br w:val="nil"/>
                    <w:tr2bl w:val="nil"/>
                  </w:tcBorders>
                  <w:noWrap w:val="0"/>
                  <w:vAlign w:val="center"/>
                </w:tcPr>
                <w:p w14:paraId="240FA1B8">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昼夜</w:t>
                  </w:r>
                </w:p>
              </w:tc>
              <w:tc>
                <w:tcPr>
                  <w:tcW w:w="932" w:type="dxa"/>
                  <w:vMerge w:val="restart"/>
                  <w:tcBorders>
                    <w:tl2br w:val="nil"/>
                    <w:tr2bl w:val="nil"/>
                  </w:tcBorders>
                  <w:noWrap w:val="0"/>
                  <w:vAlign w:val="center"/>
                </w:tcPr>
                <w:p w14:paraId="5F493218">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w:t>
                  </w:r>
                </w:p>
              </w:tc>
              <w:tc>
                <w:tcPr>
                  <w:tcW w:w="1032" w:type="dxa"/>
                  <w:tcBorders>
                    <w:tl2br w:val="nil"/>
                    <w:tr2bl w:val="nil"/>
                  </w:tcBorders>
                  <w:noWrap w:val="0"/>
                  <w:vAlign w:val="center"/>
                </w:tcPr>
                <w:p w14:paraId="4C5BD310">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w:t>
                  </w:r>
                </w:p>
              </w:tc>
            </w:tr>
            <w:tr w14:paraId="42CD4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728" w:type="dxa"/>
                  <w:vMerge w:val="continue"/>
                  <w:tcBorders>
                    <w:tl2br w:val="nil"/>
                    <w:tr2bl w:val="nil"/>
                  </w:tcBorders>
                  <w:noWrap w:val="0"/>
                  <w:tcMar>
                    <w:left w:w="11" w:type="dxa"/>
                    <w:right w:w="11" w:type="dxa"/>
                  </w:tcMar>
                  <w:vAlign w:val="center"/>
                </w:tcPr>
                <w:p w14:paraId="1570FE2B">
                  <w:pPr>
                    <w:pStyle w:val="123"/>
                    <w:spacing w:line="240" w:lineRule="auto"/>
                    <w:rPr>
                      <w:color w:val="FF0000"/>
                      <w:sz w:val="21"/>
                      <w:szCs w:val="21"/>
                    </w:rPr>
                  </w:pPr>
                </w:p>
              </w:tc>
              <w:tc>
                <w:tcPr>
                  <w:tcW w:w="738" w:type="dxa"/>
                  <w:vMerge w:val="continue"/>
                  <w:tcBorders>
                    <w:tl2br w:val="nil"/>
                    <w:tr2bl w:val="nil"/>
                  </w:tcBorders>
                  <w:noWrap w:val="0"/>
                  <w:tcMar>
                    <w:left w:w="11" w:type="dxa"/>
                    <w:right w:w="11" w:type="dxa"/>
                  </w:tcMar>
                  <w:vAlign w:val="center"/>
                </w:tcPr>
                <w:p w14:paraId="38747F72">
                  <w:pPr>
                    <w:pStyle w:val="123"/>
                    <w:spacing w:line="240" w:lineRule="auto"/>
                    <w:rPr>
                      <w:color w:val="FF0000"/>
                      <w:sz w:val="21"/>
                      <w:szCs w:val="21"/>
                    </w:rPr>
                  </w:pPr>
                </w:p>
              </w:tc>
              <w:tc>
                <w:tcPr>
                  <w:tcW w:w="871" w:type="dxa"/>
                  <w:vMerge w:val="continue"/>
                  <w:tcBorders>
                    <w:tl2br w:val="nil"/>
                    <w:tr2bl w:val="nil"/>
                  </w:tcBorders>
                  <w:noWrap w:val="0"/>
                  <w:vAlign w:val="center"/>
                </w:tcPr>
                <w:p w14:paraId="6CC565C5">
                  <w:pPr>
                    <w:pStyle w:val="123"/>
                    <w:spacing w:line="240" w:lineRule="auto"/>
                    <w:rPr>
                      <w:color w:val="FF0000"/>
                      <w:sz w:val="21"/>
                      <w:szCs w:val="21"/>
                    </w:rPr>
                  </w:pPr>
                </w:p>
              </w:tc>
              <w:tc>
                <w:tcPr>
                  <w:tcW w:w="577" w:type="dxa"/>
                  <w:vMerge w:val="continue"/>
                  <w:tcBorders>
                    <w:tl2br w:val="nil"/>
                    <w:tr2bl w:val="nil"/>
                  </w:tcBorders>
                  <w:noWrap w:val="0"/>
                  <w:tcMar>
                    <w:left w:w="11" w:type="dxa"/>
                    <w:right w:w="11" w:type="dxa"/>
                  </w:tcMar>
                  <w:vAlign w:val="center"/>
                </w:tcPr>
                <w:p w14:paraId="2166246A">
                  <w:pPr>
                    <w:pStyle w:val="123"/>
                    <w:spacing w:line="240" w:lineRule="auto"/>
                    <w:rPr>
                      <w:color w:val="FF0000"/>
                      <w:sz w:val="21"/>
                      <w:szCs w:val="21"/>
                    </w:rPr>
                  </w:pPr>
                </w:p>
              </w:tc>
              <w:tc>
                <w:tcPr>
                  <w:tcW w:w="778" w:type="dxa"/>
                  <w:vMerge w:val="continue"/>
                  <w:tcBorders>
                    <w:tl2br w:val="nil"/>
                    <w:tr2bl w:val="nil"/>
                  </w:tcBorders>
                  <w:noWrap w:val="0"/>
                  <w:vAlign w:val="center"/>
                </w:tcPr>
                <w:p w14:paraId="09AF2789">
                  <w:pPr>
                    <w:pStyle w:val="123"/>
                    <w:spacing w:line="240" w:lineRule="auto"/>
                    <w:rPr>
                      <w:color w:val="FF0000"/>
                      <w:sz w:val="21"/>
                      <w:szCs w:val="21"/>
                    </w:rPr>
                  </w:pPr>
                </w:p>
              </w:tc>
              <w:tc>
                <w:tcPr>
                  <w:tcW w:w="315" w:type="dxa"/>
                  <w:vMerge w:val="continue"/>
                  <w:tcBorders>
                    <w:tl2br w:val="nil"/>
                    <w:tr2bl w:val="nil"/>
                  </w:tcBorders>
                  <w:noWrap w:val="0"/>
                  <w:vAlign w:val="center"/>
                </w:tcPr>
                <w:p w14:paraId="0A37AD37">
                  <w:pPr>
                    <w:pStyle w:val="123"/>
                    <w:spacing w:line="240" w:lineRule="auto"/>
                    <w:rPr>
                      <w:color w:val="FF0000"/>
                      <w:sz w:val="21"/>
                      <w:szCs w:val="21"/>
                    </w:rPr>
                  </w:pPr>
                </w:p>
              </w:tc>
              <w:tc>
                <w:tcPr>
                  <w:tcW w:w="423" w:type="dxa"/>
                  <w:tcBorders>
                    <w:tl2br w:val="nil"/>
                    <w:tr2bl w:val="nil"/>
                  </w:tcBorders>
                  <w:noWrap w:val="0"/>
                  <w:tcMar>
                    <w:left w:w="11" w:type="dxa"/>
                    <w:right w:w="11" w:type="dxa"/>
                  </w:tcMar>
                  <w:vAlign w:val="center"/>
                </w:tcPr>
                <w:p w14:paraId="4000C706">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p>
              </w:tc>
              <w:tc>
                <w:tcPr>
                  <w:tcW w:w="569" w:type="dxa"/>
                  <w:tcBorders>
                    <w:tl2br w:val="nil"/>
                    <w:tr2bl w:val="nil"/>
                  </w:tcBorders>
                  <w:noWrap w:val="0"/>
                  <w:tcMar>
                    <w:left w:w="11" w:type="dxa"/>
                    <w:right w:w="11" w:type="dxa"/>
                  </w:tcMar>
                  <w:vAlign w:val="center"/>
                </w:tcPr>
                <w:p w14:paraId="7001F45A">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894" w:type="dxa"/>
                  <w:tcBorders>
                    <w:tl2br w:val="nil"/>
                    <w:tr2bl w:val="nil"/>
                  </w:tcBorders>
                  <w:noWrap w:val="0"/>
                  <w:tcMar>
                    <w:left w:w="11" w:type="dxa"/>
                    <w:right w:w="11" w:type="dxa"/>
                  </w:tcMar>
                  <w:vAlign w:val="center"/>
                </w:tcPr>
                <w:p w14:paraId="273A01B2">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57</w:t>
                  </w:r>
                </w:p>
              </w:tc>
              <w:tc>
                <w:tcPr>
                  <w:tcW w:w="511" w:type="dxa"/>
                  <w:vMerge w:val="continue"/>
                  <w:tcBorders>
                    <w:tl2br w:val="nil"/>
                    <w:tr2bl w:val="nil"/>
                  </w:tcBorders>
                  <w:noWrap w:val="0"/>
                  <w:vAlign w:val="center"/>
                </w:tcPr>
                <w:p w14:paraId="229AE309">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084F923C">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38100D29">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w:t>
                  </w:r>
                </w:p>
              </w:tc>
            </w:tr>
            <w:tr w14:paraId="44560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728" w:type="dxa"/>
                  <w:vMerge w:val="continue"/>
                  <w:tcBorders>
                    <w:tl2br w:val="nil"/>
                    <w:tr2bl w:val="nil"/>
                  </w:tcBorders>
                  <w:noWrap w:val="0"/>
                  <w:tcMar>
                    <w:left w:w="11" w:type="dxa"/>
                    <w:right w:w="11" w:type="dxa"/>
                  </w:tcMar>
                  <w:vAlign w:val="center"/>
                </w:tcPr>
                <w:p w14:paraId="186C8683">
                  <w:pPr>
                    <w:pStyle w:val="123"/>
                    <w:spacing w:line="240" w:lineRule="auto"/>
                    <w:rPr>
                      <w:color w:val="FF0000"/>
                      <w:sz w:val="21"/>
                      <w:szCs w:val="21"/>
                    </w:rPr>
                  </w:pPr>
                </w:p>
              </w:tc>
              <w:tc>
                <w:tcPr>
                  <w:tcW w:w="738" w:type="dxa"/>
                  <w:vMerge w:val="continue"/>
                  <w:tcBorders>
                    <w:tl2br w:val="nil"/>
                    <w:tr2bl w:val="nil"/>
                  </w:tcBorders>
                  <w:noWrap w:val="0"/>
                  <w:tcMar>
                    <w:left w:w="11" w:type="dxa"/>
                    <w:right w:w="11" w:type="dxa"/>
                  </w:tcMar>
                  <w:vAlign w:val="center"/>
                </w:tcPr>
                <w:p w14:paraId="4BFE3DFD">
                  <w:pPr>
                    <w:pStyle w:val="123"/>
                    <w:spacing w:line="240" w:lineRule="auto"/>
                    <w:rPr>
                      <w:color w:val="FF0000"/>
                      <w:sz w:val="21"/>
                      <w:szCs w:val="21"/>
                    </w:rPr>
                  </w:pPr>
                </w:p>
              </w:tc>
              <w:tc>
                <w:tcPr>
                  <w:tcW w:w="871" w:type="dxa"/>
                  <w:vMerge w:val="continue"/>
                  <w:tcBorders>
                    <w:tl2br w:val="nil"/>
                    <w:tr2bl w:val="nil"/>
                  </w:tcBorders>
                  <w:noWrap w:val="0"/>
                  <w:vAlign w:val="center"/>
                </w:tcPr>
                <w:p w14:paraId="63A7DA32">
                  <w:pPr>
                    <w:pStyle w:val="123"/>
                    <w:spacing w:line="240" w:lineRule="auto"/>
                    <w:rPr>
                      <w:color w:val="FF0000"/>
                      <w:sz w:val="21"/>
                      <w:szCs w:val="21"/>
                    </w:rPr>
                  </w:pPr>
                </w:p>
              </w:tc>
              <w:tc>
                <w:tcPr>
                  <w:tcW w:w="577" w:type="dxa"/>
                  <w:vMerge w:val="continue"/>
                  <w:tcBorders>
                    <w:tl2br w:val="nil"/>
                    <w:tr2bl w:val="nil"/>
                  </w:tcBorders>
                  <w:noWrap w:val="0"/>
                  <w:tcMar>
                    <w:left w:w="11" w:type="dxa"/>
                    <w:right w:w="11" w:type="dxa"/>
                  </w:tcMar>
                  <w:vAlign w:val="center"/>
                </w:tcPr>
                <w:p w14:paraId="6F09DB68">
                  <w:pPr>
                    <w:pStyle w:val="123"/>
                    <w:spacing w:line="240" w:lineRule="auto"/>
                    <w:rPr>
                      <w:color w:val="FF0000"/>
                      <w:sz w:val="21"/>
                      <w:szCs w:val="21"/>
                    </w:rPr>
                  </w:pPr>
                </w:p>
              </w:tc>
              <w:tc>
                <w:tcPr>
                  <w:tcW w:w="778" w:type="dxa"/>
                  <w:vMerge w:val="continue"/>
                  <w:tcBorders>
                    <w:tl2br w:val="nil"/>
                    <w:tr2bl w:val="nil"/>
                  </w:tcBorders>
                  <w:noWrap w:val="0"/>
                  <w:vAlign w:val="center"/>
                </w:tcPr>
                <w:p w14:paraId="58D13FD1">
                  <w:pPr>
                    <w:pStyle w:val="123"/>
                    <w:spacing w:line="240" w:lineRule="auto"/>
                    <w:rPr>
                      <w:color w:val="FF0000"/>
                      <w:sz w:val="21"/>
                      <w:szCs w:val="21"/>
                    </w:rPr>
                  </w:pPr>
                </w:p>
              </w:tc>
              <w:tc>
                <w:tcPr>
                  <w:tcW w:w="315" w:type="dxa"/>
                  <w:vMerge w:val="continue"/>
                  <w:tcBorders>
                    <w:tl2br w:val="nil"/>
                    <w:tr2bl w:val="nil"/>
                  </w:tcBorders>
                  <w:noWrap w:val="0"/>
                  <w:vAlign w:val="center"/>
                </w:tcPr>
                <w:p w14:paraId="6FE43CC2">
                  <w:pPr>
                    <w:pStyle w:val="123"/>
                    <w:spacing w:line="240" w:lineRule="auto"/>
                    <w:rPr>
                      <w:color w:val="FF0000"/>
                      <w:sz w:val="21"/>
                      <w:szCs w:val="21"/>
                    </w:rPr>
                  </w:pPr>
                </w:p>
              </w:tc>
              <w:tc>
                <w:tcPr>
                  <w:tcW w:w="423" w:type="dxa"/>
                  <w:tcBorders>
                    <w:tl2br w:val="nil"/>
                    <w:tr2bl w:val="nil"/>
                  </w:tcBorders>
                  <w:noWrap w:val="0"/>
                  <w:tcMar>
                    <w:left w:w="11" w:type="dxa"/>
                    <w:right w:w="11" w:type="dxa"/>
                  </w:tcMar>
                  <w:vAlign w:val="center"/>
                </w:tcPr>
                <w:p w14:paraId="19941BDC">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w:t>
                  </w:r>
                </w:p>
              </w:tc>
              <w:tc>
                <w:tcPr>
                  <w:tcW w:w="569" w:type="dxa"/>
                  <w:tcBorders>
                    <w:tl2br w:val="nil"/>
                    <w:tr2bl w:val="nil"/>
                  </w:tcBorders>
                  <w:noWrap w:val="0"/>
                  <w:tcMar>
                    <w:left w:w="11" w:type="dxa"/>
                    <w:right w:w="11" w:type="dxa"/>
                  </w:tcMar>
                  <w:vAlign w:val="center"/>
                </w:tcPr>
                <w:p w14:paraId="46CB3997">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894" w:type="dxa"/>
                  <w:tcBorders>
                    <w:tl2br w:val="nil"/>
                    <w:tr2bl w:val="nil"/>
                  </w:tcBorders>
                  <w:noWrap w:val="0"/>
                  <w:tcMar>
                    <w:left w:w="11" w:type="dxa"/>
                    <w:right w:w="11" w:type="dxa"/>
                  </w:tcMar>
                  <w:vAlign w:val="center"/>
                </w:tcPr>
                <w:p w14:paraId="69B0F6C7">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59</w:t>
                  </w:r>
                </w:p>
              </w:tc>
              <w:tc>
                <w:tcPr>
                  <w:tcW w:w="511" w:type="dxa"/>
                  <w:vMerge w:val="continue"/>
                  <w:tcBorders>
                    <w:tl2br w:val="nil"/>
                    <w:tr2bl w:val="nil"/>
                  </w:tcBorders>
                  <w:noWrap w:val="0"/>
                  <w:vAlign w:val="center"/>
                </w:tcPr>
                <w:p w14:paraId="74070E2A">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0BCA42CB">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698BB542">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p>
              </w:tc>
            </w:tr>
            <w:tr w14:paraId="7CE01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728" w:type="dxa"/>
                  <w:vMerge w:val="continue"/>
                  <w:tcBorders>
                    <w:tl2br w:val="nil"/>
                    <w:tr2bl w:val="nil"/>
                  </w:tcBorders>
                  <w:noWrap w:val="0"/>
                  <w:tcMar>
                    <w:left w:w="11" w:type="dxa"/>
                    <w:right w:w="11" w:type="dxa"/>
                  </w:tcMar>
                  <w:vAlign w:val="center"/>
                </w:tcPr>
                <w:p w14:paraId="0CF4D761">
                  <w:pPr>
                    <w:pStyle w:val="123"/>
                    <w:spacing w:line="240" w:lineRule="auto"/>
                    <w:rPr>
                      <w:color w:val="FF0000"/>
                      <w:sz w:val="21"/>
                      <w:szCs w:val="21"/>
                    </w:rPr>
                  </w:pPr>
                </w:p>
              </w:tc>
              <w:tc>
                <w:tcPr>
                  <w:tcW w:w="738" w:type="dxa"/>
                  <w:vMerge w:val="continue"/>
                  <w:tcBorders>
                    <w:tl2br w:val="nil"/>
                    <w:tr2bl w:val="nil"/>
                  </w:tcBorders>
                  <w:noWrap w:val="0"/>
                  <w:tcMar>
                    <w:left w:w="11" w:type="dxa"/>
                    <w:right w:w="11" w:type="dxa"/>
                  </w:tcMar>
                  <w:vAlign w:val="center"/>
                </w:tcPr>
                <w:p w14:paraId="34744884">
                  <w:pPr>
                    <w:pStyle w:val="123"/>
                    <w:spacing w:line="240" w:lineRule="auto"/>
                    <w:rPr>
                      <w:color w:val="FF0000"/>
                      <w:sz w:val="21"/>
                      <w:szCs w:val="21"/>
                    </w:rPr>
                  </w:pPr>
                </w:p>
              </w:tc>
              <w:tc>
                <w:tcPr>
                  <w:tcW w:w="871" w:type="dxa"/>
                  <w:vMerge w:val="continue"/>
                  <w:tcBorders>
                    <w:tl2br w:val="nil"/>
                    <w:tr2bl w:val="nil"/>
                  </w:tcBorders>
                  <w:noWrap w:val="0"/>
                  <w:vAlign w:val="center"/>
                </w:tcPr>
                <w:p w14:paraId="21C1705B">
                  <w:pPr>
                    <w:pStyle w:val="123"/>
                    <w:spacing w:line="240" w:lineRule="auto"/>
                    <w:rPr>
                      <w:color w:val="FF0000"/>
                      <w:sz w:val="21"/>
                      <w:szCs w:val="21"/>
                    </w:rPr>
                  </w:pPr>
                </w:p>
              </w:tc>
              <w:tc>
                <w:tcPr>
                  <w:tcW w:w="577" w:type="dxa"/>
                  <w:vMerge w:val="continue"/>
                  <w:tcBorders>
                    <w:tl2br w:val="nil"/>
                    <w:tr2bl w:val="nil"/>
                  </w:tcBorders>
                  <w:noWrap w:val="0"/>
                  <w:tcMar>
                    <w:left w:w="11" w:type="dxa"/>
                    <w:right w:w="11" w:type="dxa"/>
                  </w:tcMar>
                  <w:vAlign w:val="center"/>
                </w:tcPr>
                <w:p w14:paraId="1966CC9D">
                  <w:pPr>
                    <w:pStyle w:val="123"/>
                    <w:spacing w:line="240" w:lineRule="auto"/>
                    <w:rPr>
                      <w:color w:val="FF0000"/>
                      <w:sz w:val="21"/>
                      <w:szCs w:val="21"/>
                    </w:rPr>
                  </w:pPr>
                </w:p>
              </w:tc>
              <w:tc>
                <w:tcPr>
                  <w:tcW w:w="778" w:type="dxa"/>
                  <w:vMerge w:val="continue"/>
                  <w:tcBorders>
                    <w:tl2br w:val="nil"/>
                    <w:tr2bl w:val="nil"/>
                  </w:tcBorders>
                  <w:noWrap w:val="0"/>
                  <w:vAlign w:val="center"/>
                </w:tcPr>
                <w:p w14:paraId="42358DC4">
                  <w:pPr>
                    <w:pStyle w:val="123"/>
                    <w:spacing w:line="240" w:lineRule="auto"/>
                    <w:rPr>
                      <w:color w:val="FF0000"/>
                      <w:sz w:val="21"/>
                      <w:szCs w:val="21"/>
                    </w:rPr>
                  </w:pPr>
                </w:p>
              </w:tc>
              <w:tc>
                <w:tcPr>
                  <w:tcW w:w="315" w:type="dxa"/>
                  <w:vMerge w:val="continue"/>
                  <w:tcBorders>
                    <w:tl2br w:val="nil"/>
                    <w:tr2bl w:val="nil"/>
                  </w:tcBorders>
                  <w:noWrap w:val="0"/>
                  <w:vAlign w:val="center"/>
                </w:tcPr>
                <w:p w14:paraId="77EB217F">
                  <w:pPr>
                    <w:pStyle w:val="123"/>
                    <w:spacing w:line="240" w:lineRule="auto"/>
                    <w:rPr>
                      <w:color w:val="FF0000"/>
                      <w:sz w:val="21"/>
                      <w:szCs w:val="21"/>
                    </w:rPr>
                  </w:pPr>
                </w:p>
              </w:tc>
              <w:tc>
                <w:tcPr>
                  <w:tcW w:w="423" w:type="dxa"/>
                  <w:tcBorders>
                    <w:tl2br w:val="nil"/>
                    <w:tr2bl w:val="nil"/>
                  </w:tcBorders>
                  <w:noWrap w:val="0"/>
                  <w:tcMar>
                    <w:left w:w="11" w:type="dxa"/>
                    <w:right w:w="11" w:type="dxa"/>
                  </w:tcMar>
                  <w:vAlign w:val="center"/>
                </w:tcPr>
                <w:p w14:paraId="663AC271">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p>
              </w:tc>
              <w:tc>
                <w:tcPr>
                  <w:tcW w:w="569" w:type="dxa"/>
                  <w:tcBorders>
                    <w:tl2br w:val="nil"/>
                    <w:tr2bl w:val="nil"/>
                  </w:tcBorders>
                  <w:noWrap w:val="0"/>
                  <w:tcMar>
                    <w:left w:w="11" w:type="dxa"/>
                    <w:right w:w="11" w:type="dxa"/>
                  </w:tcMar>
                  <w:vAlign w:val="center"/>
                </w:tcPr>
                <w:p w14:paraId="0E4FBFA9">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894" w:type="dxa"/>
                  <w:tcBorders>
                    <w:tl2br w:val="nil"/>
                    <w:tr2bl w:val="nil"/>
                  </w:tcBorders>
                  <w:noWrap w:val="0"/>
                  <w:tcMar>
                    <w:left w:w="11" w:type="dxa"/>
                    <w:right w:w="11" w:type="dxa"/>
                  </w:tcMar>
                  <w:vAlign w:val="center"/>
                </w:tcPr>
                <w:p w14:paraId="4041554C">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58</w:t>
                  </w:r>
                </w:p>
              </w:tc>
              <w:tc>
                <w:tcPr>
                  <w:tcW w:w="511" w:type="dxa"/>
                  <w:vMerge w:val="continue"/>
                  <w:tcBorders>
                    <w:tl2br w:val="nil"/>
                    <w:tr2bl w:val="nil"/>
                  </w:tcBorders>
                  <w:noWrap w:val="0"/>
                  <w:vAlign w:val="center"/>
                </w:tcPr>
                <w:p w14:paraId="125D5A02">
                  <w:pPr>
                    <w:jc w:val="center"/>
                    <w:rPr>
                      <w:color w:val="000000" w:themeColor="text1"/>
                      <w:sz w:val="21"/>
                      <w:szCs w:val="21"/>
                      <w14:textFill>
                        <w14:solidFill>
                          <w14:schemeClr w14:val="tx1"/>
                        </w14:solidFill>
                      </w14:textFill>
                    </w:rPr>
                  </w:pPr>
                </w:p>
              </w:tc>
              <w:tc>
                <w:tcPr>
                  <w:tcW w:w="932" w:type="dxa"/>
                  <w:vMerge w:val="continue"/>
                  <w:tcBorders>
                    <w:tl2br w:val="nil"/>
                    <w:tr2bl w:val="nil"/>
                  </w:tcBorders>
                  <w:noWrap w:val="0"/>
                  <w:vAlign w:val="center"/>
                </w:tcPr>
                <w:p w14:paraId="4E07581B">
                  <w:pPr>
                    <w:jc w:val="center"/>
                    <w:rPr>
                      <w:color w:val="000000" w:themeColor="text1"/>
                      <w:sz w:val="21"/>
                      <w:szCs w:val="21"/>
                      <w14:textFill>
                        <w14:solidFill>
                          <w14:schemeClr w14:val="tx1"/>
                        </w14:solidFill>
                      </w14:textFill>
                    </w:rPr>
                  </w:pPr>
                </w:p>
              </w:tc>
              <w:tc>
                <w:tcPr>
                  <w:tcW w:w="1032" w:type="dxa"/>
                  <w:tcBorders>
                    <w:tl2br w:val="nil"/>
                    <w:tr2bl w:val="nil"/>
                  </w:tcBorders>
                  <w:noWrap w:val="0"/>
                  <w:vAlign w:val="center"/>
                </w:tcPr>
                <w:p w14:paraId="6D19638F">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r>
            <w:tr w14:paraId="22888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28" w:type="dxa"/>
                  <w:vMerge w:val="restart"/>
                  <w:tcBorders>
                    <w:tl2br w:val="nil"/>
                    <w:tr2bl w:val="nil"/>
                  </w:tcBorders>
                  <w:noWrap w:val="0"/>
                  <w:tcMar>
                    <w:left w:w="11" w:type="dxa"/>
                    <w:right w:w="11" w:type="dxa"/>
                  </w:tcMar>
                  <w:vAlign w:val="center"/>
                </w:tcPr>
                <w:p w14:paraId="27A4ACFD">
                  <w:pPr>
                    <w:pStyle w:val="123"/>
                    <w:spacing w:line="240" w:lineRule="auto"/>
                    <w:rPr>
                      <w:rFonts w:hint="eastAsia" w:eastAsia="宋体"/>
                      <w:color w:val="FF0000"/>
                      <w:sz w:val="21"/>
                      <w:szCs w:val="21"/>
                      <w:lang w:val="en-US" w:eastAsia="zh-CN"/>
                    </w:rPr>
                  </w:pPr>
                  <w:r>
                    <w:rPr>
                      <w:rFonts w:hint="eastAsia"/>
                      <w:lang w:val="en-US" w:eastAsia="zh-CN"/>
                    </w:rPr>
                    <w:t>覆膜袋式除尘器（2#）</w:t>
                  </w:r>
                </w:p>
              </w:tc>
              <w:tc>
                <w:tcPr>
                  <w:tcW w:w="738" w:type="dxa"/>
                  <w:vMerge w:val="restart"/>
                  <w:tcBorders>
                    <w:tl2br w:val="nil"/>
                    <w:tr2bl w:val="nil"/>
                  </w:tcBorders>
                  <w:noWrap w:val="0"/>
                  <w:tcMar>
                    <w:left w:w="11" w:type="dxa"/>
                    <w:right w:w="11" w:type="dxa"/>
                  </w:tcMar>
                  <w:vAlign w:val="center"/>
                </w:tcPr>
                <w:p w14:paraId="61084A35">
                  <w:pPr>
                    <w:pStyle w:val="123"/>
                    <w:spacing w:line="240" w:lineRule="auto"/>
                    <w:rPr>
                      <w:rFonts w:hint="default" w:eastAsia="宋体"/>
                      <w:color w:val="FF0000"/>
                      <w:sz w:val="21"/>
                      <w:szCs w:val="21"/>
                      <w:lang w:val="en-US" w:eastAsia="zh-CN"/>
                    </w:rPr>
                  </w:pPr>
                  <w:r>
                    <w:rPr>
                      <w:rFonts w:hint="eastAsia"/>
                      <w:color w:val="auto"/>
                      <w:sz w:val="21"/>
                      <w:szCs w:val="21"/>
                      <w:lang w:val="en-US" w:eastAsia="zh-CN"/>
                    </w:rPr>
                    <w:t>80</w:t>
                  </w:r>
                </w:p>
              </w:tc>
              <w:tc>
                <w:tcPr>
                  <w:tcW w:w="871" w:type="dxa"/>
                  <w:vMerge w:val="restart"/>
                  <w:tcBorders>
                    <w:tl2br w:val="nil"/>
                    <w:tr2bl w:val="nil"/>
                  </w:tcBorders>
                  <w:noWrap w:val="0"/>
                  <w:vAlign w:val="center"/>
                </w:tcPr>
                <w:p w14:paraId="1D2D8B55">
                  <w:pPr>
                    <w:pStyle w:val="123"/>
                    <w:spacing w:line="240" w:lineRule="auto"/>
                    <w:rPr>
                      <w:color w:val="FF0000"/>
                      <w:sz w:val="21"/>
                      <w:szCs w:val="21"/>
                    </w:rPr>
                  </w:pPr>
                  <w:r>
                    <w:rPr>
                      <w:rFonts w:hint="eastAsia"/>
                      <w:color w:val="000000" w:themeColor="text1"/>
                      <w:sz w:val="21"/>
                      <w:szCs w:val="21"/>
                      <w:lang w:val="en-US" w:eastAsia="zh-CN"/>
                      <w14:textFill>
                        <w14:solidFill>
                          <w14:schemeClr w14:val="tx1"/>
                        </w14:solidFill>
                      </w14:textFill>
                    </w:rPr>
                    <w:t>基础减震</w:t>
                  </w:r>
                  <w:r>
                    <w:rPr>
                      <w:color w:val="000000" w:themeColor="text1"/>
                      <w:sz w:val="21"/>
                      <w:szCs w:val="21"/>
                      <w14:textFill>
                        <w14:solidFill>
                          <w14:schemeClr w14:val="tx1"/>
                        </w14:solidFill>
                      </w14:textFill>
                    </w:rPr>
                    <w:t>，厂房隔声</w:t>
                  </w:r>
                </w:p>
              </w:tc>
              <w:tc>
                <w:tcPr>
                  <w:tcW w:w="577" w:type="dxa"/>
                  <w:vMerge w:val="restart"/>
                  <w:tcBorders>
                    <w:tl2br w:val="nil"/>
                    <w:tr2bl w:val="nil"/>
                  </w:tcBorders>
                  <w:noWrap w:val="0"/>
                  <w:tcMar>
                    <w:left w:w="11" w:type="dxa"/>
                    <w:right w:w="11" w:type="dxa"/>
                  </w:tcMar>
                  <w:vAlign w:val="center"/>
                </w:tcPr>
                <w:p w14:paraId="2D21B324">
                  <w:pPr>
                    <w:pStyle w:val="123"/>
                    <w:spacing w:line="240" w:lineRule="auto"/>
                    <w:rPr>
                      <w:rFonts w:hint="default" w:eastAsia="宋体"/>
                      <w:color w:val="auto"/>
                      <w:sz w:val="21"/>
                      <w:szCs w:val="21"/>
                      <w:lang w:val="en-US" w:eastAsia="zh-CN"/>
                    </w:rPr>
                  </w:pPr>
                  <w:r>
                    <w:rPr>
                      <w:rFonts w:hint="eastAsia"/>
                      <w:color w:val="auto"/>
                      <w:sz w:val="21"/>
                      <w:szCs w:val="21"/>
                      <w:lang w:val="en-US" w:eastAsia="zh-CN"/>
                    </w:rPr>
                    <w:t>21.12</w:t>
                  </w:r>
                </w:p>
              </w:tc>
              <w:tc>
                <w:tcPr>
                  <w:tcW w:w="778" w:type="dxa"/>
                  <w:vMerge w:val="restart"/>
                  <w:tcBorders>
                    <w:tl2br w:val="nil"/>
                    <w:tr2bl w:val="nil"/>
                  </w:tcBorders>
                  <w:noWrap w:val="0"/>
                  <w:vAlign w:val="center"/>
                </w:tcPr>
                <w:p w14:paraId="4D53AE30">
                  <w:pPr>
                    <w:pStyle w:val="123"/>
                    <w:spacing w:line="240" w:lineRule="auto"/>
                    <w:rPr>
                      <w:rFonts w:hint="default" w:eastAsia="宋体"/>
                      <w:color w:val="auto"/>
                      <w:sz w:val="21"/>
                      <w:szCs w:val="21"/>
                      <w:lang w:val="en-US" w:eastAsia="zh-CN"/>
                    </w:rPr>
                  </w:pPr>
                  <w:r>
                    <w:rPr>
                      <w:rFonts w:hint="eastAsia"/>
                      <w:color w:val="auto"/>
                      <w:sz w:val="21"/>
                      <w:szCs w:val="21"/>
                      <w:lang w:val="en-US" w:eastAsia="zh-CN"/>
                    </w:rPr>
                    <w:t>41.71</w:t>
                  </w:r>
                </w:p>
              </w:tc>
              <w:tc>
                <w:tcPr>
                  <w:tcW w:w="315" w:type="dxa"/>
                  <w:vMerge w:val="restart"/>
                  <w:tcBorders>
                    <w:tl2br w:val="nil"/>
                    <w:tr2bl w:val="nil"/>
                  </w:tcBorders>
                  <w:noWrap w:val="0"/>
                  <w:vAlign w:val="center"/>
                </w:tcPr>
                <w:p w14:paraId="233A223B">
                  <w:pPr>
                    <w:pStyle w:val="123"/>
                    <w:spacing w:line="240" w:lineRule="auto"/>
                    <w:rPr>
                      <w:rFonts w:hint="eastAsia" w:eastAsia="宋体"/>
                      <w:color w:val="auto"/>
                      <w:sz w:val="21"/>
                      <w:szCs w:val="21"/>
                      <w:lang w:val="en-US" w:eastAsia="zh-CN"/>
                    </w:rPr>
                  </w:pPr>
                  <w:r>
                    <w:rPr>
                      <w:rFonts w:hint="eastAsia"/>
                      <w:color w:val="auto"/>
                      <w:sz w:val="21"/>
                      <w:szCs w:val="21"/>
                      <w:lang w:val="en-US" w:eastAsia="zh-CN"/>
                    </w:rPr>
                    <w:t>5</w:t>
                  </w:r>
                </w:p>
              </w:tc>
              <w:tc>
                <w:tcPr>
                  <w:tcW w:w="423" w:type="dxa"/>
                  <w:tcBorders>
                    <w:tl2br w:val="nil"/>
                    <w:tr2bl w:val="nil"/>
                  </w:tcBorders>
                  <w:noWrap w:val="0"/>
                  <w:tcMar>
                    <w:left w:w="11" w:type="dxa"/>
                    <w:right w:w="11" w:type="dxa"/>
                  </w:tcMar>
                  <w:vAlign w:val="center"/>
                </w:tcPr>
                <w:p w14:paraId="5521ADB2">
                  <w:pPr>
                    <w:pStyle w:val="123"/>
                    <w:spacing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569" w:type="dxa"/>
                  <w:tcBorders>
                    <w:tl2br w:val="nil"/>
                    <w:tr2bl w:val="nil"/>
                  </w:tcBorders>
                  <w:noWrap w:val="0"/>
                  <w:tcMar>
                    <w:left w:w="11" w:type="dxa"/>
                    <w:right w:w="11" w:type="dxa"/>
                  </w:tcMar>
                  <w:vAlign w:val="center"/>
                </w:tcPr>
                <w:p w14:paraId="0FA65956">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894" w:type="dxa"/>
                  <w:tcBorders>
                    <w:tl2br w:val="nil"/>
                    <w:tr2bl w:val="nil"/>
                  </w:tcBorders>
                  <w:noWrap w:val="0"/>
                  <w:tcMar>
                    <w:left w:w="11" w:type="dxa"/>
                    <w:right w:w="11" w:type="dxa"/>
                  </w:tcMar>
                  <w:vAlign w:val="center"/>
                </w:tcPr>
                <w:p w14:paraId="554B3226">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w:t>
                  </w:r>
                </w:p>
              </w:tc>
              <w:tc>
                <w:tcPr>
                  <w:tcW w:w="511" w:type="dxa"/>
                  <w:vMerge w:val="restart"/>
                  <w:tcBorders>
                    <w:tl2br w:val="nil"/>
                    <w:tr2bl w:val="nil"/>
                  </w:tcBorders>
                  <w:noWrap w:val="0"/>
                  <w:vAlign w:val="center"/>
                </w:tcPr>
                <w:p w14:paraId="02318A16">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昼夜</w:t>
                  </w:r>
                </w:p>
              </w:tc>
              <w:tc>
                <w:tcPr>
                  <w:tcW w:w="932" w:type="dxa"/>
                  <w:vMerge w:val="restart"/>
                  <w:tcBorders>
                    <w:tl2br w:val="nil"/>
                    <w:tr2bl w:val="nil"/>
                  </w:tcBorders>
                  <w:noWrap w:val="0"/>
                  <w:vAlign w:val="center"/>
                </w:tcPr>
                <w:p w14:paraId="7D532085">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w:t>
                  </w:r>
                </w:p>
              </w:tc>
              <w:tc>
                <w:tcPr>
                  <w:tcW w:w="1032" w:type="dxa"/>
                  <w:tcBorders>
                    <w:tl2br w:val="nil"/>
                    <w:tr2bl w:val="nil"/>
                  </w:tcBorders>
                  <w:noWrap w:val="0"/>
                  <w:vAlign w:val="center"/>
                </w:tcPr>
                <w:p w14:paraId="221BB84F">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44</w:t>
                  </w:r>
                </w:p>
              </w:tc>
            </w:tr>
            <w:tr w14:paraId="0FB96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28" w:type="dxa"/>
                  <w:vMerge w:val="continue"/>
                  <w:tcBorders>
                    <w:tl2br w:val="nil"/>
                    <w:tr2bl w:val="nil"/>
                  </w:tcBorders>
                  <w:noWrap w:val="0"/>
                  <w:tcMar>
                    <w:left w:w="11" w:type="dxa"/>
                    <w:right w:w="11" w:type="dxa"/>
                  </w:tcMar>
                  <w:vAlign w:val="center"/>
                </w:tcPr>
                <w:p w14:paraId="070E8B36">
                  <w:pPr>
                    <w:keepNext w:val="0"/>
                    <w:keepLines w:val="0"/>
                    <w:widowControl/>
                    <w:suppressLineNumbers w:val="0"/>
                    <w:jc w:val="center"/>
                    <w:textAlignment w:val="center"/>
                  </w:pPr>
                </w:p>
              </w:tc>
              <w:tc>
                <w:tcPr>
                  <w:tcW w:w="738" w:type="dxa"/>
                  <w:vMerge w:val="continue"/>
                  <w:tcBorders>
                    <w:tl2br w:val="nil"/>
                    <w:tr2bl w:val="nil"/>
                  </w:tcBorders>
                  <w:noWrap w:val="0"/>
                  <w:tcMar>
                    <w:left w:w="11" w:type="dxa"/>
                    <w:right w:w="11" w:type="dxa"/>
                  </w:tcMar>
                  <w:vAlign w:val="center"/>
                </w:tcPr>
                <w:p w14:paraId="3FCA0C68">
                  <w:pPr>
                    <w:keepNext w:val="0"/>
                    <w:keepLines w:val="0"/>
                    <w:widowControl/>
                    <w:suppressLineNumbers w:val="0"/>
                    <w:jc w:val="center"/>
                    <w:textAlignment w:val="center"/>
                  </w:pPr>
                </w:p>
              </w:tc>
              <w:tc>
                <w:tcPr>
                  <w:tcW w:w="871" w:type="dxa"/>
                  <w:vMerge w:val="continue"/>
                  <w:tcBorders>
                    <w:tl2br w:val="nil"/>
                    <w:tr2bl w:val="nil"/>
                  </w:tcBorders>
                  <w:noWrap w:val="0"/>
                  <w:vAlign w:val="center"/>
                </w:tcPr>
                <w:p w14:paraId="697504F5">
                  <w:pPr>
                    <w:keepNext w:val="0"/>
                    <w:keepLines w:val="0"/>
                    <w:widowControl/>
                    <w:suppressLineNumbers w:val="0"/>
                    <w:jc w:val="center"/>
                    <w:textAlignment w:val="center"/>
                  </w:pPr>
                </w:p>
              </w:tc>
              <w:tc>
                <w:tcPr>
                  <w:tcW w:w="577" w:type="dxa"/>
                  <w:vMerge w:val="continue"/>
                  <w:tcBorders>
                    <w:tl2br w:val="nil"/>
                    <w:tr2bl w:val="nil"/>
                  </w:tcBorders>
                  <w:noWrap w:val="0"/>
                  <w:tcMar>
                    <w:left w:w="11" w:type="dxa"/>
                    <w:right w:w="11" w:type="dxa"/>
                  </w:tcMar>
                  <w:vAlign w:val="center"/>
                </w:tcPr>
                <w:p w14:paraId="6B44CFC0">
                  <w:pPr>
                    <w:keepNext w:val="0"/>
                    <w:keepLines w:val="0"/>
                    <w:widowControl/>
                    <w:suppressLineNumbers w:val="0"/>
                    <w:jc w:val="center"/>
                    <w:textAlignment w:val="center"/>
                  </w:pPr>
                </w:p>
              </w:tc>
              <w:tc>
                <w:tcPr>
                  <w:tcW w:w="778" w:type="dxa"/>
                  <w:vMerge w:val="continue"/>
                  <w:tcBorders>
                    <w:tl2br w:val="nil"/>
                    <w:tr2bl w:val="nil"/>
                  </w:tcBorders>
                  <w:noWrap w:val="0"/>
                  <w:vAlign w:val="center"/>
                </w:tcPr>
                <w:p w14:paraId="25AB70A6">
                  <w:pPr>
                    <w:keepNext w:val="0"/>
                    <w:keepLines w:val="0"/>
                    <w:widowControl/>
                    <w:suppressLineNumbers w:val="0"/>
                    <w:jc w:val="center"/>
                    <w:textAlignment w:val="center"/>
                  </w:pPr>
                </w:p>
              </w:tc>
              <w:tc>
                <w:tcPr>
                  <w:tcW w:w="315" w:type="dxa"/>
                  <w:vMerge w:val="continue"/>
                  <w:tcBorders>
                    <w:tl2br w:val="nil"/>
                    <w:tr2bl w:val="nil"/>
                  </w:tcBorders>
                  <w:noWrap w:val="0"/>
                  <w:vAlign w:val="center"/>
                </w:tcPr>
                <w:p w14:paraId="268804E3">
                  <w:pPr>
                    <w:keepNext w:val="0"/>
                    <w:keepLines w:val="0"/>
                    <w:widowControl/>
                    <w:suppressLineNumbers w:val="0"/>
                    <w:jc w:val="center"/>
                    <w:textAlignment w:val="center"/>
                  </w:pPr>
                </w:p>
              </w:tc>
              <w:tc>
                <w:tcPr>
                  <w:tcW w:w="423" w:type="dxa"/>
                  <w:tcBorders>
                    <w:tl2br w:val="nil"/>
                    <w:tr2bl w:val="nil"/>
                  </w:tcBorders>
                  <w:noWrap w:val="0"/>
                  <w:tcMar>
                    <w:left w:w="11" w:type="dxa"/>
                    <w:right w:w="11" w:type="dxa"/>
                  </w:tcMar>
                  <w:vAlign w:val="center"/>
                </w:tcPr>
                <w:p w14:paraId="72EC350D">
                  <w:pPr>
                    <w:pStyle w:val="123"/>
                    <w:spacing w:line="240" w:lineRule="auto"/>
                  </w:pPr>
                  <w:r>
                    <w:rPr>
                      <w:color w:val="000000" w:themeColor="text1"/>
                      <w:sz w:val="21"/>
                      <w:szCs w:val="21"/>
                      <w14:textFill>
                        <w14:solidFill>
                          <w14:schemeClr w14:val="tx1"/>
                        </w14:solidFill>
                      </w14:textFill>
                    </w:rPr>
                    <w:t>E</w:t>
                  </w:r>
                </w:p>
              </w:tc>
              <w:tc>
                <w:tcPr>
                  <w:tcW w:w="569" w:type="dxa"/>
                  <w:tcBorders>
                    <w:tl2br w:val="nil"/>
                    <w:tr2bl w:val="nil"/>
                  </w:tcBorders>
                  <w:noWrap w:val="0"/>
                  <w:tcMar>
                    <w:left w:w="11" w:type="dxa"/>
                    <w:right w:w="11" w:type="dxa"/>
                  </w:tcMar>
                  <w:vAlign w:val="center"/>
                </w:tcPr>
                <w:p w14:paraId="28AE01D8">
                  <w:pPr>
                    <w:jc w:val="center"/>
                    <w:rPr>
                      <w:rFonts w:hint="default" w:eastAsia="宋体"/>
                      <w:lang w:val="en-US" w:eastAsia="zh-CN"/>
                    </w:rPr>
                  </w:pPr>
                  <w:r>
                    <w:rPr>
                      <w:rFonts w:hint="eastAsia"/>
                      <w:lang w:val="en-US" w:eastAsia="zh-CN"/>
                    </w:rPr>
                    <w:t>20</w:t>
                  </w:r>
                </w:p>
              </w:tc>
              <w:tc>
                <w:tcPr>
                  <w:tcW w:w="894" w:type="dxa"/>
                  <w:tcBorders>
                    <w:tl2br w:val="nil"/>
                    <w:tr2bl w:val="nil"/>
                  </w:tcBorders>
                  <w:noWrap w:val="0"/>
                  <w:tcMar>
                    <w:left w:w="11" w:type="dxa"/>
                    <w:right w:w="11" w:type="dxa"/>
                  </w:tcMar>
                  <w:vAlign w:val="center"/>
                </w:tcPr>
                <w:p w14:paraId="49CD86C8">
                  <w:pPr>
                    <w:keepNext w:val="0"/>
                    <w:keepLines w:val="0"/>
                    <w:widowControl/>
                    <w:suppressLineNumbers w:val="0"/>
                    <w:jc w:val="center"/>
                    <w:textAlignment w:val="center"/>
                    <w:rPr>
                      <w:rFonts w:hint="default" w:eastAsia="宋体"/>
                      <w:lang w:val="en-US" w:eastAsia="zh-CN"/>
                    </w:rPr>
                  </w:pPr>
                  <w:r>
                    <w:rPr>
                      <w:rFonts w:hint="eastAsia"/>
                      <w:lang w:val="en-US" w:eastAsia="zh-CN"/>
                    </w:rPr>
                    <w:t>54</w:t>
                  </w:r>
                </w:p>
              </w:tc>
              <w:tc>
                <w:tcPr>
                  <w:tcW w:w="511" w:type="dxa"/>
                  <w:vMerge w:val="continue"/>
                  <w:tcBorders>
                    <w:tl2br w:val="nil"/>
                    <w:tr2bl w:val="nil"/>
                  </w:tcBorders>
                  <w:noWrap w:val="0"/>
                  <w:vAlign w:val="center"/>
                </w:tcPr>
                <w:p w14:paraId="3D4485C4">
                  <w:pPr>
                    <w:keepNext w:val="0"/>
                    <w:keepLines w:val="0"/>
                    <w:widowControl/>
                    <w:suppressLineNumbers w:val="0"/>
                    <w:jc w:val="center"/>
                    <w:textAlignment w:val="center"/>
                  </w:pPr>
                </w:p>
              </w:tc>
              <w:tc>
                <w:tcPr>
                  <w:tcW w:w="932" w:type="dxa"/>
                  <w:vMerge w:val="continue"/>
                  <w:tcBorders>
                    <w:tl2br w:val="nil"/>
                    <w:tr2bl w:val="nil"/>
                  </w:tcBorders>
                  <w:noWrap w:val="0"/>
                  <w:vAlign w:val="center"/>
                </w:tcPr>
                <w:p w14:paraId="4E323F55">
                  <w:pPr>
                    <w:keepNext w:val="0"/>
                    <w:keepLines w:val="0"/>
                    <w:widowControl/>
                    <w:suppressLineNumbers w:val="0"/>
                    <w:jc w:val="center"/>
                    <w:textAlignment w:val="center"/>
                  </w:pPr>
                </w:p>
              </w:tc>
              <w:tc>
                <w:tcPr>
                  <w:tcW w:w="1032" w:type="dxa"/>
                  <w:tcBorders>
                    <w:tl2br w:val="nil"/>
                    <w:tr2bl w:val="nil"/>
                  </w:tcBorders>
                  <w:noWrap w:val="0"/>
                  <w:vAlign w:val="center"/>
                </w:tcPr>
                <w:p w14:paraId="030FEBEF">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r>
            <w:tr w14:paraId="248CA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28" w:type="dxa"/>
                  <w:vMerge w:val="continue"/>
                  <w:tcBorders>
                    <w:tl2br w:val="nil"/>
                    <w:tr2bl w:val="nil"/>
                  </w:tcBorders>
                  <w:noWrap w:val="0"/>
                  <w:tcMar>
                    <w:left w:w="11" w:type="dxa"/>
                    <w:right w:w="11" w:type="dxa"/>
                  </w:tcMar>
                  <w:vAlign w:val="center"/>
                </w:tcPr>
                <w:p w14:paraId="5F12A8E8">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738" w:type="dxa"/>
                  <w:vMerge w:val="continue"/>
                  <w:tcBorders>
                    <w:tl2br w:val="nil"/>
                    <w:tr2bl w:val="nil"/>
                  </w:tcBorders>
                  <w:noWrap w:val="0"/>
                  <w:tcMar>
                    <w:left w:w="11" w:type="dxa"/>
                    <w:right w:w="11" w:type="dxa"/>
                  </w:tcMar>
                  <w:vAlign w:val="center"/>
                </w:tcPr>
                <w:p w14:paraId="7FB07686">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871" w:type="dxa"/>
                  <w:vMerge w:val="continue"/>
                  <w:tcBorders>
                    <w:tl2br w:val="nil"/>
                    <w:tr2bl w:val="nil"/>
                  </w:tcBorders>
                  <w:noWrap w:val="0"/>
                  <w:vAlign w:val="center"/>
                </w:tcPr>
                <w:p w14:paraId="3213322A">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577" w:type="dxa"/>
                  <w:vMerge w:val="continue"/>
                  <w:tcBorders>
                    <w:tl2br w:val="nil"/>
                    <w:tr2bl w:val="nil"/>
                  </w:tcBorders>
                  <w:noWrap w:val="0"/>
                  <w:tcMar>
                    <w:left w:w="11" w:type="dxa"/>
                    <w:right w:w="11" w:type="dxa"/>
                  </w:tcMar>
                  <w:vAlign w:val="center"/>
                </w:tcPr>
                <w:p w14:paraId="7A04345F">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778" w:type="dxa"/>
                  <w:vMerge w:val="continue"/>
                  <w:tcBorders>
                    <w:tl2br w:val="nil"/>
                    <w:tr2bl w:val="nil"/>
                  </w:tcBorders>
                  <w:noWrap w:val="0"/>
                  <w:vAlign w:val="center"/>
                </w:tcPr>
                <w:p w14:paraId="536917AF">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315" w:type="dxa"/>
                  <w:vMerge w:val="continue"/>
                  <w:tcBorders>
                    <w:tl2br w:val="nil"/>
                    <w:tr2bl w:val="nil"/>
                  </w:tcBorders>
                  <w:noWrap w:val="0"/>
                  <w:vAlign w:val="center"/>
                </w:tcPr>
                <w:p w14:paraId="5444190F">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423" w:type="dxa"/>
                  <w:tcBorders>
                    <w:tl2br w:val="nil"/>
                    <w:tr2bl w:val="nil"/>
                  </w:tcBorders>
                  <w:noWrap w:val="0"/>
                  <w:tcMar>
                    <w:left w:w="11" w:type="dxa"/>
                    <w:right w:w="11" w:type="dxa"/>
                  </w:tcMar>
                  <w:vAlign w:val="center"/>
                </w:tcPr>
                <w:p w14:paraId="64E69276">
                  <w:pPr>
                    <w:pStyle w:val="123"/>
                    <w:spacing w:line="240" w:lineRule="auto"/>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S</w:t>
                  </w:r>
                </w:p>
              </w:tc>
              <w:tc>
                <w:tcPr>
                  <w:tcW w:w="569" w:type="dxa"/>
                  <w:tcBorders>
                    <w:tl2br w:val="nil"/>
                    <w:tr2bl w:val="nil"/>
                  </w:tcBorders>
                  <w:noWrap w:val="0"/>
                  <w:tcMar>
                    <w:left w:w="11" w:type="dxa"/>
                    <w:right w:w="11" w:type="dxa"/>
                  </w:tcMar>
                  <w:vAlign w:val="center"/>
                </w:tcPr>
                <w:p w14:paraId="473E725D">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894" w:type="dxa"/>
                  <w:tcBorders>
                    <w:tl2br w:val="nil"/>
                    <w:tr2bl w:val="nil"/>
                  </w:tcBorders>
                  <w:noWrap w:val="0"/>
                  <w:tcMar>
                    <w:left w:w="11" w:type="dxa"/>
                    <w:right w:w="11" w:type="dxa"/>
                  </w:tcMar>
                  <w:vAlign w:val="center"/>
                </w:tcPr>
                <w:p w14:paraId="11AC05E4">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58</w:t>
                  </w:r>
                </w:p>
              </w:tc>
              <w:tc>
                <w:tcPr>
                  <w:tcW w:w="511" w:type="dxa"/>
                  <w:vMerge w:val="continue"/>
                  <w:tcBorders>
                    <w:tl2br w:val="nil"/>
                    <w:tr2bl w:val="nil"/>
                  </w:tcBorders>
                  <w:noWrap w:val="0"/>
                  <w:vAlign w:val="center"/>
                </w:tcPr>
                <w:p w14:paraId="48441A3A">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932" w:type="dxa"/>
                  <w:vMerge w:val="continue"/>
                  <w:tcBorders>
                    <w:tl2br w:val="nil"/>
                    <w:tr2bl w:val="nil"/>
                  </w:tcBorders>
                  <w:noWrap w:val="0"/>
                  <w:vAlign w:val="center"/>
                </w:tcPr>
                <w:p w14:paraId="0DF573E2">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1032" w:type="dxa"/>
                  <w:tcBorders>
                    <w:tl2br w:val="nil"/>
                    <w:tr2bl w:val="nil"/>
                  </w:tcBorders>
                  <w:noWrap w:val="0"/>
                  <w:vAlign w:val="center"/>
                </w:tcPr>
                <w:p w14:paraId="56A01C65">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r>
            <w:tr w14:paraId="4DF61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8" w:type="dxa"/>
                  <w:vMerge w:val="continue"/>
                  <w:tcBorders>
                    <w:tl2br w:val="nil"/>
                    <w:tr2bl w:val="nil"/>
                  </w:tcBorders>
                  <w:noWrap w:val="0"/>
                  <w:tcMar>
                    <w:left w:w="11" w:type="dxa"/>
                    <w:right w:w="11" w:type="dxa"/>
                  </w:tcMar>
                  <w:vAlign w:val="center"/>
                </w:tcPr>
                <w:p w14:paraId="410DB1B4">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738" w:type="dxa"/>
                  <w:vMerge w:val="continue"/>
                  <w:tcBorders>
                    <w:tl2br w:val="nil"/>
                    <w:tr2bl w:val="nil"/>
                  </w:tcBorders>
                  <w:noWrap w:val="0"/>
                  <w:tcMar>
                    <w:left w:w="11" w:type="dxa"/>
                    <w:right w:w="11" w:type="dxa"/>
                  </w:tcMar>
                  <w:vAlign w:val="center"/>
                </w:tcPr>
                <w:p w14:paraId="7513B7C4">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871" w:type="dxa"/>
                  <w:vMerge w:val="continue"/>
                  <w:tcBorders>
                    <w:tl2br w:val="nil"/>
                    <w:tr2bl w:val="nil"/>
                  </w:tcBorders>
                  <w:noWrap w:val="0"/>
                  <w:vAlign w:val="center"/>
                </w:tcPr>
                <w:p w14:paraId="35542B52">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577" w:type="dxa"/>
                  <w:vMerge w:val="continue"/>
                  <w:tcBorders>
                    <w:tl2br w:val="nil"/>
                    <w:tr2bl w:val="nil"/>
                  </w:tcBorders>
                  <w:noWrap w:val="0"/>
                  <w:tcMar>
                    <w:left w:w="11" w:type="dxa"/>
                    <w:right w:w="11" w:type="dxa"/>
                  </w:tcMar>
                  <w:vAlign w:val="center"/>
                </w:tcPr>
                <w:p w14:paraId="4D85D272">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778" w:type="dxa"/>
                  <w:vMerge w:val="continue"/>
                  <w:tcBorders>
                    <w:tl2br w:val="nil"/>
                    <w:tr2bl w:val="nil"/>
                  </w:tcBorders>
                  <w:noWrap w:val="0"/>
                  <w:vAlign w:val="center"/>
                </w:tcPr>
                <w:p w14:paraId="74DAA28A">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315" w:type="dxa"/>
                  <w:vMerge w:val="continue"/>
                  <w:tcBorders>
                    <w:tl2br w:val="nil"/>
                    <w:tr2bl w:val="nil"/>
                  </w:tcBorders>
                  <w:noWrap w:val="0"/>
                  <w:vAlign w:val="center"/>
                </w:tcPr>
                <w:p w14:paraId="633828AD">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423" w:type="dxa"/>
                  <w:tcBorders>
                    <w:tl2br w:val="nil"/>
                    <w:tr2bl w:val="nil"/>
                  </w:tcBorders>
                  <w:noWrap w:val="0"/>
                  <w:tcMar>
                    <w:left w:w="11" w:type="dxa"/>
                    <w:right w:w="11" w:type="dxa"/>
                  </w:tcMar>
                  <w:vAlign w:val="center"/>
                </w:tcPr>
                <w:p w14:paraId="5F97AB53">
                  <w:pPr>
                    <w:pStyle w:val="123"/>
                    <w:spacing w:line="240" w:lineRule="auto"/>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W</w:t>
                  </w:r>
                </w:p>
              </w:tc>
              <w:tc>
                <w:tcPr>
                  <w:tcW w:w="569" w:type="dxa"/>
                  <w:tcBorders>
                    <w:tl2br w:val="nil"/>
                    <w:tr2bl w:val="nil"/>
                  </w:tcBorders>
                  <w:noWrap w:val="0"/>
                  <w:tcMar>
                    <w:left w:w="11" w:type="dxa"/>
                    <w:right w:w="11" w:type="dxa"/>
                  </w:tcMar>
                  <w:vAlign w:val="center"/>
                </w:tcPr>
                <w:p w14:paraId="03558993">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894" w:type="dxa"/>
                  <w:tcBorders>
                    <w:tl2br w:val="nil"/>
                    <w:tr2bl w:val="nil"/>
                  </w:tcBorders>
                  <w:noWrap w:val="0"/>
                  <w:tcMar>
                    <w:left w:w="11" w:type="dxa"/>
                    <w:right w:w="11" w:type="dxa"/>
                  </w:tcMar>
                  <w:vAlign w:val="center"/>
                </w:tcPr>
                <w:p w14:paraId="35861B1B">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64</w:t>
                  </w:r>
                </w:p>
              </w:tc>
              <w:tc>
                <w:tcPr>
                  <w:tcW w:w="511" w:type="dxa"/>
                  <w:vMerge w:val="continue"/>
                  <w:tcBorders>
                    <w:tl2br w:val="nil"/>
                    <w:tr2bl w:val="nil"/>
                  </w:tcBorders>
                  <w:noWrap w:val="0"/>
                  <w:vAlign w:val="center"/>
                </w:tcPr>
                <w:p w14:paraId="41CF59A0">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932" w:type="dxa"/>
                  <w:vMerge w:val="continue"/>
                  <w:tcBorders>
                    <w:tl2br w:val="nil"/>
                    <w:tr2bl w:val="nil"/>
                  </w:tcBorders>
                  <w:noWrap w:val="0"/>
                  <w:vAlign w:val="center"/>
                </w:tcPr>
                <w:p w14:paraId="7032380E">
                  <w:pPr>
                    <w:keepNext w:val="0"/>
                    <w:keepLines w:val="0"/>
                    <w:widowControl/>
                    <w:suppressLineNumbers w:val="0"/>
                    <w:jc w:val="center"/>
                    <w:textAlignment w:val="center"/>
                    <w:rPr>
                      <w:rFonts w:hint="eastAsia"/>
                      <w:color w:val="000000" w:themeColor="text1"/>
                      <w:sz w:val="21"/>
                      <w:szCs w:val="21"/>
                      <w:lang w:val="en-US" w:eastAsia="zh-CN"/>
                      <w14:textFill>
                        <w14:solidFill>
                          <w14:schemeClr w14:val="tx1"/>
                        </w14:solidFill>
                      </w14:textFill>
                    </w:rPr>
                  </w:pPr>
                </w:p>
              </w:tc>
              <w:tc>
                <w:tcPr>
                  <w:tcW w:w="1032" w:type="dxa"/>
                  <w:tcBorders>
                    <w:tl2br w:val="nil"/>
                    <w:tr2bl w:val="nil"/>
                  </w:tcBorders>
                  <w:noWrap w:val="0"/>
                  <w:vAlign w:val="center"/>
                </w:tcPr>
                <w:p w14:paraId="603BCADC">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w:t>
                  </w:r>
                </w:p>
              </w:tc>
            </w:tr>
            <w:tr w14:paraId="2448C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8" w:type="dxa"/>
                  <w:gridSpan w:val="12"/>
                  <w:tcBorders>
                    <w:tl2br w:val="nil"/>
                    <w:tr2bl w:val="nil"/>
                  </w:tcBorders>
                  <w:noWrap w:val="0"/>
                  <w:tcMar>
                    <w:left w:w="11" w:type="dxa"/>
                    <w:right w:w="11" w:type="dxa"/>
                  </w:tcMar>
                  <w:vAlign w:val="center"/>
                </w:tcPr>
                <w:p w14:paraId="72ACBFC9">
                  <w:pPr>
                    <w:jc w:val="left"/>
                    <w:rPr>
                      <w:rFonts w:hint="eastAsia"/>
                      <w:color w:val="FF0000"/>
                      <w:sz w:val="21"/>
                      <w:szCs w:val="21"/>
                    </w:rPr>
                  </w:pPr>
                  <w:r>
                    <w:rPr>
                      <w:rFonts w:hint="eastAsia" w:ascii="Times New Roman" w:cs="Times New Roman"/>
                      <w:b w:val="0"/>
                      <w:bCs/>
                      <w:sz w:val="21"/>
                      <w:szCs w:val="21"/>
                      <w:u w:val="none"/>
                      <w:lang w:val="en-US" w:eastAsia="zh-CN"/>
                    </w:rPr>
                    <w:t>备注：上述空间相对位置坐标中心点为</w:t>
                  </w:r>
                  <w:r>
                    <w:rPr>
                      <w:rFonts w:hint="eastAsia" w:cs="Times New Roman"/>
                      <w:b w:val="0"/>
                      <w:bCs/>
                      <w:sz w:val="21"/>
                      <w:szCs w:val="21"/>
                      <w:u w:val="none"/>
                      <w:lang w:val="en-US" w:eastAsia="zh-CN"/>
                    </w:rPr>
                    <w:t>厂区西南角，</w:t>
                  </w:r>
                  <w:r>
                    <w:rPr>
                      <w:rFonts w:hint="eastAsia"/>
                      <w:sz w:val="21"/>
                      <w:szCs w:val="21"/>
                      <w:highlight w:val="none"/>
                      <w:u w:val="none"/>
                    </w:rPr>
                    <w:t>东向为X轴正方向，北向为Y轴正方向</w:t>
                  </w:r>
                </w:p>
              </w:tc>
            </w:tr>
          </w:tbl>
          <w:p w14:paraId="09793942">
            <w:pPr>
              <w:spacing w:before="120" w:beforeLines="50" w:line="360" w:lineRule="auto"/>
              <w:jc w:val="left"/>
              <w:rPr>
                <w:b/>
                <w:bCs/>
                <w:sz w:val="24"/>
              </w:rPr>
            </w:pPr>
            <w:r>
              <w:rPr>
                <w:b/>
                <w:bCs/>
                <w:sz w:val="24"/>
              </w:rPr>
              <w:t>3.</w:t>
            </w:r>
            <w:r>
              <w:rPr>
                <w:rFonts w:hint="eastAsia"/>
                <w:b/>
                <w:bCs/>
                <w:sz w:val="24"/>
                <w:lang w:val="en-US" w:eastAsia="zh-CN"/>
              </w:rPr>
              <w:t>2</w:t>
            </w:r>
            <w:r>
              <w:rPr>
                <w:rFonts w:hint="eastAsia"/>
                <w:b/>
                <w:bCs/>
                <w:sz w:val="24"/>
              </w:rPr>
              <w:t>噪声影响</w:t>
            </w:r>
            <w:r>
              <w:rPr>
                <w:rFonts w:hint="eastAsia"/>
                <w:b/>
                <w:bCs/>
                <w:sz w:val="24"/>
                <w:lang w:val="en-US" w:eastAsia="zh-CN"/>
              </w:rPr>
              <w:t>及达标</w:t>
            </w:r>
            <w:r>
              <w:rPr>
                <w:rFonts w:hint="eastAsia"/>
                <w:b/>
                <w:bCs/>
                <w:sz w:val="24"/>
              </w:rPr>
              <w:t>分析</w:t>
            </w:r>
          </w:p>
          <w:p w14:paraId="4CC819FF">
            <w:pPr>
              <w:pStyle w:val="119"/>
              <w:numPr>
                <w:ilvl w:val="0"/>
                <w:numId w:val="0"/>
              </w:numPr>
              <w:jc w:val="center"/>
              <w:rPr>
                <w:rFonts w:hint="eastAsia"/>
                <w:kern w:val="0"/>
              </w:rPr>
            </w:pPr>
            <w:r>
              <w:rPr>
                <w:rFonts w:hint="eastAsia"/>
                <w:kern w:val="0"/>
                <w:lang w:val="en-US" w:eastAsia="zh-CN"/>
              </w:rPr>
              <w:t xml:space="preserve">    </w:t>
            </w:r>
            <w:r>
              <w:rPr>
                <w:rFonts w:hint="eastAsia"/>
                <w:kern w:val="0"/>
                <w:lang w:eastAsia="zh-CN"/>
              </w:rPr>
              <w:t>表</w:t>
            </w:r>
            <w:r>
              <w:rPr>
                <w:rFonts w:hint="eastAsia"/>
                <w:kern w:val="0"/>
                <w:lang w:val="en-US" w:eastAsia="zh-CN"/>
              </w:rPr>
              <w:t>4-11</w:t>
            </w:r>
            <w:r>
              <w:rPr>
                <w:rFonts w:hint="eastAsia"/>
                <w:kern w:val="0"/>
              </w:rPr>
              <w:t xml:space="preserve">   厂界噪声预测结果    单位：dB(A)</w:t>
            </w:r>
          </w:p>
          <w:tbl>
            <w:tblPr>
              <w:tblStyle w:val="31"/>
              <w:tblW w:w="82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59"/>
            </w:tblGrid>
            <w:tr w14:paraId="2306C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14:paraId="62D2BAE1">
                  <w:pPr>
                    <w:adjustRightInd w:val="0"/>
                    <w:snapToGrid w:val="0"/>
                    <w:jc w:val="center"/>
                    <w:rPr>
                      <w:sz w:val="21"/>
                      <w:szCs w:val="21"/>
                    </w:rPr>
                  </w:pPr>
                  <w:r>
                    <w:rPr>
                      <w:sz w:val="21"/>
                      <w:szCs w:val="21"/>
                    </w:rPr>
                    <w:t>项目</w:t>
                  </w:r>
                </w:p>
              </w:tc>
              <w:tc>
                <w:tcPr>
                  <w:tcW w:w="1659" w:type="dxa"/>
                  <w:tcBorders>
                    <w:tl2br w:val="nil"/>
                    <w:tr2bl w:val="nil"/>
                  </w:tcBorders>
                  <w:noWrap w:val="0"/>
                  <w:vAlign w:val="center"/>
                </w:tcPr>
                <w:p w14:paraId="14B5363C">
                  <w:pPr>
                    <w:adjustRightInd w:val="0"/>
                    <w:snapToGrid w:val="0"/>
                    <w:jc w:val="center"/>
                    <w:rPr>
                      <w:sz w:val="21"/>
                      <w:szCs w:val="21"/>
                    </w:rPr>
                  </w:pPr>
                  <w:r>
                    <w:rPr>
                      <w:sz w:val="21"/>
                      <w:szCs w:val="21"/>
                    </w:rPr>
                    <w:t>东厂界</w:t>
                  </w:r>
                </w:p>
              </w:tc>
              <w:tc>
                <w:tcPr>
                  <w:tcW w:w="1659" w:type="dxa"/>
                  <w:tcBorders>
                    <w:tl2br w:val="nil"/>
                    <w:tr2bl w:val="nil"/>
                  </w:tcBorders>
                  <w:noWrap w:val="0"/>
                  <w:vAlign w:val="center"/>
                </w:tcPr>
                <w:p w14:paraId="449B1616">
                  <w:pPr>
                    <w:adjustRightInd w:val="0"/>
                    <w:snapToGrid w:val="0"/>
                    <w:jc w:val="center"/>
                    <w:rPr>
                      <w:sz w:val="21"/>
                      <w:szCs w:val="21"/>
                    </w:rPr>
                  </w:pPr>
                  <w:r>
                    <w:rPr>
                      <w:sz w:val="21"/>
                      <w:szCs w:val="21"/>
                    </w:rPr>
                    <w:t>西厂界</w:t>
                  </w:r>
                </w:p>
              </w:tc>
              <w:tc>
                <w:tcPr>
                  <w:tcW w:w="1659" w:type="dxa"/>
                  <w:tcBorders>
                    <w:tl2br w:val="nil"/>
                    <w:tr2bl w:val="nil"/>
                  </w:tcBorders>
                  <w:noWrap w:val="0"/>
                  <w:vAlign w:val="center"/>
                </w:tcPr>
                <w:p w14:paraId="172A96ED">
                  <w:pPr>
                    <w:adjustRightInd w:val="0"/>
                    <w:snapToGrid w:val="0"/>
                    <w:jc w:val="center"/>
                    <w:rPr>
                      <w:sz w:val="21"/>
                      <w:szCs w:val="21"/>
                    </w:rPr>
                  </w:pPr>
                  <w:r>
                    <w:rPr>
                      <w:sz w:val="21"/>
                      <w:szCs w:val="21"/>
                    </w:rPr>
                    <w:t>南厂界</w:t>
                  </w:r>
                </w:p>
              </w:tc>
              <w:tc>
                <w:tcPr>
                  <w:tcW w:w="1659" w:type="dxa"/>
                  <w:tcBorders>
                    <w:tl2br w:val="nil"/>
                    <w:tr2bl w:val="nil"/>
                  </w:tcBorders>
                  <w:noWrap w:val="0"/>
                  <w:vAlign w:val="center"/>
                </w:tcPr>
                <w:p w14:paraId="70B024B1">
                  <w:pPr>
                    <w:adjustRightInd w:val="0"/>
                    <w:snapToGrid w:val="0"/>
                    <w:jc w:val="center"/>
                    <w:rPr>
                      <w:sz w:val="21"/>
                      <w:szCs w:val="21"/>
                    </w:rPr>
                  </w:pPr>
                  <w:r>
                    <w:rPr>
                      <w:sz w:val="21"/>
                      <w:szCs w:val="21"/>
                    </w:rPr>
                    <w:t>北厂界</w:t>
                  </w:r>
                </w:p>
              </w:tc>
            </w:tr>
            <w:tr w14:paraId="63E93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14:paraId="0CB29697">
                  <w:pPr>
                    <w:adjustRightInd w:val="0"/>
                    <w:snapToGrid w:val="0"/>
                    <w:jc w:val="center"/>
                    <w:rPr>
                      <w:sz w:val="21"/>
                      <w:szCs w:val="21"/>
                    </w:rPr>
                  </w:pPr>
                  <w:r>
                    <w:rPr>
                      <w:sz w:val="21"/>
                      <w:szCs w:val="21"/>
                    </w:rPr>
                    <w:t>贡献值</w:t>
                  </w:r>
                </w:p>
              </w:tc>
              <w:tc>
                <w:tcPr>
                  <w:tcW w:w="1659" w:type="dxa"/>
                  <w:tcBorders>
                    <w:tl2br w:val="nil"/>
                    <w:tr2bl w:val="nil"/>
                  </w:tcBorders>
                  <w:noWrap w:val="0"/>
                  <w:vAlign w:val="center"/>
                </w:tcPr>
                <w:p w14:paraId="75F446F7">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lang w:val="en-US" w:eastAsia="zh-CN"/>
                    </w:rPr>
                    <w:t>29.1</w:t>
                  </w:r>
                </w:p>
              </w:tc>
              <w:tc>
                <w:tcPr>
                  <w:tcW w:w="1659" w:type="dxa"/>
                  <w:tcBorders>
                    <w:tl2br w:val="nil"/>
                    <w:tr2bl w:val="nil"/>
                  </w:tcBorders>
                  <w:noWrap w:val="0"/>
                  <w:vAlign w:val="center"/>
                </w:tcPr>
                <w:p w14:paraId="7382B27C">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lang w:val="en-US" w:eastAsia="zh-CN"/>
                    </w:rPr>
                    <w:t>39.5</w:t>
                  </w:r>
                </w:p>
              </w:tc>
              <w:tc>
                <w:tcPr>
                  <w:tcW w:w="1659" w:type="dxa"/>
                  <w:tcBorders>
                    <w:tl2br w:val="nil"/>
                    <w:tr2bl w:val="nil"/>
                  </w:tcBorders>
                  <w:noWrap w:val="0"/>
                  <w:vAlign w:val="center"/>
                </w:tcPr>
                <w:p w14:paraId="7BFCAB77">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lang w:val="en-US" w:eastAsia="zh-CN"/>
                    </w:rPr>
                    <w:t>29.8</w:t>
                  </w:r>
                </w:p>
              </w:tc>
              <w:tc>
                <w:tcPr>
                  <w:tcW w:w="1659" w:type="dxa"/>
                  <w:tcBorders>
                    <w:tl2br w:val="nil"/>
                    <w:tr2bl w:val="nil"/>
                  </w:tcBorders>
                  <w:noWrap w:val="0"/>
                  <w:vAlign w:val="center"/>
                </w:tcPr>
                <w:p w14:paraId="64C3CB96">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lang w:val="en-US" w:eastAsia="zh-CN"/>
                    </w:rPr>
                    <w:t>33.3</w:t>
                  </w:r>
                </w:p>
              </w:tc>
            </w:tr>
            <w:tr w14:paraId="6FBFF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14:paraId="64453EBD">
                  <w:pPr>
                    <w:adjustRightInd w:val="0"/>
                    <w:snapToGrid w:val="0"/>
                    <w:jc w:val="center"/>
                    <w:rPr>
                      <w:rFonts w:hint="eastAsia"/>
                      <w:sz w:val="21"/>
                      <w:szCs w:val="21"/>
                    </w:rPr>
                  </w:pPr>
                  <w:r>
                    <w:rPr>
                      <w:rFonts w:hint="eastAsia"/>
                      <w:sz w:val="21"/>
                      <w:szCs w:val="21"/>
                    </w:rPr>
                    <w:t>标准值</w:t>
                  </w:r>
                </w:p>
              </w:tc>
              <w:tc>
                <w:tcPr>
                  <w:tcW w:w="6636" w:type="dxa"/>
                  <w:gridSpan w:val="4"/>
                  <w:tcBorders>
                    <w:tl2br w:val="nil"/>
                    <w:tr2bl w:val="nil"/>
                  </w:tcBorders>
                  <w:noWrap w:val="0"/>
                  <w:vAlign w:val="center"/>
                </w:tcPr>
                <w:p w14:paraId="0F409AB3">
                  <w:pPr>
                    <w:adjustRightInd w:val="0"/>
                    <w:snapToGrid w:val="0"/>
                    <w:jc w:val="center"/>
                    <w:rPr>
                      <w:rFonts w:hint="default" w:eastAsia="宋体"/>
                      <w:sz w:val="21"/>
                      <w:szCs w:val="21"/>
                      <w:lang w:val="en-US" w:eastAsia="zh-CN"/>
                    </w:rPr>
                  </w:pPr>
                  <w:r>
                    <w:rPr>
                      <w:sz w:val="21"/>
                      <w:szCs w:val="21"/>
                    </w:rPr>
                    <w:t>昼间</w:t>
                  </w:r>
                  <w:r>
                    <w:rPr>
                      <w:rFonts w:hint="eastAsia"/>
                      <w:sz w:val="21"/>
                      <w:szCs w:val="21"/>
                    </w:rPr>
                    <w:t>6</w:t>
                  </w:r>
                  <w:r>
                    <w:rPr>
                      <w:rFonts w:hint="eastAsia"/>
                      <w:sz w:val="21"/>
                      <w:szCs w:val="21"/>
                      <w:lang w:val="en-US" w:eastAsia="zh-CN"/>
                    </w:rPr>
                    <w:t>0</w:t>
                  </w:r>
                  <w:r>
                    <w:rPr>
                      <w:rFonts w:hint="eastAsia"/>
                      <w:sz w:val="21"/>
                      <w:szCs w:val="21"/>
                    </w:rPr>
                    <w:t>dB(A)</w:t>
                  </w:r>
                  <w:r>
                    <w:rPr>
                      <w:rFonts w:hint="eastAsia"/>
                      <w:sz w:val="21"/>
                      <w:szCs w:val="21"/>
                      <w:lang w:eastAsia="zh-CN"/>
                    </w:rPr>
                    <w:t>，</w:t>
                  </w:r>
                  <w:r>
                    <w:rPr>
                      <w:rFonts w:hint="eastAsia"/>
                      <w:sz w:val="21"/>
                      <w:szCs w:val="21"/>
                      <w:lang w:val="en-US" w:eastAsia="zh-CN"/>
                    </w:rPr>
                    <w:t>夜间50</w:t>
                  </w:r>
                  <w:r>
                    <w:rPr>
                      <w:rFonts w:hint="eastAsia"/>
                      <w:sz w:val="21"/>
                      <w:szCs w:val="21"/>
                    </w:rPr>
                    <w:t>dB(A)</w:t>
                  </w:r>
                </w:p>
              </w:tc>
            </w:tr>
            <w:tr w14:paraId="2D092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9" w:type="dxa"/>
                  <w:tcBorders>
                    <w:tl2br w:val="nil"/>
                    <w:tr2bl w:val="nil"/>
                  </w:tcBorders>
                  <w:noWrap w:val="0"/>
                  <w:vAlign w:val="center"/>
                </w:tcPr>
                <w:p w14:paraId="47C5AD36">
                  <w:pPr>
                    <w:adjustRightInd w:val="0"/>
                    <w:snapToGrid w:val="0"/>
                    <w:jc w:val="center"/>
                    <w:rPr>
                      <w:rFonts w:hint="eastAsia"/>
                      <w:sz w:val="21"/>
                      <w:szCs w:val="21"/>
                    </w:rPr>
                  </w:pPr>
                  <w:r>
                    <w:rPr>
                      <w:rFonts w:hint="eastAsia"/>
                      <w:sz w:val="21"/>
                      <w:szCs w:val="21"/>
                    </w:rPr>
                    <w:t>达标分析</w:t>
                  </w:r>
                </w:p>
              </w:tc>
              <w:tc>
                <w:tcPr>
                  <w:tcW w:w="1659" w:type="dxa"/>
                  <w:tcBorders>
                    <w:tl2br w:val="nil"/>
                    <w:tr2bl w:val="nil"/>
                  </w:tcBorders>
                  <w:noWrap w:val="0"/>
                  <w:vAlign w:val="center"/>
                </w:tcPr>
                <w:p w14:paraId="7FD2521B">
                  <w:pPr>
                    <w:adjustRightInd w:val="0"/>
                    <w:snapToGrid w:val="0"/>
                    <w:jc w:val="center"/>
                    <w:rPr>
                      <w:rFonts w:hint="eastAsia"/>
                      <w:sz w:val="21"/>
                      <w:szCs w:val="21"/>
                    </w:rPr>
                  </w:pPr>
                  <w:r>
                    <w:rPr>
                      <w:rFonts w:hint="eastAsia"/>
                      <w:sz w:val="21"/>
                      <w:szCs w:val="21"/>
                    </w:rPr>
                    <w:t>达标</w:t>
                  </w:r>
                </w:p>
              </w:tc>
              <w:tc>
                <w:tcPr>
                  <w:tcW w:w="1659" w:type="dxa"/>
                  <w:tcBorders>
                    <w:tl2br w:val="nil"/>
                    <w:tr2bl w:val="nil"/>
                  </w:tcBorders>
                  <w:noWrap w:val="0"/>
                  <w:vAlign w:val="center"/>
                </w:tcPr>
                <w:p w14:paraId="49BF6FA2">
                  <w:pPr>
                    <w:adjustRightInd w:val="0"/>
                    <w:snapToGrid w:val="0"/>
                    <w:jc w:val="center"/>
                    <w:rPr>
                      <w:sz w:val="21"/>
                      <w:szCs w:val="21"/>
                    </w:rPr>
                  </w:pPr>
                  <w:r>
                    <w:rPr>
                      <w:rFonts w:hint="eastAsia"/>
                      <w:sz w:val="21"/>
                      <w:szCs w:val="21"/>
                    </w:rPr>
                    <w:t>达标</w:t>
                  </w:r>
                </w:p>
              </w:tc>
              <w:tc>
                <w:tcPr>
                  <w:tcW w:w="1659" w:type="dxa"/>
                  <w:tcBorders>
                    <w:tl2br w:val="nil"/>
                    <w:tr2bl w:val="nil"/>
                  </w:tcBorders>
                  <w:noWrap w:val="0"/>
                  <w:vAlign w:val="center"/>
                </w:tcPr>
                <w:p w14:paraId="439C6819">
                  <w:pPr>
                    <w:adjustRightInd w:val="0"/>
                    <w:snapToGrid w:val="0"/>
                    <w:jc w:val="center"/>
                    <w:rPr>
                      <w:sz w:val="21"/>
                      <w:szCs w:val="21"/>
                    </w:rPr>
                  </w:pPr>
                  <w:r>
                    <w:rPr>
                      <w:rFonts w:hint="eastAsia"/>
                      <w:sz w:val="21"/>
                      <w:szCs w:val="21"/>
                    </w:rPr>
                    <w:t>达标</w:t>
                  </w:r>
                </w:p>
              </w:tc>
              <w:tc>
                <w:tcPr>
                  <w:tcW w:w="1659" w:type="dxa"/>
                  <w:tcBorders>
                    <w:tl2br w:val="nil"/>
                    <w:tr2bl w:val="nil"/>
                  </w:tcBorders>
                  <w:noWrap w:val="0"/>
                  <w:vAlign w:val="center"/>
                </w:tcPr>
                <w:p w14:paraId="207B6E24">
                  <w:pPr>
                    <w:adjustRightInd w:val="0"/>
                    <w:snapToGrid w:val="0"/>
                    <w:jc w:val="center"/>
                    <w:rPr>
                      <w:sz w:val="21"/>
                      <w:szCs w:val="21"/>
                    </w:rPr>
                  </w:pPr>
                  <w:r>
                    <w:rPr>
                      <w:rFonts w:hint="eastAsia"/>
                      <w:sz w:val="21"/>
                      <w:szCs w:val="21"/>
                    </w:rPr>
                    <w:t>达标</w:t>
                  </w:r>
                </w:p>
              </w:tc>
            </w:tr>
          </w:tbl>
          <w:p w14:paraId="060B8968">
            <w:pPr>
              <w:spacing w:before="120" w:beforeLines="50" w:line="360" w:lineRule="auto"/>
              <w:ind w:firstLine="480" w:firstLineChars="200"/>
              <w:rPr>
                <w:sz w:val="24"/>
              </w:rPr>
            </w:pPr>
            <w:r>
              <w:rPr>
                <w:sz w:val="24"/>
              </w:rPr>
              <w:t>由上表可知，本项目</w:t>
            </w:r>
            <w:r>
              <w:rPr>
                <w:rFonts w:hint="eastAsia"/>
                <w:sz w:val="24"/>
              </w:rPr>
              <w:t>生产设备产生的噪声经过减震降噪、隔声及距离衰减后，项目东、西、南、北厂界噪声</w:t>
            </w:r>
            <w:r>
              <w:rPr>
                <w:sz w:val="24"/>
              </w:rPr>
              <w:t>贡献值均可以满足《工业企业厂界环境噪声排放标准》（GB12348-2008）表1中</w:t>
            </w:r>
            <w:r>
              <w:rPr>
                <w:rFonts w:hint="eastAsia"/>
                <w:sz w:val="24"/>
                <w:lang w:val="en-US" w:eastAsia="zh-CN"/>
              </w:rPr>
              <w:t>2</w:t>
            </w:r>
            <w:r>
              <w:rPr>
                <w:sz w:val="24"/>
              </w:rPr>
              <w:t xml:space="preserve">类标准要求。  </w:t>
            </w:r>
          </w:p>
          <w:p w14:paraId="18696CFB">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项目周围50m范围内声环境保护目标</w:t>
            </w:r>
            <w:r>
              <w:rPr>
                <w:rFonts w:hint="eastAsia"/>
                <w:color w:val="auto"/>
                <w:kern w:val="0"/>
                <w:sz w:val="24"/>
              </w:rPr>
              <w:t>为</w:t>
            </w:r>
            <w:r>
              <w:rPr>
                <w:rFonts w:hint="eastAsia"/>
                <w:color w:val="auto"/>
                <w:kern w:val="0"/>
                <w:sz w:val="24"/>
                <w:lang w:val="en-US" w:eastAsia="zh-CN"/>
              </w:rPr>
              <w:t>东北侧</w:t>
            </w:r>
            <w:r>
              <w:rPr>
                <w:rFonts w:hint="eastAsia" w:cs="Times New Roman"/>
                <w:sz w:val="24"/>
                <w:szCs w:val="24"/>
                <w:lang w:val="en-US" w:eastAsia="zh-CN"/>
              </w:rPr>
              <w:t>三川镇火神庙</w:t>
            </w:r>
            <w:r>
              <w:rPr>
                <w:rFonts w:hint="eastAsia" w:cs="Times New Roman"/>
                <w:sz w:val="24"/>
                <w:szCs w:val="24"/>
                <w:lang w:eastAsia="zh-CN"/>
              </w:rPr>
              <w:t>村</w:t>
            </w:r>
            <w:r>
              <w:rPr>
                <w:rFonts w:hint="eastAsia" w:cs="Times New Roman"/>
                <w:sz w:val="24"/>
                <w:szCs w:val="24"/>
                <w:lang w:val="en-US" w:eastAsia="zh-CN"/>
              </w:rPr>
              <w:t>大货场沟组居民</w:t>
            </w:r>
            <w:r>
              <w:rPr>
                <w:rFonts w:hint="eastAsia"/>
                <w:color w:val="auto"/>
                <w:kern w:val="0"/>
                <w:sz w:val="24"/>
              </w:rPr>
              <w:t>。敏感点噪声预测结果如下表所示。</w:t>
            </w:r>
          </w:p>
          <w:p w14:paraId="778A2707">
            <w:pPr>
              <w:keepNext/>
              <w:keepLines w:val="0"/>
              <w:suppressLineNumbers w:val="0"/>
              <w:spacing w:before="0" w:beforeAutospacing="0" w:after="0" w:afterAutospacing="0"/>
              <w:ind w:left="0" w:right="0"/>
              <w:jc w:val="center"/>
              <w:rPr>
                <w:rFonts w:hint="default" w:ascii="Times New Roman" w:hAnsi="Times New Roman" w:eastAsia="黑体" w:cs="Times New Roman"/>
                <w:kern w:val="0"/>
                <w:sz w:val="24"/>
                <w:szCs w:val="21"/>
                <w:lang w:val="en-US" w:eastAsia="zh-CN" w:bidi="ar-SA"/>
              </w:rPr>
            </w:pPr>
            <w:r>
              <w:rPr>
                <w:rFonts w:hint="default" w:ascii="Times New Roman" w:hAnsi="Times New Roman" w:eastAsia="黑体" w:cs="Times New Roman"/>
                <w:kern w:val="0"/>
                <w:sz w:val="24"/>
                <w:szCs w:val="21"/>
                <w:lang w:val="en-US" w:eastAsia="zh-CN" w:bidi="ar-SA"/>
              </w:rPr>
              <w:t>表</w:t>
            </w:r>
            <w:r>
              <w:rPr>
                <w:rFonts w:hint="eastAsia" w:ascii="Times New Roman" w:hAnsi="Times New Roman" w:eastAsia="黑体" w:cs="Times New Roman"/>
                <w:kern w:val="0"/>
                <w:sz w:val="24"/>
                <w:szCs w:val="21"/>
                <w:lang w:val="en-US" w:eastAsia="zh-CN" w:bidi="ar-SA"/>
              </w:rPr>
              <w:t>4-1</w:t>
            </w:r>
            <w:r>
              <w:rPr>
                <w:rFonts w:hint="eastAsia" w:eastAsia="黑体" w:cs="Times New Roman"/>
                <w:kern w:val="0"/>
                <w:sz w:val="24"/>
                <w:szCs w:val="21"/>
                <w:lang w:val="en-US" w:eastAsia="zh-CN" w:bidi="ar-SA"/>
              </w:rPr>
              <w:t>2</w:t>
            </w:r>
            <w:r>
              <w:rPr>
                <w:rFonts w:hint="eastAsia" w:ascii="Times New Roman" w:hAnsi="Times New Roman" w:eastAsia="黑体" w:cs="Times New Roman"/>
                <w:kern w:val="0"/>
                <w:sz w:val="24"/>
                <w:szCs w:val="21"/>
                <w:lang w:val="en-US" w:eastAsia="zh-CN" w:bidi="ar-SA"/>
              </w:rPr>
              <w:t xml:space="preserve">   敏感点</w:t>
            </w:r>
            <w:r>
              <w:rPr>
                <w:rFonts w:hint="default" w:ascii="Times New Roman" w:hAnsi="Times New Roman" w:eastAsia="黑体" w:cs="Times New Roman"/>
                <w:kern w:val="0"/>
                <w:sz w:val="24"/>
                <w:szCs w:val="21"/>
                <w:lang w:val="en-US" w:eastAsia="zh-CN" w:bidi="ar-SA"/>
              </w:rPr>
              <w:t>噪声预测结果一览表    单位：dB(A)</w:t>
            </w:r>
          </w:p>
          <w:tbl>
            <w:tblPr>
              <w:tblStyle w:val="31"/>
              <w:tblW w:w="834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54"/>
              <w:gridCol w:w="918"/>
              <w:gridCol w:w="751"/>
              <w:gridCol w:w="751"/>
              <w:gridCol w:w="756"/>
              <w:gridCol w:w="751"/>
              <w:gridCol w:w="756"/>
              <w:gridCol w:w="751"/>
              <w:gridCol w:w="754"/>
              <w:gridCol w:w="702"/>
            </w:tblGrid>
            <w:tr w14:paraId="45530E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454" w:type="dxa"/>
                  <w:tcBorders>
                    <w:tl2br w:val="nil"/>
                    <w:tr2bl w:val="nil"/>
                  </w:tcBorders>
                  <w:vAlign w:val="center"/>
                </w:tcPr>
                <w:p w14:paraId="6C81E593">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预测点</w:t>
                  </w:r>
                </w:p>
              </w:tc>
              <w:tc>
                <w:tcPr>
                  <w:tcW w:w="1669" w:type="dxa"/>
                  <w:gridSpan w:val="2"/>
                  <w:tcBorders>
                    <w:tl2br w:val="nil"/>
                    <w:tr2bl w:val="nil"/>
                  </w:tcBorders>
                  <w:vAlign w:val="center"/>
                </w:tcPr>
                <w:p w14:paraId="25E335F9">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贡献值</w:t>
                  </w:r>
                </w:p>
              </w:tc>
              <w:tc>
                <w:tcPr>
                  <w:tcW w:w="1507" w:type="dxa"/>
                  <w:gridSpan w:val="2"/>
                  <w:tcBorders>
                    <w:tl2br w:val="nil"/>
                    <w:tr2bl w:val="nil"/>
                  </w:tcBorders>
                  <w:vAlign w:val="center"/>
                </w:tcPr>
                <w:p w14:paraId="74CCBF16">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背景值</w:t>
                  </w:r>
                </w:p>
              </w:tc>
              <w:tc>
                <w:tcPr>
                  <w:tcW w:w="1507" w:type="dxa"/>
                  <w:gridSpan w:val="2"/>
                  <w:tcBorders>
                    <w:tl2br w:val="nil"/>
                    <w:tr2bl w:val="nil"/>
                  </w:tcBorders>
                  <w:vAlign w:val="center"/>
                </w:tcPr>
                <w:p w14:paraId="437A5BF3">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预测值</w:t>
                  </w:r>
                </w:p>
              </w:tc>
              <w:tc>
                <w:tcPr>
                  <w:tcW w:w="1505" w:type="dxa"/>
                  <w:gridSpan w:val="2"/>
                  <w:tcBorders>
                    <w:tl2br w:val="nil"/>
                    <w:tr2bl w:val="nil"/>
                  </w:tcBorders>
                  <w:vAlign w:val="center"/>
                </w:tcPr>
                <w:p w14:paraId="1AB46406">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标准值</w:t>
                  </w:r>
                </w:p>
              </w:tc>
              <w:tc>
                <w:tcPr>
                  <w:tcW w:w="702" w:type="dxa"/>
                  <w:tcBorders>
                    <w:tl2br w:val="nil"/>
                    <w:tr2bl w:val="nil"/>
                  </w:tcBorders>
                  <w:vAlign w:val="center"/>
                </w:tcPr>
                <w:p w14:paraId="0360B090">
                  <w:pPr>
                    <w:keepNext w:val="0"/>
                    <w:keepLines w:val="0"/>
                    <w:suppressLineNumbers w:val="0"/>
                    <w:adjustRightInd w:val="0"/>
                    <w:snapToGrid w:val="0"/>
                    <w:spacing w:before="0" w:beforeAutospacing="0" w:after="0" w:afterAutospacing="0"/>
                    <w:ind w:left="0" w:right="0"/>
                    <w:jc w:val="center"/>
                    <w:rPr>
                      <w:rFonts w:hint="default"/>
                      <w:b w:val="0"/>
                      <w:bCs/>
                      <w:color w:val="auto"/>
                      <w:sz w:val="21"/>
                      <w:szCs w:val="21"/>
                    </w:rPr>
                  </w:pPr>
                  <w:r>
                    <w:rPr>
                      <w:rFonts w:hint="default"/>
                      <w:b w:val="0"/>
                      <w:bCs/>
                      <w:color w:val="auto"/>
                      <w:sz w:val="21"/>
                      <w:szCs w:val="21"/>
                    </w:rPr>
                    <w:t>达标情况</w:t>
                  </w:r>
                </w:p>
              </w:tc>
            </w:tr>
            <w:tr w14:paraId="660823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454" w:type="dxa"/>
                  <w:vMerge w:val="restart"/>
                  <w:tcBorders>
                    <w:tl2br w:val="nil"/>
                    <w:tr2bl w:val="nil"/>
                  </w:tcBorders>
                  <w:vAlign w:val="center"/>
                </w:tcPr>
                <w:p w14:paraId="33CFD024">
                  <w:pPr>
                    <w:pStyle w:val="83"/>
                    <w:keepNext w:val="0"/>
                    <w:keepLines w:val="0"/>
                    <w:suppressLineNumbers w:val="0"/>
                    <w:spacing w:before="24" w:after="24" w:afterAutospacing="0"/>
                    <w:ind w:left="0" w:right="0"/>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东北侧居民散户</w:t>
                  </w:r>
                </w:p>
              </w:tc>
              <w:tc>
                <w:tcPr>
                  <w:tcW w:w="918" w:type="dxa"/>
                  <w:tcBorders>
                    <w:tl2br w:val="nil"/>
                    <w:tr2bl w:val="nil"/>
                  </w:tcBorders>
                  <w:vAlign w:val="center"/>
                </w:tcPr>
                <w:p w14:paraId="4CC9BA7A">
                  <w:pPr>
                    <w:pStyle w:val="83"/>
                    <w:keepNext w:val="0"/>
                    <w:keepLines w:val="0"/>
                    <w:suppressLineNumbers w:val="0"/>
                    <w:spacing w:before="0" w:beforeAutospacing="0" w:after="0" w:afterAutospacing="0"/>
                    <w:ind w:left="0" w:right="0" w:firstLine="0"/>
                    <w:rPr>
                      <w:rFonts w:hint="default" w:ascii="Times New Roman" w:hAnsi="Times New Roman"/>
                      <w:color w:val="auto"/>
                      <w:sz w:val="21"/>
                      <w:szCs w:val="21"/>
                    </w:rPr>
                  </w:pPr>
                  <w:r>
                    <w:rPr>
                      <w:rFonts w:hint="default" w:ascii="Times New Roman" w:hAnsi="Times New Roman"/>
                      <w:color w:val="auto"/>
                      <w:sz w:val="21"/>
                      <w:szCs w:val="21"/>
                    </w:rPr>
                    <w:t>昼间</w:t>
                  </w:r>
                </w:p>
              </w:tc>
              <w:tc>
                <w:tcPr>
                  <w:tcW w:w="751" w:type="dxa"/>
                  <w:tcBorders>
                    <w:tl2br w:val="nil"/>
                    <w:tr2bl w:val="nil"/>
                  </w:tcBorders>
                  <w:vAlign w:val="center"/>
                </w:tcPr>
                <w:p w14:paraId="14960B3E">
                  <w:pPr>
                    <w:keepNext w:val="0"/>
                    <w:keepLines w:val="0"/>
                    <w:widowControl/>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eastAsia="宋体"/>
                      <w:color w:val="auto"/>
                      <w:spacing w:val="8"/>
                      <w:kern w:val="0"/>
                      <w:sz w:val="21"/>
                      <w:szCs w:val="21"/>
                      <w:lang w:val="en-US" w:eastAsia="zh-CN"/>
                    </w:rPr>
                    <w:t xml:space="preserve">31.0  </w:t>
                  </w:r>
                </w:p>
              </w:tc>
              <w:tc>
                <w:tcPr>
                  <w:tcW w:w="751" w:type="dxa"/>
                  <w:tcBorders>
                    <w:tl2br w:val="nil"/>
                    <w:tr2bl w:val="nil"/>
                  </w:tcBorders>
                  <w:vAlign w:val="center"/>
                </w:tcPr>
                <w:p w14:paraId="5CECEFE7">
                  <w:pPr>
                    <w:pStyle w:val="83"/>
                    <w:keepNext w:val="0"/>
                    <w:keepLines w:val="0"/>
                    <w:suppressLineNumbers w:val="0"/>
                    <w:spacing w:before="24" w:after="24" w:afterAutospacing="0"/>
                    <w:ind w:left="0" w:right="0"/>
                    <w:rPr>
                      <w:rFonts w:hint="default" w:ascii="Times New Roman" w:hAnsi="Times New Roman"/>
                      <w:color w:val="auto"/>
                      <w:sz w:val="21"/>
                      <w:szCs w:val="21"/>
                    </w:rPr>
                  </w:pPr>
                  <w:r>
                    <w:rPr>
                      <w:rFonts w:hint="default" w:ascii="Times New Roman" w:hAnsi="Times New Roman"/>
                      <w:color w:val="auto"/>
                      <w:sz w:val="21"/>
                      <w:szCs w:val="21"/>
                    </w:rPr>
                    <w:t>昼间</w:t>
                  </w:r>
                </w:p>
              </w:tc>
              <w:tc>
                <w:tcPr>
                  <w:tcW w:w="756" w:type="dxa"/>
                  <w:tcBorders>
                    <w:tl2br w:val="nil"/>
                    <w:tr2bl w:val="nil"/>
                  </w:tcBorders>
                  <w:vAlign w:val="center"/>
                </w:tcPr>
                <w:p w14:paraId="31423172">
                  <w:pPr>
                    <w:keepNext w:val="0"/>
                    <w:keepLines w:val="0"/>
                    <w:widowControl/>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eastAsia="宋体"/>
                      <w:color w:val="auto"/>
                      <w:spacing w:val="8"/>
                      <w:kern w:val="0"/>
                      <w:sz w:val="21"/>
                      <w:szCs w:val="21"/>
                      <w:lang w:val="en-US" w:eastAsia="zh-CN"/>
                    </w:rPr>
                    <w:t>54.0</w:t>
                  </w:r>
                </w:p>
              </w:tc>
              <w:tc>
                <w:tcPr>
                  <w:tcW w:w="751" w:type="dxa"/>
                  <w:tcBorders>
                    <w:tl2br w:val="nil"/>
                    <w:tr2bl w:val="nil"/>
                  </w:tcBorders>
                  <w:vAlign w:val="center"/>
                </w:tcPr>
                <w:p w14:paraId="6B02491E">
                  <w:pPr>
                    <w:pStyle w:val="83"/>
                    <w:keepNext w:val="0"/>
                    <w:keepLines w:val="0"/>
                    <w:suppressLineNumbers w:val="0"/>
                    <w:spacing w:before="24" w:after="24" w:afterAutospacing="0"/>
                    <w:ind w:left="0" w:right="0"/>
                    <w:rPr>
                      <w:rFonts w:hint="default" w:ascii="Times New Roman" w:hAnsi="Times New Roman"/>
                      <w:color w:val="auto"/>
                      <w:sz w:val="21"/>
                      <w:szCs w:val="21"/>
                    </w:rPr>
                  </w:pPr>
                  <w:r>
                    <w:rPr>
                      <w:rFonts w:hint="default" w:ascii="Times New Roman" w:hAnsi="Times New Roman"/>
                      <w:color w:val="auto"/>
                      <w:sz w:val="21"/>
                      <w:szCs w:val="21"/>
                    </w:rPr>
                    <w:t>昼间</w:t>
                  </w:r>
                </w:p>
              </w:tc>
              <w:tc>
                <w:tcPr>
                  <w:tcW w:w="756" w:type="dxa"/>
                  <w:tcBorders>
                    <w:tl2br w:val="nil"/>
                    <w:tr2bl w:val="nil"/>
                  </w:tcBorders>
                  <w:vAlign w:val="center"/>
                </w:tcPr>
                <w:p w14:paraId="39EA26F9">
                  <w:pPr>
                    <w:keepNext w:val="0"/>
                    <w:keepLines w:val="0"/>
                    <w:widowControl/>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eastAsia="宋体"/>
                      <w:color w:val="auto"/>
                      <w:spacing w:val="8"/>
                      <w:kern w:val="0"/>
                      <w:sz w:val="21"/>
                      <w:szCs w:val="21"/>
                      <w:lang w:val="en-US" w:eastAsia="zh-CN"/>
                    </w:rPr>
                    <w:t>54.0</w:t>
                  </w:r>
                </w:p>
              </w:tc>
              <w:tc>
                <w:tcPr>
                  <w:tcW w:w="751" w:type="dxa"/>
                  <w:tcBorders>
                    <w:tl2br w:val="nil"/>
                    <w:tr2bl w:val="nil"/>
                  </w:tcBorders>
                  <w:vAlign w:val="center"/>
                </w:tcPr>
                <w:p w14:paraId="5066EB67">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default"/>
                      <w:color w:val="auto"/>
                      <w:spacing w:val="8"/>
                      <w:kern w:val="0"/>
                      <w:sz w:val="21"/>
                      <w:szCs w:val="21"/>
                      <w:lang w:val="zh-CN"/>
                    </w:rPr>
                    <w:t>昼间</w:t>
                  </w:r>
                </w:p>
              </w:tc>
              <w:tc>
                <w:tcPr>
                  <w:tcW w:w="754" w:type="dxa"/>
                  <w:tcBorders>
                    <w:tl2br w:val="nil"/>
                    <w:tr2bl w:val="nil"/>
                  </w:tcBorders>
                  <w:vAlign w:val="center"/>
                </w:tcPr>
                <w:p w14:paraId="50066108">
                  <w:pPr>
                    <w:keepNext w:val="0"/>
                    <w:keepLines w:val="0"/>
                    <w:suppressLineNumbers w:val="0"/>
                    <w:adjustRightInd w:val="0"/>
                    <w:snapToGrid w:val="0"/>
                    <w:spacing w:before="0" w:beforeAutospacing="0" w:after="0" w:afterAutospacing="0"/>
                    <w:ind w:left="0" w:right="0"/>
                    <w:jc w:val="center"/>
                    <w:rPr>
                      <w:rFonts w:hint="default" w:eastAsia="宋体"/>
                      <w:color w:val="auto"/>
                      <w:spacing w:val="8"/>
                      <w:kern w:val="0"/>
                      <w:sz w:val="21"/>
                      <w:szCs w:val="21"/>
                      <w:lang w:val="en-US" w:eastAsia="zh-CN"/>
                    </w:rPr>
                  </w:pPr>
                  <w:r>
                    <w:rPr>
                      <w:rFonts w:hint="eastAsia"/>
                      <w:color w:val="auto"/>
                      <w:spacing w:val="8"/>
                      <w:kern w:val="0"/>
                      <w:sz w:val="21"/>
                      <w:szCs w:val="21"/>
                      <w:lang w:val="en-US" w:eastAsia="zh-CN"/>
                    </w:rPr>
                    <w:t>60</w:t>
                  </w:r>
                </w:p>
              </w:tc>
              <w:tc>
                <w:tcPr>
                  <w:tcW w:w="702" w:type="dxa"/>
                  <w:tcBorders>
                    <w:tl2br w:val="nil"/>
                    <w:tr2bl w:val="nil"/>
                  </w:tcBorders>
                  <w:vAlign w:val="center"/>
                </w:tcPr>
                <w:p w14:paraId="2F2E07F8">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default"/>
                      <w:color w:val="auto"/>
                      <w:spacing w:val="8"/>
                      <w:kern w:val="0"/>
                      <w:sz w:val="21"/>
                      <w:szCs w:val="21"/>
                      <w:lang w:val="zh-CN"/>
                    </w:rPr>
                    <w:t>达标</w:t>
                  </w:r>
                </w:p>
              </w:tc>
            </w:tr>
            <w:tr w14:paraId="347BC5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454" w:type="dxa"/>
                  <w:vMerge w:val="continue"/>
                  <w:tcBorders>
                    <w:tl2br w:val="nil"/>
                    <w:tr2bl w:val="nil"/>
                  </w:tcBorders>
                  <w:vAlign w:val="center"/>
                </w:tcPr>
                <w:p w14:paraId="026704B9">
                  <w:pPr>
                    <w:pStyle w:val="83"/>
                    <w:keepNext w:val="0"/>
                    <w:keepLines w:val="0"/>
                    <w:suppressLineNumbers w:val="0"/>
                    <w:spacing w:before="24" w:after="24" w:afterAutospacing="0"/>
                    <w:ind w:left="0" w:right="0"/>
                    <w:rPr>
                      <w:rFonts w:hint="eastAsia" w:ascii="Times New Roman" w:hAnsi="Times New Roman"/>
                      <w:color w:val="auto"/>
                      <w:sz w:val="21"/>
                      <w:szCs w:val="21"/>
                      <w:lang w:val="en-US" w:eastAsia="zh-CN"/>
                    </w:rPr>
                  </w:pPr>
                </w:p>
              </w:tc>
              <w:tc>
                <w:tcPr>
                  <w:tcW w:w="918" w:type="dxa"/>
                  <w:tcBorders>
                    <w:tl2br w:val="nil"/>
                    <w:tr2bl w:val="nil"/>
                  </w:tcBorders>
                  <w:vAlign w:val="center"/>
                </w:tcPr>
                <w:p w14:paraId="2668C7F2">
                  <w:pPr>
                    <w:pStyle w:val="83"/>
                    <w:keepNext w:val="0"/>
                    <w:keepLines w:val="0"/>
                    <w:suppressLineNumbers w:val="0"/>
                    <w:spacing w:before="0" w:beforeAutospacing="0" w:after="0" w:afterAutospacing="0"/>
                    <w:ind w:left="0" w:right="0" w:firstLine="0"/>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夜间</w:t>
                  </w:r>
                </w:p>
              </w:tc>
              <w:tc>
                <w:tcPr>
                  <w:tcW w:w="751" w:type="dxa"/>
                  <w:tcBorders>
                    <w:tl2br w:val="nil"/>
                    <w:tr2bl w:val="nil"/>
                  </w:tcBorders>
                  <w:vAlign w:val="center"/>
                </w:tcPr>
                <w:p w14:paraId="5A08B69F">
                  <w:pPr>
                    <w:keepNext w:val="0"/>
                    <w:keepLines w:val="0"/>
                    <w:widowControl/>
                    <w:suppressLineNumbers w:val="0"/>
                    <w:adjustRightInd w:val="0"/>
                    <w:snapToGrid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31.0</w:t>
                  </w:r>
                </w:p>
              </w:tc>
              <w:tc>
                <w:tcPr>
                  <w:tcW w:w="751" w:type="dxa"/>
                  <w:tcBorders>
                    <w:tl2br w:val="nil"/>
                    <w:tr2bl w:val="nil"/>
                  </w:tcBorders>
                  <w:vAlign w:val="center"/>
                </w:tcPr>
                <w:p w14:paraId="0956398E">
                  <w:pPr>
                    <w:pStyle w:val="83"/>
                    <w:keepNext w:val="0"/>
                    <w:keepLines w:val="0"/>
                    <w:suppressLineNumbers w:val="0"/>
                    <w:spacing w:before="24" w:after="24" w:afterAutospacing="0"/>
                    <w:ind w:left="0" w:right="0"/>
                    <w:rPr>
                      <w:rFonts w:hint="default" w:ascii="Times New Roman" w:hAnsi="Times New Roman"/>
                      <w:color w:val="auto"/>
                      <w:sz w:val="21"/>
                      <w:szCs w:val="21"/>
                    </w:rPr>
                  </w:pPr>
                  <w:r>
                    <w:rPr>
                      <w:rFonts w:hint="eastAsia" w:ascii="Times New Roman" w:hAnsi="Times New Roman"/>
                      <w:color w:val="auto"/>
                      <w:sz w:val="21"/>
                      <w:szCs w:val="21"/>
                      <w:lang w:val="en-US" w:eastAsia="zh-CN"/>
                    </w:rPr>
                    <w:t>夜间</w:t>
                  </w:r>
                </w:p>
              </w:tc>
              <w:tc>
                <w:tcPr>
                  <w:tcW w:w="756" w:type="dxa"/>
                  <w:tcBorders>
                    <w:tl2br w:val="nil"/>
                    <w:tr2bl w:val="nil"/>
                  </w:tcBorders>
                  <w:vAlign w:val="center"/>
                </w:tcPr>
                <w:p w14:paraId="50555320">
                  <w:pPr>
                    <w:keepNext w:val="0"/>
                    <w:keepLines w:val="0"/>
                    <w:widowControl/>
                    <w:suppressLineNumbers w:val="0"/>
                    <w:adjustRightInd w:val="0"/>
                    <w:snapToGrid w:val="0"/>
                    <w:spacing w:before="0" w:beforeAutospacing="0" w:after="0" w:afterAutospacing="0"/>
                    <w:ind w:left="0" w:right="0"/>
                    <w:jc w:val="center"/>
                    <w:rPr>
                      <w:rFonts w:hint="default"/>
                      <w:color w:val="auto"/>
                      <w:spacing w:val="8"/>
                      <w:kern w:val="0"/>
                      <w:sz w:val="21"/>
                      <w:szCs w:val="21"/>
                      <w:lang w:val="en-US" w:eastAsia="zh-CN"/>
                    </w:rPr>
                  </w:pPr>
                  <w:r>
                    <w:rPr>
                      <w:rFonts w:hint="eastAsia"/>
                      <w:color w:val="auto"/>
                      <w:spacing w:val="8"/>
                      <w:kern w:val="0"/>
                      <w:sz w:val="21"/>
                      <w:szCs w:val="21"/>
                      <w:lang w:val="en-US" w:eastAsia="zh-CN"/>
                    </w:rPr>
                    <w:t>45.0</w:t>
                  </w:r>
                </w:p>
              </w:tc>
              <w:tc>
                <w:tcPr>
                  <w:tcW w:w="751" w:type="dxa"/>
                  <w:tcBorders>
                    <w:tl2br w:val="nil"/>
                    <w:tr2bl w:val="nil"/>
                  </w:tcBorders>
                  <w:vAlign w:val="center"/>
                </w:tcPr>
                <w:p w14:paraId="4B231AC8">
                  <w:pPr>
                    <w:pStyle w:val="83"/>
                    <w:keepNext w:val="0"/>
                    <w:keepLines w:val="0"/>
                    <w:suppressLineNumbers w:val="0"/>
                    <w:spacing w:before="24" w:after="24" w:afterAutospacing="0"/>
                    <w:ind w:left="0" w:right="0"/>
                    <w:rPr>
                      <w:rFonts w:hint="default" w:ascii="Times New Roman" w:hAnsi="Times New Roman"/>
                      <w:color w:val="auto"/>
                      <w:sz w:val="21"/>
                      <w:szCs w:val="21"/>
                    </w:rPr>
                  </w:pPr>
                  <w:r>
                    <w:rPr>
                      <w:rFonts w:hint="eastAsia" w:ascii="Times New Roman" w:hAnsi="Times New Roman"/>
                      <w:color w:val="auto"/>
                      <w:sz w:val="21"/>
                      <w:szCs w:val="21"/>
                      <w:lang w:val="en-US" w:eastAsia="zh-CN"/>
                    </w:rPr>
                    <w:t>夜间</w:t>
                  </w:r>
                </w:p>
              </w:tc>
              <w:tc>
                <w:tcPr>
                  <w:tcW w:w="756" w:type="dxa"/>
                  <w:tcBorders>
                    <w:tl2br w:val="nil"/>
                    <w:tr2bl w:val="nil"/>
                  </w:tcBorders>
                  <w:vAlign w:val="center"/>
                </w:tcPr>
                <w:p w14:paraId="59C7BB89">
                  <w:pPr>
                    <w:keepNext w:val="0"/>
                    <w:keepLines w:val="0"/>
                    <w:widowControl/>
                    <w:suppressLineNumbers w:val="0"/>
                    <w:adjustRightInd w:val="0"/>
                    <w:snapToGrid w:val="0"/>
                    <w:spacing w:before="0" w:beforeAutospacing="0" w:after="0" w:afterAutospacing="0"/>
                    <w:ind w:left="0" w:right="0"/>
                    <w:jc w:val="center"/>
                    <w:rPr>
                      <w:rFonts w:hint="default"/>
                      <w:color w:val="auto"/>
                      <w:spacing w:val="8"/>
                      <w:kern w:val="0"/>
                      <w:sz w:val="21"/>
                      <w:szCs w:val="21"/>
                      <w:lang w:val="en-US" w:eastAsia="zh-CN"/>
                    </w:rPr>
                  </w:pPr>
                  <w:r>
                    <w:rPr>
                      <w:rFonts w:hint="eastAsia"/>
                      <w:color w:val="auto"/>
                      <w:spacing w:val="8"/>
                      <w:kern w:val="0"/>
                      <w:sz w:val="21"/>
                      <w:szCs w:val="21"/>
                      <w:lang w:val="en-US" w:eastAsia="zh-CN"/>
                    </w:rPr>
                    <w:t>45.2</w:t>
                  </w:r>
                </w:p>
              </w:tc>
              <w:tc>
                <w:tcPr>
                  <w:tcW w:w="751" w:type="dxa"/>
                  <w:tcBorders>
                    <w:tl2br w:val="nil"/>
                    <w:tr2bl w:val="nil"/>
                  </w:tcBorders>
                  <w:vAlign w:val="center"/>
                </w:tcPr>
                <w:p w14:paraId="4E7C625A">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eastAsia" w:ascii="Times New Roman" w:hAnsi="Times New Roman"/>
                      <w:color w:val="auto"/>
                      <w:sz w:val="21"/>
                      <w:szCs w:val="21"/>
                      <w:lang w:val="en-US" w:eastAsia="zh-CN"/>
                    </w:rPr>
                    <w:t>夜间</w:t>
                  </w:r>
                </w:p>
              </w:tc>
              <w:tc>
                <w:tcPr>
                  <w:tcW w:w="754" w:type="dxa"/>
                  <w:tcBorders>
                    <w:tl2br w:val="nil"/>
                    <w:tr2bl w:val="nil"/>
                  </w:tcBorders>
                  <w:vAlign w:val="center"/>
                </w:tcPr>
                <w:p w14:paraId="195E9828">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en-US" w:eastAsia="zh-CN"/>
                    </w:rPr>
                  </w:pPr>
                  <w:r>
                    <w:rPr>
                      <w:rFonts w:hint="eastAsia"/>
                      <w:color w:val="auto"/>
                      <w:spacing w:val="8"/>
                      <w:kern w:val="0"/>
                      <w:sz w:val="21"/>
                      <w:szCs w:val="21"/>
                      <w:lang w:val="en-US" w:eastAsia="zh-CN"/>
                    </w:rPr>
                    <w:t>50</w:t>
                  </w:r>
                </w:p>
              </w:tc>
              <w:tc>
                <w:tcPr>
                  <w:tcW w:w="702" w:type="dxa"/>
                  <w:tcBorders>
                    <w:tl2br w:val="nil"/>
                    <w:tr2bl w:val="nil"/>
                  </w:tcBorders>
                  <w:vAlign w:val="center"/>
                </w:tcPr>
                <w:p w14:paraId="7CF21BE7">
                  <w:pPr>
                    <w:keepNext w:val="0"/>
                    <w:keepLines w:val="0"/>
                    <w:suppressLineNumbers w:val="0"/>
                    <w:adjustRightInd w:val="0"/>
                    <w:snapToGrid w:val="0"/>
                    <w:spacing w:before="0" w:beforeAutospacing="0" w:after="0" w:afterAutospacing="0"/>
                    <w:ind w:left="0" w:right="0"/>
                    <w:jc w:val="center"/>
                    <w:rPr>
                      <w:rFonts w:hint="default"/>
                      <w:color w:val="auto"/>
                      <w:spacing w:val="8"/>
                      <w:kern w:val="0"/>
                      <w:sz w:val="21"/>
                      <w:szCs w:val="21"/>
                      <w:lang w:val="zh-CN"/>
                    </w:rPr>
                  </w:pPr>
                  <w:r>
                    <w:rPr>
                      <w:rFonts w:hint="default"/>
                      <w:color w:val="auto"/>
                      <w:spacing w:val="8"/>
                      <w:kern w:val="0"/>
                      <w:sz w:val="21"/>
                      <w:szCs w:val="21"/>
                      <w:lang w:val="zh-CN"/>
                    </w:rPr>
                    <w:t>达标</w:t>
                  </w:r>
                </w:p>
              </w:tc>
            </w:tr>
            <w:tr w14:paraId="5252B1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8344" w:type="dxa"/>
                  <w:gridSpan w:val="10"/>
                  <w:tcBorders>
                    <w:tl2br w:val="nil"/>
                    <w:tr2bl w:val="nil"/>
                  </w:tcBorders>
                  <w:vAlign w:val="center"/>
                </w:tcPr>
                <w:p w14:paraId="3C1B1E7F">
                  <w:pPr>
                    <w:keepNext w:val="0"/>
                    <w:keepLines w:val="0"/>
                    <w:suppressLineNumbers w:val="0"/>
                    <w:adjustRightInd w:val="0"/>
                    <w:snapToGrid w:val="0"/>
                    <w:spacing w:before="0" w:beforeAutospacing="0" w:after="0" w:afterAutospacing="0"/>
                    <w:ind w:left="0" w:right="0"/>
                    <w:jc w:val="left"/>
                    <w:rPr>
                      <w:rFonts w:hint="default"/>
                      <w:color w:val="auto"/>
                      <w:sz w:val="18"/>
                      <w:szCs w:val="18"/>
                    </w:rPr>
                  </w:pPr>
                  <w:r>
                    <w:rPr>
                      <w:rFonts w:hint="default"/>
                      <w:color w:val="auto"/>
                      <w:sz w:val="18"/>
                      <w:szCs w:val="18"/>
                    </w:rPr>
                    <w:t>注：敏感点背景值为洛阳绿壤环境检测有限公司于2024年</w:t>
                  </w:r>
                  <w:r>
                    <w:rPr>
                      <w:rFonts w:hint="eastAsia"/>
                      <w:color w:val="auto"/>
                      <w:sz w:val="18"/>
                      <w:szCs w:val="18"/>
                      <w:lang w:val="en-US" w:eastAsia="zh-CN"/>
                    </w:rPr>
                    <w:t>9</w:t>
                  </w:r>
                  <w:r>
                    <w:rPr>
                      <w:rFonts w:hint="default"/>
                      <w:color w:val="auto"/>
                      <w:sz w:val="18"/>
                      <w:szCs w:val="18"/>
                    </w:rPr>
                    <w:t>月2</w:t>
                  </w:r>
                  <w:r>
                    <w:rPr>
                      <w:rFonts w:hint="eastAsia"/>
                      <w:color w:val="auto"/>
                      <w:sz w:val="18"/>
                      <w:szCs w:val="18"/>
                      <w:lang w:val="en-US" w:eastAsia="zh-CN"/>
                    </w:rPr>
                    <w:t>6</w:t>
                  </w:r>
                  <w:r>
                    <w:rPr>
                      <w:rFonts w:hint="default"/>
                      <w:color w:val="auto"/>
                      <w:sz w:val="18"/>
                      <w:szCs w:val="18"/>
                    </w:rPr>
                    <w:t>日、2</w:t>
                  </w:r>
                  <w:r>
                    <w:rPr>
                      <w:rFonts w:hint="eastAsia"/>
                      <w:color w:val="auto"/>
                      <w:sz w:val="18"/>
                      <w:szCs w:val="18"/>
                      <w:lang w:val="en-US" w:eastAsia="zh-CN"/>
                    </w:rPr>
                    <w:t>7</w:t>
                  </w:r>
                  <w:r>
                    <w:rPr>
                      <w:rFonts w:hint="default"/>
                      <w:color w:val="auto"/>
                      <w:sz w:val="18"/>
                      <w:szCs w:val="18"/>
                    </w:rPr>
                    <w:t>日对</w:t>
                  </w:r>
                  <w:r>
                    <w:rPr>
                      <w:rFonts w:hint="eastAsia"/>
                      <w:color w:val="auto"/>
                      <w:sz w:val="18"/>
                      <w:szCs w:val="18"/>
                      <w:lang w:val="en-US" w:eastAsia="zh-CN"/>
                    </w:rPr>
                    <w:t>东北侧散户居民</w:t>
                  </w:r>
                  <w:r>
                    <w:rPr>
                      <w:rFonts w:hint="eastAsia"/>
                      <w:color w:val="auto"/>
                      <w:sz w:val="18"/>
                      <w:szCs w:val="18"/>
                    </w:rPr>
                    <w:t>的</w:t>
                  </w:r>
                  <w:r>
                    <w:rPr>
                      <w:rFonts w:hint="default"/>
                      <w:color w:val="auto"/>
                      <w:sz w:val="18"/>
                      <w:szCs w:val="18"/>
                    </w:rPr>
                    <w:t>环境质量现状监测结果，取值为两天监测噪声最大值；贡献值为本项目</w:t>
                  </w:r>
                  <w:r>
                    <w:rPr>
                      <w:rFonts w:hint="eastAsia"/>
                      <w:color w:val="auto"/>
                      <w:sz w:val="18"/>
                      <w:szCs w:val="18"/>
                      <w:lang w:val="en-US" w:eastAsia="zh-CN"/>
                    </w:rPr>
                    <w:t>南侧</w:t>
                  </w:r>
                  <w:r>
                    <w:rPr>
                      <w:rFonts w:hint="default"/>
                      <w:color w:val="auto"/>
                      <w:sz w:val="18"/>
                      <w:szCs w:val="18"/>
                    </w:rPr>
                    <w:t>厂界噪声贡献值距离衰减后至敏感点的贡献值。</w:t>
                  </w:r>
                </w:p>
              </w:tc>
            </w:tr>
          </w:tbl>
          <w:p w14:paraId="297A109B">
            <w:pPr>
              <w:pStyle w:val="20"/>
              <w:numPr>
                <w:ilvl w:val="0"/>
                <w:numId w:val="0"/>
              </w:numPr>
              <w:spacing w:line="360" w:lineRule="auto"/>
              <w:ind w:leftChars="0"/>
              <w:rPr>
                <w:rFonts w:hint="default"/>
                <w:color w:val="auto"/>
                <w:kern w:val="0"/>
                <w:sz w:val="24"/>
              </w:rPr>
            </w:pPr>
          </w:p>
          <w:p w14:paraId="76D7B725">
            <w:pPr>
              <w:pStyle w:val="20"/>
              <w:numPr>
                <w:ilvl w:val="0"/>
                <w:numId w:val="0"/>
              </w:numPr>
              <w:spacing w:line="360" w:lineRule="auto"/>
              <w:ind w:leftChars="0" w:firstLine="480" w:firstLineChars="200"/>
              <w:rPr>
                <w:rFonts w:hint="eastAsia"/>
                <w:b/>
                <w:spacing w:val="-10"/>
                <w:sz w:val="24"/>
                <w:lang w:val="en-US" w:eastAsia="zh-CN"/>
              </w:rPr>
            </w:pPr>
            <w:r>
              <w:rPr>
                <w:rFonts w:hint="default"/>
                <w:color w:val="auto"/>
                <w:kern w:val="0"/>
                <w:sz w:val="24"/>
              </w:rPr>
              <w:t>根据预测结果，本项目投入运行后，敏感点</w:t>
            </w:r>
            <w:r>
              <w:rPr>
                <w:rFonts w:hint="eastAsia"/>
                <w:color w:val="auto"/>
                <w:kern w:val="0"/>
                <w:sz w:val="24"/>
                <w:lang w:val="en-US" w:eastAsia="zh-CN"/>
              </w:rPr>
              <w:t>东北侧散户居民</w:t>
            </w:r>
            <w:r>
              <w:rPr>
                <w:rFonts w:hint="default"/>
                <w:color w:val="auto"/>
                <w:kern w:val="0"/>
                <w:sz w:val="24"/>
              </w:rPr>
              <w:t>噪声仍可满足《声环境质量标准》（GB3096-2008）</w:t>
            </w:r>
            <w:r>
              <w:rPr>
                <w:rFonts w:hint="eastAsia"/>
                <w:color w:val="auto"/>
                <w:kern w:val="0"/>
                <w:sz w:val="24"/>
                <w:lang w:val="en-US" w:eastAsia="zh-CN"/>
              </w:rPr>
              <w:t>2</w:t>
            </w:r>
            <w:r>
              <w:rPr>
                <w:rFonts w:hint="default"/>
                <w:color w:val="auto"/>
                <w:kern w:val="0"/>
                <w:sz w:val="24"/>
              </w:rPr>
              <w:t>类标准要求。本项目运行过程中的噪声对</w:t>
            </w:r>
            <w:r>
              <w:rPr>
                <w:rFonts w:hint="eastAsia"/>
                <w:color w:val="auto"/>
                <w:kern w:val="0"/>
                <w:sz w:val="24"/>
              </w:rPr>
              <w:t>各</w:t>
            </w:r>
            <w:r>
              <w:rPr>
                <w:rFonts w:hint="default"/>
                <w:color w:val="auto"/>
                <w:kern w:val="0"/>
                <w:sz w:val="24"/>
              </w:rPr>
              <w:t>敏感点的影响可接受。</w:t>
            </w:r>
          </w:p>
          <w:p w14:paraId="7C773794">
            <w:pPr>
              <w:pStyle w:val="20"/>
              <w:numPr>
                <w:ilvl w:val="0"/>
                <w:numId w:val="0"/>
              </w:numPr>
              <w:spacing w:line="360" w:lineRule="auto"/>
              <w:ind w:leftChars="0"/>
              <w:rPr>
                <w:rFonts w:hint="eastAsia"/>
                <w:b/>
                <w:spacing w:val="-10"/>
                <w:sz w:val="24"/>
                <w:lang w:val="en-US" w:eastAsia="zh-CN"/>
              </w:rPr>
            </w:pPr>
            <w:r>
              <w:rPr>
                <w:rFonts w:hint="eastAsia"/>
                <w:b/>
                <w:spacing w:val="-10"/>
                <w:sz w:val="24"/>
                <w:lang w:val="en-US" w:eastAsia="zh-CN"/>
              </w:rPr>
              <w:t xml:space="preserve">3.3噪声监测计划 </w:t>
            </w:r>
          </w:p>
          <w:p w14:paraId="379214E9">
            <w:pPr>
              <w:pStyle w:val="20"/>
              <w:numPr>
                <w:ilvl w:val="0"/>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项目</w:t>
            </w:r>
            <w:r>
              <w:rPr>
                <w:rFonts w:hint="eastAsia" w:ascii="Times New Roman" w:hAnsi="Times New Roman" w:eastAsia="宋体" w:cs="Times New Roman"/>
                <w:kern w:val="2"/>
                <w:sz w:val="24"/>
                <w:szCs w:val="24"/>
                <w:lang w:val="en-US" w:eastAsia="zh-CN" w:bidi="ar-SA"/>
              </w:rPr>
              <w:t>厂界噪声监测计划见下表：</w:t>
            </w:r>
          </w:p>
          <w:p w14:paraId="7C444C9D">
            <w:pPr>
              <w:pStyle w:val="119"/>
              <w:numPr>
                <w:ilvl w:val="0"/>
                <w:numId w:val="0"/>
              </w:numPr>
              <w:ind w:firstLine="2400" w:firstLineChars="1000"/>
              <w:jc w:val="both"/>
              <w:rPr>
                <w:rFonts w:hint="eastAsia"/>
                <w:kern w:val="0"/>
                <w:sz w:val="24"/>
                <w:szCs w:val="24"/>
                <w:u w:val="none"/>
              </w:rPr>
            </w:pPr>
            <w:r>
              <w:rPr>
                <w:rFonts w:hint="eastAsia"/>
                <w:kern w:val="0"/>
                <w:sz w:val="24"/>
                <w:szCs w:val="24"/>
                <w:u w:val="none"/>
                <w:lang w:eastAsia="zh-CN"/>
              </w:rPr>
              <w:t>表</w:t>
            </w:r>
            <w:r>
              <w:rPr>
                <w:rFonts w:hint="eastAsia"/>
                <w:kern w:val="0"/>
                <w:sz w:val="24"/>
                <w:szCs w:val="24"/>
                <w:u w:val="none"/>
                <w:lang w:val="en-US" w:eastAsia="zh-CN"/>
              </w:rPr>
              <w:t xml:space="preserve">4-13   </w:t>
            </w:r>
            <w:r>
              <w:rPr>
                <w:rFonts w:hint="eastAsia"/>
                <w:kern w:val="0"/>
                <w:sz w:val="24"/>
                <w:szCs w:val="24"/>
                <w:u w:val="none"/>
              </w:rPr>
              <w:t xml:space="preserve"> </w:t>
            </w:r>
            <w:r>
              <w:rPr>
                <w:rFonts w:hint="eastAsia"/>
                <w:kern w:val="0"/>
                <w:sz w:val="24"/>
                <w:szCs w:val="24"/>
                <w:u w:val="none"/>
                <w:lang w:eastAsia="zh-CN"/>
              </w:rPr>
              <w:t>噪声监测方案</w:t>
            </w:r>
            <w:r>
              <w:rPr>
                <w:rFonts w:hint="eastAsia"/>
                <w:kern w:val="0"/>
                <w:sz w:val="24"/>
                <w:szCs w:val="24"/>
                <w:u w:val="none"/>
              </w:rPr>
              <w:t>一览表</w:t>
            </w:r>
          </w:p>
          <w:tbl>
            <w:tblPr>
              <w:tblStyle w:val="31"/>
              <w:tblW w:w="8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98"/>
              <w:gridCol w:w="1566"/>
              <w:gridCol w:w="1456"/>
              <w:gridCol w:w="3038"/>
            </w:tblGrid>
            <w:tr w14:paraId="30EA3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5" w:hRule="atLeast"/>
                <w:jc w:val="center"/>
              </w:trPr>
              <w:tc>
                <w:tcPr>
                  <w:tcW w:w="2198" w:type="dxa"/>
                  <w:tcBorders>
                    <w:tl2br w:val="nil"/>
                    <w:tr2bl w:val="nil"/>
                  </w:tcBorders>
                  <w:noWrap w:val="0"/>
                  <w:vAlign w:val="center"/>
                </w:tcPr>
                <w:p w14:paraId="25CAAC83">
                  <w:pPr>
                    <w:pStyle w:val="110"/>
                    <w:jc w:val="center"/>
                    <w:rPr>
                      <w:rFonts w:hint="eastAsia" w:ascii="Times New Roman" w:hAnsi="Times New Roman" w:eastAsia="宋体"/>
                      <w:sz w:val="21"/>
                      <w:szCs w:val="21"/>
                      <w:u w:val="none"/>
                      <w:lang w:eastAsia="zh-CN"/>
                    </w:rPr>
                  </w:pPr>
                  <w:r>
                    <w:rPr>
                      <w:rFonts w:hint="eastAsia" w:ascii="Times New Roman" w:hAnsi="Times New Roman"/>
                      <w:sz w:val="21"/>
                      <w:szCs w:val="21"/>
                      <w:u w:val="none"/>
                      <w:lang w:eastAsia="zh-CN"/>
                    </w:rPr>
                    <w:t>监测点位</w:t>
                  </w:r>
                </w:p>
              </w:tc>
              <w:tc>
                <w:tcPr>
                  <w:tcW w:w="1566" w:type="dxa"/>
                  <w:tcBorders>
                    <w:tl2br w:val="nil"/>
                    <w:tr2bl w:val="nil"/>
                  </w:tcBorders>
                  <w:noWrap w:val="0"/>
                  <w:vAlign w:val="center"/>
                </w:tcPr>
                <w:p w14:paraId="5E4488B3">
                  <w:pPr>
                    <w:pStyle w:val="110"/>
                    <w:jc w:val="center"/>
                    <w:rPr>
                      <w:rFonts w:hint="eastAsia" w:ascii="Times New Roman" w:hAnsi="Times New Roman" w:eastAsia="宋体"/>
                      <w:sz w:val="21"/>
                      <w:szCs w:val="21"/>
                      <w:u w:val="none"/>
                      <w:lang w:eastAsia="zh-CN"/>
                    </w:rPr>
                  </w:pPr>
                  <w:r>
                    <w:rPr>
                      <w:rFonts w:hint="eastAsia" w:ascii="Times New Roman" w:hAnsi="Times New Roman"/>
                      <w:sz w:val="21"/>
                      <w:szCs w:val="21"/>
                      <w:u w:val="none"/>
                      <w:lang w:eastAsia="zh-CN"/>
                    </w:rPr>
                    <w:t>监测指标</w:t>
                  </w:r>
                </w:p>
              </w:tc>
              <w:tc>
                <w:tcPr>
                  <w:tcW w:w="1456" w:type="dxa"/>
                  <w:tcBorders>
                    <w:tl2br w:val="nil"/>
                    <w:tr2bl w:val="nil"/>
                  </w:tcBorders>
                  <w:noWrap w:val="0"/>
                  <w:vAlign w:val="center"/>
                </w:tcPr>
                <w:p w14:paraId="05D074CB">
                  <w:pPr>
                    <w:pStyle w:val="110"/>
                    <w:jc w:val="center"/>
                    <w:rPr>
                      <w:rFonts w:hint="eastAsia" w:ascii="Times New Roman" w:hAnsi="Times New Roman" w:eastAsia="宋体"/>
                      <w:sz w:val="21"/>
                      <w:szCs w:val="21"/>
                      <w:u w:val="none"/>
                      <w:lang w:eastAsia="zh-CN"/>
                    </w:rPr>
                  </w:pPr>
                  <w:r>
                    <w:rPr>
                      <w:rFonts w:hint="eastAsia" w:ascii="Times New Roman" w:hAnsi="Times New Roman"/>
                      <w:sz w:val="21"/>
                      <w:szCs w:val="21"/>
                      <w:u w:val="none"/>
                      <w:lang w:eastAsia="zh-CN"/>
                    </w:rPr>
                    <w:t>监测频次</w:t>
                  </w:r>
                </w:p>
              </w:tc>
              <w:tc>
                <w:tcPr>
                  <w:tcW w:w="3038" w:type="dxa"/>
                  <w:tcBorders>
                    <w:tl2br w:val="nil"/>
                    <w:tr2bl w:val="nil"/>
                  </w:tcBorders>
                  <w:noWrap w:val="0"/>
                  <w:vAlign w:val="center"/>
                </w:tcPr>
                <w:p w14:paraId="25C1A286">
                  <w:pPr>
                    <w:pStyle w:val="110"/>
                    <w:jc w:val="center"/>
                    <w:rPr>
                      <w:rFonts w:hint="default" w:ascii="Times New Roman" w:hAnsi="Times New Roman"/>
                      <w:sz w:val="21"/>
                      <w:szCs w:val="21"/>
                      <w:u w:val="none"/>
                      <w:lang w:val="en-US" w:eastAsia="zh-CN"/>
                    </w:rPr>
                  </w:pPr>
                  <w:r>
                    <w:rPr>
                      <w:rFonts w:hint="eastAsia" w:ascii="Times New Roman" w:hAnsi="Times New Roman"/>
                      <w:sz w:val="21"/>
                      <w:szCs w:val="21"/>
                      <w:u w:val="none"/>
                      <w:lang w:val="en-US" w:eastAsia="zh-CN"/>
                    </w:rPr>
                    <w:t>执行标准</w:t>
                  </w:r>
                </w:p>
              </w:tc>
            </w:tr>
            <w:tr w14:paraId="79A36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3" w:hRule="atLeast"/>
                <w:jc w:val="center"/>
              </w:trPr>
              <w:tc>
                <w:tcPr>
                  <w:tcW w:w="2198" w:type="dxa"/>
                  <w:tcBorders>
                    <w:tl2br w:val="nil"/>
                    <w:tr2bl w:val="nil"/>
                  </w:tcBorders>
                  <w:noWrap w:val="0"/>
                  <w:vAlign w:val="center"/>
                </w:tcPr>
                <w:p w14:paraId="2333AD77">
                  <w:pPr>
                    <w:jc w:val="center"/>
                    <w:rPr>
                      <w:rFonts w:hint="eastAsia" w:ascii="Times New Roman" w:hAnsi="Times New Roman" w:eastAsia="宋体"/>
                      <w:sz w:val="21"/>
                      <w:szCs w:val="21"/>
                      <w:u w:val="none"/>
                      <w:lang w:eastAsia="zh-CN"/>
                    </w:rPr>
                  </w:pPr>
                  <w:r>
                    <w:rPr>
                      <w:rFonts w:hint="eastAsia"/>
                      <w:bCs/>
                      <w:spacing w:val="-10"/>
                      <w:sz w:val="21"/>
                      <w:szCs w:val="21"/>
                    </w:rPr>
                    <w:t>东、</w:t>
                  </w:r>
                  <w:r>
                    <w:rPr>
                      <w:sz w:val="21"/>
                      <w:szCs w:val="21"/>
                    </w:rPr>
                    <w:t>西、南</w:t>
                  </w:r>
                  <w:r>
                    <w:rPr>
                      <w:rFonts w:hint="eastAsia"/>
                      <w:sz w:val="21"/>
                      <w:szCs w:val="21"/>
                    </w:rPr>
                    <w:t>、北厂界</w:t>
                  </w:r>
                </w:p>
              </w:tc>
              <w:tc>
                <w:tcPr>
                  <w:tcW w:w="1566" w:type="dxa"/>
                  <w:tcBorders>
                    <w:tl2br w:val="nil"/>
                    <w:tr2bl w:val="nil"/>
                  </w:tcBorders>
                  <w:noWrap w:val="0"/>
                  <w:vAlign w:val="center"/>
                </w:tcPr>
                <w:p w14:paraId="55AEA72F">
                  <w:pPr>
                    <w:jc w:val="center"/>
                    <w:rPr>
                      <w:rFonts w:hint="default" w:ascii="Times New Roman" w:hAnsi="Times New Roman" w:eastAsia="宋体"/>
                      <w:sz w:val="21"/>
                      <w:szCs w:val="21"/>
                      <w:u w:val="none"/>
                      <w:lang w:val="en-US" w:eastAsia="zh-CN"/>
                    </w:rPr>
                  </w:pPr>
                  <w:r>
                    <w:rPr>
                      <w:rFonts w:hint="eastAsia"/>
                      <w:sz w:val="21"/>
                      <w:szCs w:val="21"/>
                      <w:lang w:val="en-US" w:eastAsia="zh-CN"/>
                    </w:rPr>
                    <w:t>等效A声级</w:t>
                  </w:r>
                </w:p>
              </w:tc>
              <w:tc>
                <w:tcPr>
                  <w:tcW w:w="1456" w:type="dxa"/>
                  <w:tcBorders>
                    <w:tl2br w:val="nil"/>
                    <w:tr2bl w:val="nil"/>
                  </w:tcBorders>
                  <w:noWrap w:val="0"/>
                  <w:vAlign w:val="center"/>
                </w:tcPr>
                <w:p w14:paraId="15515EA5">
                  <w:pPr>
                    <w:pStyle w:val="110"/>
                    <w:jc w:val="center"/>
                    <w:rPr>
                      <w:rFonts w:hint="eastAsia" w:ascii="Times New Roman" w:hAnsi="Times New Roman" w:eastAsia="宋体"/>
                      <w:sz w:val="21"/>
                      <w:szCs w:val="21"/>
                      <w:u w:val="none"/>
                      <w:lang w:eastAsia="zh-CN"/>
                    </w:rPr>
                  </w:pPr>
                  <w:r>
                    <w:rPr>
                      <w:rFonts w:hint="eastAsia" w:ascii="Times New Roman" w:hAnsi="Times New Roman"/>
                      <w:sz w:val="21"/>
                      <w:szCs w:val="21"/>
                      <w:u w:val="none"/>
                      <w:lang w:val="en-US" w:eastAsia="zh-CN"/>
                    </w:rPr>
                    <w:t>1次/</w:t>
                  </w:r>
                  <w:r>
                    <w:rPr>
                      <w:rFonts w:hint="eastAsia" w:ascii="Times New Roman" w:hAnsi="Times New Roman" w:eastAsia="宋体"/>
                      <w:sz w:val="21"/>
                      <w:szCs w:val="21"/>
                      <w:u w:val="none"/>
                      <w:lang w:val="en-US" w:eastAsia="zh-CN"/>
                    </w:rPr>
                    <w:t>季度</w:t>
                  </w:r>
                </w:p>
              </w:tc>
              <w:tc>
                <w:tcPr>
                  <w:tcW w:w="3038" w:type="dxa"/>
                  <w:tcBorders>
                    <w:tl2br w:val="nil"/>
                    <w:tr2bl w:val="nil"/>
                  </w:tcBorders>
                  <w:noWrap w:val="0"/>
                  <w:vAlign w:val="center"/>
                </w:tcPr>
                <w:p w14:paraId="42B27D9E">
                  <w:pPr>
                    <w:pStyle w:val="110"/>
                    <w:jc w:val="center"/>
                    <w:rPr>
                      <w:rFonts w:hint="default" w:ascii="Times New Roman" w:hAnsi="Times New Roman" w:eastAsia="宋体"/>
                      <w:sz w:val="21"/>
                      <w:szCs w:val="21"/>
                      <w:u w:val="none"/>
                      <w:lang w:val="en-US" w:eastAsia="zh-CN"/>
                    </w:rPr>
                  </w:pPr>
                  <w:r>
                    <w:rPr>
                      <w:rFonts w:hint="eastAsia" w:ascii="Times New Roman" w:hAnsi="Times New Roman"/>
                      <w:sz w:val="21"/>
                      <w:szCs w:val="21"/>
                      <w:u w:val="none"/>
                      <w:lang w:val="en-US" w:eastAsia="zh-CN"/>
                    </w:rPr>
                    <w:t>《工业企业厂界环境噪声排放标准》（GB12348-2008）2类</w:t>
                  </w:r>
                </w:p>
              </w:tc>
            </w:tr>
          </w:tbl>
          <w:p w14:paraId="73CB3A6E">
            <w:pPr>
              <w:pStyle w:val="20"/>
              <w:numPr>
                <w:ilvl w:val="0"/>
                <w:numId w:val="0"/>
              </w:numPr>
              <w:spacing w:line="360" w:lineRule="auto"/>
              <w:ind w:leftChars="0"/>
              <w:rPr>
                <w:rFonts w:hint="eastAsia"/>
                <w:b/>
                <w:spacing w:val="-10"/>
                <w:sz w:val="24"/>
                <w:lang w:val="en-US" w:eastAsia="zh-CN"/>
              </w:rPr>
            </w:pPr>
          </w:p>
          <w:p w14:paraId="5A99B8F7">
            <w:pPr>
              <w:pStyle w:val="20"/>
              <w:numPr>
                <w:ilvl w:val="0"/>
                <w:numId w:val="0"/>
              </w:numPr>
              <w:spacing w:line="360" w:lineRule="auto"/>
              <w:ind w:leftChars="0"/>
              <w:rPr>
                <w:b/>
                <w:spacing w:val="-10"/>
                <w:sz w:val="24"/>
              </w:rPr>
            </w:pPr>
            <w:r>
              <w:rPr>
                <w:rFonts w:hint="eastAsia"/>
                <w:b/>
                <w:spacing w:val="-10"/>
                <w:sz w:val="24"/>
                <w:lang w:val="en-US" w:eastAsia="zh-CN"/>
              </w:rPr>
              <w:t>4、</w:t>
            </w:r>
            <w:r>
              <w:rPr>
                <w:b/>
                <w:spacing w:val="-10"/>
                <w:sz w:val="24"/>
              </w:rPr>
              <w:t>固体废物</w:t>
            </w:r>
          </w:p>
          <w:p w14:paraId="2F951982">
            <w:pPr>
              <w:pStyle w:val="30"/>
              <w:spacing w:after="0" w:line="360" w:lineRule="auto"/>
              <w:ind w:firstLine="480" w:firstLineChars="200"/>
              <w:rPr>
                <w:rFonts w:hint="eastAsia"/>
                <w:bCs/>
                <w:sz w:val="24"/>
                <w:lang w:val="en-US" w:eastAsia="zh-CN"/>
              </w:rPr>
            </w:pPr>
            <w:r>
              <w:rPr>
                <w:rFonts w:hint="eastAsia"/>
                <w:bCs/>
                <w:sz w:val="24"/>
                <w:lang w:val="en-US" w:eastAsia="zh-CN"/>
              </w:rPr>
              <w:t>本项目一般固废主要为员工生活垃圾、除尘器收集的粉尘及溢流水池的尾砂底泥不作为固体废物管理。</w:t>
            </w:r>
          </w:p>
          <w:p w14:paraId="3585BE3D">
            <w:pPr>
              <w:pStyle w:val="30"/>
              <w:spacing w:after="0" w:line="360" w:lineRule="auto"/>
              <w:ind w:left="0" w:leftChars="0" w:firstLine="0" w:firstLineChars="0"/>
              <w:rPr>
                <w:rFonts w:hint="eastAsia" w:ascii="宋体" w:hAnsi="宋体" w:eastAsia="宋体" w:cs="宋体"/>
                <w:b/>
                <w:bCs/>
                <w:color w:val="000000"/>
                <w:kern w:val="0"/>
                <w:sz w:val="24"/>
                <w:szCs w:val="24"/>
                <w:lang w:val="en-US" w:eastAsia="zh-CN" w:bidi="ar"/>
              </w:rPr>
            </w:pPr>
            <w:r>
              <w:rPr>
                <w:b/>
                <w:bCs w:val="0"/>
                <w:sz w:val="24"/>
              </w:rPr>
              <w:t>4.1</w:t>
            </w:r>
            <w:r>
              <w:rPr>
                <w:rFonts w:hint="eastAsia" w:ascii="宋体" w:hAnsi="宋体" w:eastAsia="宋体" w:cs="宋体"/>
                <w:b/>
                <w:bCs/>
                <w:color w:val="000000"/>
                <w:kern w:val="0"/>
                <w:sz w:val="24"/>
                <w:szCs w:val="24"/>
                <w:lang w:val="en-US" w:eastAsia="zh-CN" w:bidi="ar"/>
              </w:rPr>
              <w:t>一般固体废物产生情况及污染防治措施</w:t>
            </w:r>
          </w:p>
          <w:p w14:paraId="54D7D1BA">
            <w:pPr>
              <w:pStyle w:val="30"/>
              <w:spacing w:after="0" w:line="360" w:lineRule="auto"/>
              <w:ind w:left="0" w:leftChars="0" w:firstLine="480" w:firstLineChars="200"/>
              <w:rPr>
                <w:bCs/>
                <w:sz w:val="24"/>
              </w:rPr>
            </w:pPr>
            <w:r>
              <w:rPr>
                <w:rFonts w:hint="eastAsia"/>
                <w:bCs/>
                <w:sz w:val="24"/>
                <w:lang w:val="en-US" w:eastAsia="zh-CN"/>
              </w:rPr>
              <w:t xml:space="preserve">员工生活垃圾 </w:t>
            </w:r>
          </w:p>
          <w:p w14:paraId="5492BBD6">
            <w:pPr>
              <w:spacing w:line="360" w:lineRule="auto"/>
              <w:ind w:firstLine="480" w:firstLineChars="200"/>
              <w:rPr>
                <w:rFonts w:hint="eastAsia"/>
                <w:sz w:val="24"/>
                <w:lang w:val="en-US" w:eastAsia="zh-CN"/>
              </w:rPr>
            </w:pPr>
            <w:r>
              <w:rPr>
                <w:rFonts w:hint="eastAsia"/>
                <w:bCs/>
                <w:sz w:val="24"/>
                <w:lang w:val="en-US" w:eastAsia="zh-CN"/>
              </w:rPr>
              <w:t>生活垃圾：生活垃圾按每人</w:t>
            </w:r>
            <w:r>
              <w:rPr>
                <w:rFonts w:hint="default"/>
                <w:bCs/>
                <w:sz w:val="24"/>
                <w:lang w:val="en-US" w:eastAsia="zh-CN"/>
              </w:rPr>
              <w:t>0.5kg/d</w:t>
            </w:r>
            <w:r>
              <w:rPr>
                <w:rFonts w:hint="eastAsia"/>
                <w:bCs/>
                <w:sz w:val="24"/>
                <w:lang w:val="en-US" w:eastAsia="zh-CN"/>
              </w:rPr>
              <w:t>，劳动定员共15人，产生量为7.5</w:t>
            </w:r>
            <w:r>
              <w:rPr>
                <w:rFonts w:hint="default"/>
                <w:bCs/>
                <w:sz w:val="24"/>
                <w:lang w:val="en-US" w:eastAsia="zh-CN"/>
              </w:rPr>
              <w:t xml:space="preserve">kg/d </w:t>
            </w:r>
            <w:r>
              <w:rPr>
                <w:rFonts w:hint="eastAsia"/>
                <w:bCs/>
                <w:sz w:val="24"/>
                <w:lang w:val="en-US" w:eastAsia="zh-CN"/>
              </w:rPr>
              <w:t>（2.25</w:t>
            </w:r>
            <w:r>
              <w:rPr>
                <w:rFonts w:hint="default"/>
                <w:bCs/>
                <w:sz w:val="24"/>
                <w:lang w:val="en-US" w:eastAsia="zh-CN"/>
              </w:rPr>
              <w:t>t/a</w:t>
            </w:r>
            <w:r>
              <w:rPr>
                <w:rFonts w:hint="eastAsia"/>
                <w:bCs/>
                <w:sz w:val="24"/>
                <w:lang w:val="en-US" w:eastAsia="zh-CN"/>
              </w:rPr>
              <w:t>），生活垃圾经垃圾桶收集后交环卫部门统一清运，故项目固废能妥善处置，</w:t>
            </w:r>
            <w:r>
              <w:rPr>
                <w:rFonts w:hint="eastAsia"/>
                <w:sz w:val="24"/>
                <w:lang w:val="en-US" w:eastAsia="zh-CN"/>
              </w:rPr>
              <w:t>对周围环境影响较小。</w:t>
            </w:r>
          </w:p>
          <w:p w14:paraId="6CD03153">
            <w:pPr>
              <w:spacing w:line="360" w:lineRule="auto"/>
              <w:ind w:firstLine="480" w:firstLineChars="200"/>
              <w:rPr>
                <w:rFonts w:hint="default" w:eastAsia="宋体"/>
                <w:bCs/>
                <w:sz w:val="24"/>
                <w:lang w:val="en-US" w:eastAsia="zh-CN"/>
              </w:rPr>
            </w:pPr>
            <w:r>
              <w:rPr>
                <w:rFonts w:hint="eastAsia"/>
                <w:bCs/>
                <w:color w:val="auto"/>
                <w:sz w:val="24"/>
                <w:lang w:val="en-US" w:eastAsia="zh-CN"/>
              </w:rPr>
              <w:t>注：</w:t>
            </w:r>
            <w:r>
              <w:rPr>
                <w:rFonts w:hint="default" w:ascii="Times New Roman" w:hAnsi="Times New Roman" w:eastAsia="宋体" w:cs="Times New Roman"/>
                <w:color w:val="auto"/>
                <w:kern w:val="2"/>
                <w:sz w:val="24"/>
                <w:szCs w:val="32"/>
                <w:u w:val="none"/>
                <w:lang w:val="en-US" w:eastAsia="zh-CN" w:bidi="ar-SA"/>
              </w:rPr>
              <w:t>该项目配套的覆膜袋式除尘器收集的粉尘量为</w:t>
            </w:r>
            <w:r>
              <w:rPr>
                <w:rFonts w:hint="eastAsia" w:cs="Times New Roman"/>
                <w:color w:val="auto"/>
                <w:kern w:val="2"/>
                <w:sz w:val="24"/>
                <w:szCs w:val="32"/>
                <w:u w:val="none"/>
                <w:lang w:val="en-US" w:eastAsia="zh-CN" w:bidi="ar-SA"/>
              </w:rPr>
              <w:t>2.87</w:t>
            </w:r>
            <w:r>
              <w:rPr>
                <w:rFonts w:hint="default" w:ascii="Times New Roman" w:hAnsi="Times New Roman" w:cs="Times New Roman"/>
                <w:bCs/>
                <w:color w:val="auto"/>
                <w:sz w:val="24"/>
                <w:lang w:val="en-US" w:eastAsia="zh-CN"/>
              </w:rPr>
              <w:t>t/a，</w:t>
            </w:r>
            <w:r>
              <w:rPr>
                <w:rFonts w:hint="default" w:ascii="Times New Roman" w:hAnsi="Times New Roman" w:eastAsia="宋体" w:cs="Times New Roman"/>
                <w:color w:val="auto"/>
                <w:kern w:val="2"/>
                <w:sz w:val="24"/>
                <w:szCs w:val="32"/>
                <w:u w:val="none"/>
                <w:lang w:val="en-US" w:eastAsia="zh-CN" w:bidi="ar-SA"/>
              </w:rPr>
              <w:t>全部回用于生产</w:t>
            </w:r>
            <w:r>
              <w:rPr>
                <w:rFonts w:hint="eastAsia" w:ascii="Times New Roman" w:hAnsi="Times New Roman" w:cs="Times New Roman"/>
                <w:color w:val="auto"/>
                <w:kern w:val="2"/>
                <w:sz w:val="24"/>
                <w:szCs w:val="32"/>
                <w:u w:val="none"/>
                <w:lang w:val="en-US" w:eastAsia="zh-CN" w:bidi="ar-SA"/>
              </w:rPr>
              <w:t>；</w:t>
            </w:r>
            <w:r>
              <w:rPr>
                <w:rFonts w:hint="eastAsia" w:ascii="Times New Roman" w:hAnsi="Times New Roman" w:cs="Times New Roman"/>
                <w:bCs/>
                <w:color w:val="auto"/>
                <w:sz w:val="24"/>
                <w:lang w:val="en-US" w:eastAsia="zh-CN"/>
              </w:rPr>
              <w:t>项目</w:t>
            </w:r>
            <w:r>
              <w:rPr>
                <w:rFonts w:hint="default" w:ascii="Times New Roman" w:hAnsi="Times New Roman" w:cs="Times New Roman"/>
                <w:bCs/>
                <w:color w:val="auto"/>
                <w:sz w:val="24"/>
                <w:lang w:val="en-US" w:eastAsia="zh-CN"/>
              </w:rPr>
              <w:t>溢流水水池底泥的产生量为0.</w:t>
            </w:r>
            <w:r>
              <w:rPr>
                <w:rFonts w:hint="eastAsia" w:cs="Times New Roman"/>
                <w:bCs/>
                <w:color w:val="auto"/>
                <w:sz w:val="24"/>
                <w:lang w:val="en-US" w:eastAsia="zh-CN"/>
              </w:rPr>
              <w:t>7</w:t>
            </w:r>
            <w:r>
              <w:rPr>
                <w:rFonts w:hint="default" w:ascii="Times New Roman" w:hAnsi="Times New Roman" w:cs="Times New Roman"/>
                <w:bCs/>
                <w:color w:val="auto"/>
                <w:sz w:val="24"/>
                <w:lang w:val="en-US" w:eastAsia="zh-CN"/>
              </w:rPr>
              <w:t>t/a，</w:t>
            </w:r>
            <w:r>
              <w:rPr>
                <w:rFonts w:hint="eastAsia"/>
                <w:bCs/>
                <w:color w:val="auto"/>
                <w:sz w:val="24"/>
                <w:lang w:val="en-US" w:eastAsia="zh-CN"/>
              </w:rPr>
              <w:t>作为充填原料回用于生产，均</w:t>
            </w:r>
            <w:r>
              <w:rPr>
                <w:rFonts w:hint="default" w:ascii="Times New Roman" w:hAnsi="Times New Roman" w:cs="Times New Roman"/>
                <w:color w:val="auto"/>
                <w:kern w:val="2"/>
                <w:sz w:val="24"/>
                <w:szCs w:val="32"/>
                <w:u w:val="none"/>
                <w:lang w:val="en-US" w:eastAsia="zh-CN" w:bidi="ar-SA"/>
              </w:rPr>
              <w:t>不作为固体废物进行管理。</w:t>
            </w:r>
          </w:p>
          <w:p w14:paraId="0B666A29">
            <w:pPr>
              <w:pStyle w:val="20"/>
              <w:numPr>
                <w:ilvl w:val="0"/>
                <w:numId w:val="0"/>
              </w:numPr>
              <w:spacing w:line="360" w:lineRule="auto"/>
              <w:contextualSpacing/>
              <w:rPr>
                <w:rFonts w:hint="eastAsia"/>
                <w:b/>
                <w:spacing w:val="-10"/>
                <w:sz w:val="24"/>
              </w:rPr>
            </w:pPr>
            <w:r>
              <w:rPr>
                <w:rFonts w:hint="eastAsia"/>
                <w:b/>
                <w:spacing w:val="-10"/>
                <w:sz w:val="24"/>
                <w:lang w:val="en-US" w:eastAsia="zh-CN"/>
              </w:rPr>
              <w:t>5、</w:t>
            </w:r>
            <w:r>
              <w:rPr>
                <w:b/>
                <w:spacing w:val="-10"/>
                <w:sz w:val="24"/>
              </w:rPr>
              <w:t>地下水</w:t>
            </w:r>
            <w:r>
              <w:rPr>
                <w:rFonts w:hint="eastAsia"/>
                <w:b/>
                <w:spacing w:val="-10"/>
                <w:sz w:val="24"/>
              </w:rPr>
              <w:t>、土壤</w:t>
            </w:r>
          </w:p>
          <w:p w14:paraId="66F78E02">
            <w:pPr>
              <w:pStyle w:val="30"/>
              <w:spacing w:after="0" w:line="360" w:lineRule="auto"/>
              <w:ind w:left="0" w:leftChars="0" w:firstLine="480" w:firstLineChars="200"/>
              <w:rPr>
                <w:rFonts w:hint="eastAsia" w:ascii="Times New Roman" w:hAnsi="Times New Roman" w:eastAsia="宋体" w:cs="Times New Roman"/>
                <w:bCs/>
                <w:sz w:val="24"/>
                <w:lang w:val="en-US" w:eastAsia="zh-CN"/>
              </w:rPr>
            </w:pPr>
            <w:r>
              <w:rPr>
                <w:rFonts w:hint="eastAsia" w:ascii="Times New Roman" w:hAnsi="Times New Roman" w:cs="Times New Roman" w:eastAsiaTheme="minorEastAsia"/>
                <w:kern w:val="2"/>
                <w:sz w:val="24"/>
                <w:szCs w:val="24"/>
                <w:lang w:val="en-US" w:eastAsia="zh-CN" w:bidi="ar-SA"/>
              </w:rPr>
              <w:t>（1）污</w:t>
            </w:r>
            <w:r>
              <w:rPr>
                <w:rFonts w:hint="eastAsia" w:ascii="Times New Roman" w:hAnsi="Times New Roman" w:eastAsia="宋体" w:cs="Times New Roman"/>
                <w:bCs/>
                <w:sz w:val="24"/>
                <w:lang w:val="en-US" w:eastAsia="zh-CN"/>
              </w:rPr>
              <w:t>染源</w:t>
            </w:r>
          </w:p>
          <w:p w14:paraId="0FDA2F03">
            <w:pPr>
              <w:pStyle w:val="30"/>
              <w:spacing w:after="0" w:line="360" w:lineRule="auto"/>
              <w:ind w:left="0" w:leftChars="0" w:firstLine="480" w:firstLineChars="200"/>
              <w:rPr>
                <w:rFonts w:hint="eastAsia" w:ascii="Times New Roman" w:hAnsi="Times New Roman" w:eastAsia="宋体" w:cs="Times New Roman"/>
                <w:color w:val="auto"/>
                <w:kern w:val="2"/>
                <w:sz w:val="24"/>
                <w:szCs w:val="32"/>
                <w:u w:val="none"/>
                <w:lang w:val="en-US" w:eastAsia="zh-CN" w:bidi="ar-SA"/>
              </w:rPr>
            </w:pPr>
            <w:r>
              <w:rPr>
                <w:rFonts w:hint="eastAsia" w:ascii="Times New Roman" w:hAnsi="Times New Roman" w:eastAsia="宋体" w:cs="Times New Roman"/>
                <w:color w:val="auto"/>
                <w:kern w:val="2"/>
                <w:sz w:val="24"/>
                <w:szCs w:val="32"/>
                <w:u w:val="none"/>
                <w:lang w:val="en-US" w:eastAsia="zh-CN" w:bidi="ar-SA"/>
              </w:rPr>
              <w:t>大气污染物通过大气沉降等方式进入土壤，本项目大气污染物不存在重金属、挥发性有机物，对土壤环境影响较小。项目充填料浆原料为尾矿砂（第I类一般工业固体废物）、水泥、水，不含有毒有害物质，充填料浆泌水经井下收水系统收集后回用于选厂，对地下水环境影响较小。</w:t>
            </w:r>
            <w:r>
              <w:rPr>
                <w:rFonts w:hint="eastAsia" w:ascii="Times New Roman" w:hAnsi="Times New Roman" w:eastAsia="宋体" w:cs="Times New Roman"/>
                <w:color w:val="auto"/>
                <w:kern w:val="2"/>
                <w:sz w:val="24"/>
                <w:szCs w:val="32"/>
                <w:u w:val="none"/>
                <w:lang w:val="en-US" w:eastAsia="zh-CN" w:bidi="ar-SA"/>
              </w:rPr>
              <w:br w:type="textWrapping"/>
            </w:r>
            <w:r>
              <w:rPr>
                <w:rFonts w:hint="eastAsia" w:ascii="Times New Roman" w:hAnsi="Times New Roman" w:eastAsia="宋体" w:cs="Times New Roman"/>
                <w:color w:val="auto"/>
                <w:kern w:val="2"/>
                <w:sz w:val="24"/>
                <w:szCs w:val="32"/>
                <w:u w:val="none"/>
                <w:lang w:val="en-US" w:eastAsia="zh-CN" w:bidi="ar-SA"/>
              </w:rPr>
              <w:t xml:space="preserve">    （2）采取的保护措施</w:t>
            </w:r>
            <w:r>
              <w:rPr>
                <w:rFonts w:hint="eastAsia" w:ascii="Times New Roman" w:hAnsi="Times New Roman" w:eastAsia="宋体" w:cs="Times New Roman"/>
                <w:color w:val="auto"/>
                <w:kern w:val="2"/>
                <w:sz w:val="24"/>
                <w:szCs w:val="32"/>
                <w:u w:val="none"/>
                <w:lang w:val="en-US" w:eastAsia="zh-CN" w:bidi="ar-SA"/>
              </w:rPr>
              <w:br w:type="textWrapping"/>
            </w:r>
            <w:r>
              <w:rPr>
                <w:rFonts w:hint="eastAsia" w:ascii="Times New Roman" w:hAnsi="Times New Roman" w:eastAsia="宋体" w:cs="Times New Roman"/>
                <w:color w:val="auto"/>
                <w:kern w:val="2"/>
                <w:sz w:val="24"/>
                <w:szCs w:val="32"/>
                <w:u w:val="none"/>
                <w:lang w:val="en-US" w:eastAsia="zh-CN" w:bidi="ar-SA"/>
              </w:rPr>
              <w:t xml:space="preserve">    ①项目废气经过高效覆膜袋式除尘器处理后可以稳定达标排放。</w:t>
            </w:r>
          </w:p>
          <w:p w14:paraId="58C5BB25">
            <w:pPr>
              <w:pStyle w:val="30"/>
              <w:spacing w:after="0" w:line="360" w:lineRule="auto"/>
              <w:ind w:left="0" w:leftChars="0" w:firstLine="480" w:firstLineChars="200"/>
              <w:rPr>
                <w:rFonts w:hint="eastAsia" w:ascii="Times New Roman" w:hAnsi="Times New Roman" w:eastAsia="宋体" w:cs="Times New Roman"/>
                <w:color w:val="auto"/>
                <w:kern w:val="2"/>
                <w:sz w:val="24"/>
                <w:szCs w:val="32"/>
                <w:u w:val="none"/>
                <w:lang w:val="en-US" w:eastAsia="zh-CN" w:bidi="ar-SA"/>
              </w:rPr>
            </w:pPr>
            <w:r>
              <w:rPr>
                <w:rFonts w:hint="eastAsia" w:ascii="Times New Roman" w:hAnsi="Times New Roman" w:eastAsia="宋体" w:cs="Times New Roman"/>
                <w:color w:val="auto"/>
                <w:kern w:val="2"/>
                <w:sz w:val="24"/>
                <w:szCs w:val="32"/>
                <w:u w:val="none"/>
                <w:lang w:val="en-US" w:eastAsia="zh-CN" w:bidi="ar-SA"/>
              </w:rPr>
              <w:t>②项目输送管道采用优质管材，设置备用管道。</w:t>
            </w:r>
          </w:p>
          <w:p w14:paraId="6A9E90A8">
            <w:pPr>
              <w:pStyle w:val="30"/>
              <w:spacing w:after="0" w:line="360" w:lineRule="auto"/>
              <w:ind w:left="0" w:leftChars="0" w:firstLine="480" w:firstLineChars="200"/>
              <w:rPr>
                <w:rFonts w:hint="eastAsia" w:ascii="Times New Roman" w:hAnsi="Times New Roman" w:eastAsia="宋体" w:cs="Times New Roman"/>
                <w:color w:val="auto"/>
                <w:kern w:val="2"/>
                <w:sz w:val="24"/>
                <w:szCs w:val="32"/>
                <w:u w:val="none"/>
                <w:lang w:val="en-US" w:eastAsia="zh-CN" w:bidi="ar-SA"/>
              </w:rPr>
            </w:pPr>
            <w:r>
              <w:rPr>
                <w:rFonts w:hint="eastAsia" w:ascii="Times New Roman" w:hAnsi="Times New Roman" w:eastAsia="宋体" w:cs="Times New Roman"/>
                <w:color w:val="auto"/>
                <w:kern w:val="2"/>
                <w:sz w:val="24"/>
                <w:szCs w:val="32"/>
                <w:u w:val="none"/>
                <w:lang w:val="en-US" w:eastAsia="zh-CN" w:bidi="ar-SA"/>
              </w:rPr>
              <w:t>③管线设置止断阀，对管线分段管理，加强巡护。</w:t>
            </w:r>
          </w:p>
          <w:p w14:paraId="6D224D37">
            <w:pPr>
              <w:pStyle w:val="30"/>
              <w:spacing w:after="0" w:line="360" w:lineRule="auto"/>
              <w:ind w:left="0" w:leftChars="0" w:firstLine="480" w:firstLineChars="200"/>
              <w:rPr>
                <w:rFonts w:hint="eastAsia" w:ascii="Times New Roman" w:hAnsi="Times New Roman" w:eastAsia="宋体" w:cs="Times New Roman"/>
                <w:color w:val="auto"/>
                <w:kern w:val="2"/>
                <w:sz w:val="24"/>
                <w:szCs w:val="32"/>
                <w:u w:val="none"/>
                <w:lang w:val="en-US" w:eastAsia="zh-CN" w:bidi="ar-SA"/>
              </w:rPr>
            </w:pPr>
            <w:r>
              <w:rPr>
                <w:rFonts w:hint="eastAsia" w:ascii="Times New Roman" w:hAnsi="Times New Roman" w:eastAsia="宋体" w:cs="Times New Roman"/>
                <w:color w:val="auto"/>
                <w:kern w:val="2"/>
                <w:sz w:val="24"/>
                <w:szCs w:val="32"/>
                <w:u w:val="none"/>
                <w:lang w:val="en-US" w:eastAsia="zh-CN" w:bidi="ar-SA"/>
              </w:rPr>
              <w:t>④厂区地面硬化，并设置事故池，防止事故状态下废水污染周边环境。</w:t>
            </w:r>
          </w:p>
          <w:p w14:paraId="6BA25B5D">
            <w:pPr>
              <w:pStyle w:val="30"/>
              <w:spacing w:after="0" w:line="360" w:lineRule="auto"/>
              <w:ind w:left="0" w:leftChars="0" w:firstLine="0" w:firstLineChars="0"/>
              <w:rPr>
                <w:rFonts w:hint="eastAsia" w:ascii="Times New Roman" w:hAnsi="Times New Roman" w:eastAsia="黑体" w:cs="Times New Roman"/>
                <w:kern w:val="0"/>
                <w:sz w:val="24"/>
                <w:szCs w:val="21"/>
                <w:lang w:val="en-US" w:eastAsia="zh-CN" w:bidi="ar-SA"/>
              </w:rPr>
            </w:pPr>
            <w:r>
              <w:rPr>
                <w:rFonts w:hint="eastAsia" w:ascii="Times New Roman" w:hAnsi="Times New Roman" w:eastAsia="宋体" w:cs="Times New Roman"/>
                <w:color w:val="auto"/>
                <w:kern w:val="2"/>
                <w:sz w:val="24"/>
                <w:szCs w:val="32"/>
                <w:u w:val="none"/>
                <w:lang w:val="en-US" w:eastAsia="zh-CN" w:bidi="ar-SA"/>
              </w:rPr>
              <w:t>6、环境风险</w:t>
            </w:r>
            <w:r>
              <w:rPr>
                <w:rFonts w:hint="eastAsia" w:ascii="Times New Roman" w:hAnsi="Times New Roman" w:eastAsia="宋体" w:cs="Times New Roman"/>
                <w:color w:val="auto"/>
                <w:kern w:val="2"/>
                <w:sz w:val="24"/>
                <w:szCs w:val="32"/>
                <w:u w:val="none"/>
                <w:lang w:val="en-US" w:eastAsia="zh-CN" w:bidi="ar-SA"/>
              </w:rPr>
              <w:br w:type="textWrapping"/>
            </w:r>
            <w:r>
              <w:rPr>
                <w:rFonts w:hint="eastAsia" w:ascii="Times New Roman" w:hAnsi="Times New Roman" w:eastAsia="宋体" w:cs="Times New Roman"/>
                <w:kern w:val="2"/>
                <w:sz w:val="24"/>
                <w:szCs w:val="32"/>
                <w:lang w:val="en-US" w:eastAsia="zh-CN" w:bidi="ar-SA"/>
              </w:rPr>
              <w:t>6.1风险源调查及风险物质识别</w:t>
            </w:r>
            <w:r>
              <w:rPr>
                <w:rFonts w:hint="eastAsia"/>
                <w:b/>
                <w:bCs/>
                <w:sz w:val="24"/>
                <w:lang w:val="en-US" w:eastAsia="zh-CN"/>
              </w:rPr>
              <w:br w:type="textWrapping"/>
            </w:r>
            <w:r>
              <w:rPr>
                <w:rFonts w:hint="eastAsia"/>
                <w:b/>
                <w:bCs/>
                <w:sz w:val="24"/>
                <w:lang w:val="en-US" w:eastAsia="zh-CN"/>
              </w:rPr>
              <w:t xml:space="preserve">    </w:t>
            </w:r>
            <w:r>
              <w:rPr>
                <w:rFonts w:hint="eastAsia" w:ascii="Times New Roman" w:hAnsi="Times New Roman" w:eastAsia="宋体" w:cs="Times New Roman"/>
                <w:sz w:val="24"/>
                <w:lang w:val="en-US" w:eastAsia="zh-CN"/>
              </w:rPr>
              <w:t>本项目为尾矿填充，项目使用的原辅料为尾砂、水泥、水等，根据《建设项目环境风险评价技术导则》（HJ169-2018），项目不涉及突发环境风险物质。</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 xml:space="preserve">    项目可能出现的风险事故为：尾矿输送管道及填充料浆输送管道可能破裂造成尾矿浆、充填料浆泄漏，对管道沿线的环境造成影响。</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kern w:val="2"/>
                <w:sz w:val="24"/>
                <w:szCs w:val="32"/>
                <w:lang w:val="en-US" w:eastAsia="zh-CN" w:bidi="ar-SA"/>
              </w:rPr>
              <w:t>6.2风险潜势初判和评价等级确定</w:t>
            </w:r>
            <w:r>
              <w:rPr>
                <w:rFonts w:hint="eastAsia" w:ascii="Times New Roman" w:hAnsi="Times New Roman" w:eastAsia="宋体" w:cs="Times New Roman"/>
                <w:kern w:val="2"/>
                <w:sz w:val="24"/>
                <w:szCs w:val="32"/>
                <w:lang w:val="en-US" w:eastAsia="zh-CN" w:bidi="ar-SA"/>
              </w:rPr>
              <w:br w:type="textWrapping"/>
            </w:r>
            <w:r>
              <w:rPr>
                <w:rFonts w:hint="eastAsia" w:ascii="Times New Roman" w:hAnsi="Times New Roman" w:eastAsia="宋体" w:cs="Times New Roman"/>
                <w:kern w:val="2"/>
                <w:sz w:val="24"/>
                <w:szCs w:val="32"/>
                <w:lang w:val="en-US" w:eastAsia="zh-CN" w:bidi="ar-SA"/>
              </w:rPr>
              <w:t xml:space="preserve">6.2.1 </w:t>
            </w:r>
            <w:r>
              <w:rPr>
                <w:rFonts w:hint="eastAsia" w:ascii="Times New Roman" w:hAnsi="Times New Roman" w:eastAsia="宋体" w:cs="Times New Roman"/>
                <w:b/>
                <w:bCs/>
                <w:kern w:val="2"/>
                <w:sz w:val="24"/>
                <w:szCs w:val="32"/>
                <w:lang w:val="en-US" w:eastAsia="zh-CN" w:bidi="ar-SA"/>
              </w:rPr>
              <w:t>Q</w:t>
            </w:r>
            <w:r>
              <w:rPr>
                <w:rFonts w:hint="eastAsia" w:ascii="Times New Roman" w:hAnsi="Times New Roman" w:eastAsia="宋体" w:cs="Times New Roman"/>
                <w:kern w:val="2"/>
                <w:sz w:val="24"/>
                <w:szCs w:val="32"/>
                <w:lang w:val="en-US" w:eastAsia="zh-CN" w:bidi="ar-SA"/>
              </w:rPr>
              <w:t>值判定</w:t>
            </w:r>
            <w:r>
              <w:rPr>
                <w:rFonts w:hint="eastAsia" w:ascii="Times New Roman" w:hAnsi="Times New Roman" w:eastAsia="宋体" w:cs="Times New Roman"/>
                <w:kern w:val="2"/>
                <w:sz w:val="24"/>
                <w:szCs w:val="32"/>
                <w:lang w:val="en-US" w:eastAsia="zh-CN" w:bidi="ar-SA"/>
              </w:rPr>
              <w:br w:type="textWrapping"/>
            </w:r>
            <w:r>
              <w:rPr>
                <w:rFonts w:hint="eastAsia" w:ascii="Times New Roman" w:hAnsi="Times New Roman" w:eastAsia="宋体" w:cs="Times New Roman"/>
                <w:kern w:val="2"/>
                <w:sz w:val="24"/>
                <w:szCs w:val="32"/>
                <w:lang w:val="en-US" w:eastAsia="zh-CN" w:bidi="ar-SA"/>
              </w:rPr>
              <w:t xml:space="preserve">   本项目不涉及</w:t>
            </w:r>
            <w:r>
              <w:rPr>
                <w:rFonts w:hint="eastAsia" w:ascii="Times New Roman" w:hAnsi="Times New Roman" w:eastAsia="宋体" w:cs="Times New Roman"/>
                <w:sz w:val="24"/>
                <w:lang w:val="en-US" w:eastAsia="zh-CN"/>
              </w:rPr>
              <w:t>《建设项目环境风险评价技术导则》（HJ169-2018）突发环境风险物质，故项目危险物质数据与临界量的比值</w:t>
            </w:r>
            <w:r>
              <w:rPr>
                <w:rFonts w:hint="default" w:ascii="Times New Roman" w:hAnsi="Times New Roman" w:eastAsia="宋体" w:cs="Times New Roman"/>
                <w:sz w:val="24"/>
                <w:lang w:val="en-US" w:eastAsia="zh-CN"/>
              </w:rPr>
              <w:t>Q&lt;1。</w:t>
            </w:r>
            <w:r>
              <w:rPr>
                <w:rFonts w:hint="eastAsia" w:ascii="Times New Roman" w:hAnsi="Times New Roman" w:eastAsia="宋体" w:cs="Times New Roman"/>
                <w:sz w:val="24"/>
                <w:lang w:val="en-US" w:eastAsia="zh-CN"/>
              </w:rPr>
              <w:t>根据导则，当</w:t>
            </w:r>
            <w:r>
              <w:rPr>
                <w:rFonts w:hint="default" w:ascii="Times New Roman" w:hAnsi="Times New Roman" w:eastAsia="宋体" w:cs="Times New Roman"/>
                <w:sz w:val="24"/>
                <w:lang w:val="en-US" w:eastAsia="zh-CN"/>
              </w:rPr>
              <w:t>Q&lt;1</w:t>
            </w:r>
            <w:r>
              <w:rPr>
                <w:rFonts w:hint="eastAsia" w:ascii="Times New Roman" w:hAnsi="Times New Roman" w:eastAsia="宋体" w:cs="Times New Roman"/>
                <w:sz w:val="24"/>
                <w:lang w:val="en-US" w:eastAsia="zh-CN"/>
              </w:rPr>
              <w:t>时，项目环境风险潜势直接判定为</w:t>
            </w:r>
            <w:r>
              <w:rPr>
                <w:rFonts w:hint="eastAsia" w:ascii="宋体" w:hAnsi="宋体" w:eastAsia="宋体" w:cs="宋体"/>
                <w:sz w:val="21"/>
                <w:szCs w:val="21"/>
                <w:lang w:val="en-US" w:eastAsia="zh-CN"/>
              </w:rPr>
              <w:t>Ⅰ</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6.2.2 评价等级判定</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 xml:space="preserve">    根据《建设项目环境风险评价技术导则》（HJ169-2018），环境风险评价等级分为一级、二级、三级。根据建设项目涉及的物质及工艺系统危险性和所在地的环境敏感性确定环境风险潜势。具体详见下表。</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 xml:space="preserve">                 </w:t>
            </w:r>
            <w:r>
              <w:rPr>
                <w:rFonts w:hint="eastAsia" w:ascii="Times New Roman" w:hAnsi="Times New Roman" w:eastAsia="黑体" w:cs="Times New Roman"/>
                <w:kern w:val="0"/>
                <w:sz w:val="24"/>
                <w:szCs w:val="21"/>
                <w:lang w:val="en-US" w:eastAsia="zh-CN" w:bidi="ar-SA"/>
              </w:rPr>
              <w:t xml:space="preserve"> 表4-1</w:t>
            </w:r>
            <w:r>
              <w:rPr>
                <w:rFonts w:hint="eastAsia" w:eastAsia="黑体" w:cs="Times New Roman"/>
                <w:kern w:val="0"/>
                <w:sz w:val="24"/>
                <w:szCs w:val="21"/>
                <w:lang w:val="en-US" w:eastAsia="zh-CN" w:bidi="ar-SA"/>
              </w:rPr>
              <w:t>4</w:t>
            </w:r>
            <w:r>
              <w:rPr>
                <w:rFonts w:hint="eastAsia" w:ascii="Times New Roman" w:hAnsi="Times New Roman" w:eastAsia="黑体" w:cs="Times New Roman"/>
                <w:kern w:val="0"/>
                <w:sz w:val="24"/>
                <w:szCs w:val="21"/>
                <w:lang w:val="en-US" w:eastAsia="zh-CN" w:bidi="ar-SA"/>
              </w:rPr>
              <w:t xml:space="preserve">   建设项目环境风险潜势划分</w:t>
            </w:r>
          </w:p>
          <w:tbl>
            <w:tblPr>
              <w:tblStyle w:val="32"/>
              <w:tblW w:w="8372"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4"/>
              <w:gridCol w:w="1674"/>
              <w:gridCol w:w="1674"/>
              <w:gridCol w:w="1591"/>
              <w:gridCol w:w="1759"/>
            </w:tblGrid>
            <w:tr w14:paraId="4E202F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trPr>
              <w:tc>
                <w:tcPr>
                  <w:tcW w:w="1674" w:type="dxa"/>
                  <w:tcBorders>
                    <w:tl2br w:val="nil"/>
                    <w:tr2bl w:val="nil"/>
                  </w:tcBorders>
                </w:tcPr>
                <w:p w14:paraId="0497B88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环境风险潜势</w:t>
                  </w:r>
                </w:p>
              </w:tc>
              <w:tc>
                <w:tcPr>
                  <w:tcW w:w="1674" w:type="dxa"/>
                  <w:tcBorders>
                    <w:tl2br w:val="nil"/>
                    <w:tr2bl w:val="nil"/>
                  </w:tcBorders>
                </w:tcPr>
                <w:p w14:paraId="35CEB83A">
                  <w:pPr>
                    <w:jc w:val="center"/>
                    <w:rPr>
                      <w:rFonts w:hint="default" w:ascii="Times New Roman" w:hAnsi="Times New Roman" w:eastAsia="宋体" w:cs="Times New Roman"/>
                      <w:sz w:val="21"/>
                      <w:szCs w:val="21"/>
                      <w:lang w:val="en-US" w:eastAsia="zh-CN"/>
                    </w:rPr>
                  </w:pPr>
                  <w:r>
                    <w:rPr>
                      <w:rFonts w:hint="eastAsia" w:ascii="宋体" w:hAnsi="宋体" w:eastAsia="宋体" w:cs="宋体"/>
                      <w:sz w:val="21"/>
                      <w:szCs w:val="21"/>
                      <w:lang w:val="en-US" w:eastAsia="zh-CN"/>
                    </w:rPr>
                    <w:t>Ⅳ</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Ⅳ</w:t>
                  </w:r>
                  <w:r>
                    <w:rPr>
                      <w:rFonts w:hint="eastAsia" w:ascii="宋体" w:hAnsi="宋体" w:eastAsia="宋体" w:cs="宋体"/>
                      <w:sz w:val="21"/>
                      <w:szCs w:val="21"/>
                      <w:vertAlign w:val="superscript"/>
                      <w:lang w:val="en-US" w:eastAsia="zh-CN"/>
                    </w:rPr>
                    <w:t>+</w:t>
                  </w:r>
                </w:p>
              </w:tc>
              <w:tc>
                <w:tcPr>
                  <w:tcW w:w="1674" w:type="dxa"/>
                  <w:tcBorders>
                    <w:tl2br w:val="nil"/>
                    <w:tr2bl w:val="nil"/>
                  </w:tcBorders>
                </w:tcPr>
                <w:p w14:paraId="26A6F007">
                  <w:pPr>
                    <w:jc w:val="center"/>
                    <w:rPr>
                      <w:rFonts w:hint="eastAsia" w:ascii="Times New Roman" w:hAnsi="Times New Roman" w:eastAsia="宋体" w:cs="Times New Roman"/>
                      <w:sz w:val="21"/>
                      <w:szCs w:val="21"/>
                      <w:lang w:val="en-US" w:eastAsia="zh-CN"/>
                    </w:rPr>
                  </w:pPr>
                  <w:r>
                    <w:rPr>
                      <w:rFonts w:hint="eastAsia" w:ascii="宋体" w:hAnsi="宋体" w:eastAsia="宋体" w:cs="宋体"/>
                      <w:sz w:val="21"/>
                      <w:szCs w:val="21"/>
                      <w:lang w:val="en-US" w:eastAsia="zh-CN"/>
                    </w:rPr>
                    <w:t>Ⅲ</w:t>
                  </w:r>
                </w:p>
              </w:tc>
              <w:tc>
                <w:tcPr>
                  <w:tcW w:w="1591" w:type="dxa"/>
                  <w:tcBorders>
                    <w:tl2br w:val="nil"/>
                    <w:tr2bl w:val="nil"/>
                  </w:tcBorders>
                </w:tcPr>
                <w:p w14:paraId="1F91667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Ⅱ</w:t>
                  </w:r>
                </w:p>
              </w:tc>
              <w:tc>
                <w:tcPr>
                  <w:tcW w:w="1759" w:type="dxa"/>
                  <w:tcBorders>
                    <w:tl2br w:val="nil"/>
                    <w:tr2bl w:val="nil"/>
                  </w:tcBorders>
                </w:tcPr>
                <w:p w14:paraId="192684B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Ⅰ</w:t>
                  </w:r>
                </w:p>
              </w:tc>
            </w:tr>
            <w:tr w14:paraId="08B126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8" w:hRule="atLeast"/>
              </w:trPr>
              <w:tc>
                <w:tcPr>
                  <w:tcW w:w="1674" w:type="dxa"/>
                  <w:tcBorders>
                    <w:tl2br w:val="nil"/>
                    <w:tr2bl w:val="nil"/>
                  </w:tcBorders>
                </w:tcPr>
                <w:p w14:paraId="595CD9D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评价等级</w:t>
                  </w:r>
                </w:p>
              </w:tc>
              <w:tc>
                <w:tcPr>
                  <w:tcW w:w="1674" w:type="dxa"/>
                  <w:tcBorders>
                    <w:tl2br w:val="nil"/>
                    <w:tr2bl w:val="nil"/>
                  </w:tcBorders>
                </w:tcPr>
                <w:p w14:paraId="3B70138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w:t>
                  </w:r>
                </w:p>
              </w:tc>
              <w:tc>
                <w:tcPr>
                  <w:tcW w:w="1674" w:type="dxa"/>
                  <w:tcBorders>
                    <w:tl2br w:val="nil"/>
                    <w:tr2bl w:val="nil"/>
                  </w:tcBorders>
                </w:tcPr>
                <w:p w14:paraId="05508AC0">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w:t>
                  </w:r>
                </w:p>
              </w:tc>
              <w:tc>
                <w:tcPr>
                  <w:tcW w:w="1591" w:type="dxa"/>
                  <w:tcBorders>
                    <w:tl2br w:val="nil"/>
                    <w:tr2bl w:val="nil"/>
                  </w:tcBorders>
                </w:tcPr>
                <w:p w14:paraId="62567960">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w:t>
                  </w:r>
                </w:p>
              </w:tc>
              <w:tc>
                <w:tcPr>
                  <w:tcW w:w="1759" w:type="dxa"/>
                  <w:tcBorders>
                    <w:tl2br w:val="nil"/>
                    <w:tr2bl w:val="nil"/>
                  </w:tcBorders>
                </w:tcPr>
                <w:p w14:paraId="53776EA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简单分析a</w:t>
                  </w:r>
                </w:p>
              </w:tc>
            </w:tr>
            <w:tr w14:paraId="3766BD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6" w:hRule="atLeast"/>
              </w:trPr>
              <w:tc>
                <w:tcPr>
                  <w:tcW w:w="8372" w:type="dxa"/>
                  <w:gridSpan w:val="5"/>
                  <w:tcBorders>
                    <w:tl2br w:val="nil"/>
                    <w:tr2bl w:val="nil"/>
                  </w:tcBorders>
                </w:tcPr>
                <w:p w14:paraId="72E48516">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a相对于详细评价工作内容而言，在描述危险物质、环境影响途径、环境危害后果、风险防范措施等方面给出定性的说明 。</w:t>
                  </w:r>
                </w:p>
              </w:tc>
            </w:tr>
          </w:tbl>
          <w:p w14:paraId="273026AE">
            <w:pPr>
              <w:spacing w:line="360" w:lineRule="auto"/>
              <w:ind w:left="240" w:hanging="240" w:hangingChars="100"/>
              <w:rPr>
                <w:rFonts w:hint="eastAsia" w:ascii="Times New Roman" w:hAnsi="Times New Roman" w:eastAsia="宋体" w:cs="Times New Roman"/>
                <w:sz w:val="24"/>
                <w:lang w:val="en-US" w:eastAsia="zh-CN"/>
              </w:rPr>
            </w:pPr>
            <w:r>
              <w:rPr>
                <w:rFonts w:hint="eastAsia" w:ascii="Times New Roman" w:hAnsi="Times New Roman" w:eastAsia="黑体" w:cs="Times New Roman"/>
                <w:kern w:val="0"/>
                <w:sz w:val="24"/>
                <w:szCs w:val="21"/>
                <w:lang w:val="en-US" w:eastAsia="zh-CN" w:bidi="ar-SA"/>
              </w:rPr>
              <w:t>6.3</w:t>
            </w:r>
            <w:r>
              <w:rPr>
                <w:rFonts w:hint="eastAsia" w:ascii="Times New Roman" w:hAnsi="Times New Roman" w:eastAsia="宋体" w:cs="Times New Roman"/>
                <w:kern w:val="2"/>
                <w:sz w:val="24"/>
                <w:szCs w:val="32"/>
                <w:lang w:val="en-US" w:eastAsia="zh-CN" w:bidi="ar-SA"/>
              </w:rPr>
              <w:t>环境风险分析</w:t>
            </w:r>
            <w:r>
              <w:rPr>
                <w:rFonts w:hint="eastAsia" w:ascii="Times New Roman" w:hAnsi="Times New Roman" w:eastAsia="黑体" w:cs="Times New Roman"/>
                <w:kern w:val="0"/>
                <w:sz w:val="24"/>
                <w:szCs w:val="21"/>
                <w:lang w:val="en-US" w:eastAsia="zh-CN" w:bidi="ar-SA"/>
              </w:rPr>
              <w:br w:type="textWrapping"/>
            </w:r>
            <w:r>
              <w:rPr>
                <w:rFonts w:hint="eastAsia" w:ascii="Times New Roman" w:hAnsi="Times New Roman" w:eastAsia="宋体" w:cs="Times New Roman"/>
                <w:bCs/>
                <w:sz w:val="24"/>
                <w:lang w:val="en-US" w:eastAsia="zh-CN"/>
              </w:rPr>
              <w:t xml:space="preserve"> 尾矿输送管道、</w:t>
            </w:r>
            <w:r>
              <w:rPr>
                <w:rFonts w:hint="eastAsia" w:ascii="Times New Roman" w:hAnsi="Times New Roman" w:eastAsia="宋体" w:cs="Times New Roman"/>
                <w:sz w:val="24"/>
                <w:lang w:val="en-US" w:eastAsia="zh-CN"/>
              </w:rPr>
              <w:t>填充料浆输送管道在输送过程中可能破裂造成尾矿浆、充填</w:t>
            </w:r>
          </w:p>
          <w:p w14:paraId="4675837F">
            <w:pPr>
              <w:spacing w:line="360" w:lineRule="auto"/>
              <w:ind w:left="240" w:hanging="240" w:hangingChars="1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料浆泄漏，会对管道沿线环境造成一定的影响。项目尾矿输送管道出选厂口设置</w:t>
            </w:r>
          </w:p>
          <w:p w14:paraId="4542E3E8">
            <w:pPr>
              <w:pStyle w:val="8"/>
              <w:spacing w:line="360" w:lineRule="auto"/>
              <w:ind w:left="0" w:leftChars="0" w:firstLine="0" w:firstLineChars="0"/>
              <w:rPr>
                <w:rFonts w:hint="eastAsia" w:eastAsia="宋体"/>
                <w:b/>
                <w:sz w:val="24"/>
                <w:lang w:eastAsia="zh-CN"/>
              </w:rPr>
            </w:pPr>
            <w:r>
              <w:rPr>
                <w:rFonts w:hint="eastAsia" w:ascii="Times New Roman" w:hAnsi="Times New Roman" w:eastAsia="宋体" w:cs="Times New Roman"/>
                <w:sz w:val="24"/>
                <w:lang w:val="en-US" w:eastAsia="zh-CN"/>
              </w:rPr>
              <w:t>1处阀门，若管道发生破裂导则尾矿泄漏，可立即关闭输送阀门，同时停止选厂选矿生产，及时对泄漏尾矿进行清理，将尾矿的影响降至最低；若填充料浆管道发生泄漏，则关闭填充料浆输送阀门，及时修复管道，同时清理泄漏料浆，将影响降至最低。</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6.4环境风险防范措施</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 xml:space="preserve"> </w:t>
            </w:r>
            <w:r>
              <w:rPr>
                <w:rFonts w:hint="eastAsia" w:cs="Times New Roman"/>
                <w:sz w:val="24"/>
                <w:lang w:val="en-US" w:eastAsia="zh-CN"/>
              </w:rPr>
              <w:t xml:space="preserve"> </w:t>
            </w:r>
            <w:r>
              <w:rPr>
                <w:rFonts w:hint="eastAsia" w:ascii="Times New Roman" w:hAnsi="Times New Roman" w:eastAsia="宋体" w:cs="Times New Roman"/>
                <w:sz w:val="24"/>
                <w:lang w:val="en-US" w:eastAsia="zh-CN"/>
              </w:rPr>
              <w:t>（1）输送管道严格按照设计要求进行安装，管道材料需满足其压力要求。定期对管道进行进行检查，</w:t>
            </w:r>
            <w:r>
              <w:rPr>
                <w:rFonts w:hint="default"/>
                <w:u w:val="none"/>
                <w:lang w:val="en-US" w:eastAsia="zh-CN"/>
              </w:rPr>
              <w:t>安排专人管理。</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 xml:space="preserve">  （2）本项目输送管道为一用一备，输送过程中安排专人巡查，</w:t>
            </w:r>
            <w:r>
              <w:rPr>
                <w:rFonts w:hint="eastAsia" w:ascii="宋体" w:hAnsi="宋体" w:cs="Times New Roman"/>
                <w:spacing w:val="0"/>
                <w:szCs w:val="24"/>
                <w:u w:val="none"/>
                <w:lang w:eastAsia="zh-CN"/>
              </w:rPr>
              <w:t>同时</w:t>
            </w:r>
            <w:r>
              <w:rPr>
                <w:rFonts w:hint="default"/>
                <w:u w:val="none"/>
                <w:lang w:val="en-US" w:eastAsia="zh-CN"/>
              </w:rPr>
              <w:t>制定各种应急救援、应急预案并进行演练。</w:t>
            </w:r>
            <w:r>
              <w:rPr>
                <w:rFonts w:hint="default"/>
                <w:u w:val="none"/>
                <w:lang w:val="en-US" w:eastAsia="zh-CN"/>
              </w:rPr>
              <w:br w:type="textWrapping"/>
            </w:r>
            <w:r>
              <w:rPr>
                <w:rFonts w:hint="eastAsia"/>
                <w:u w:val="none"/>
                <w:lang w:val="en-US" w:eastAsia="zh-CN"/>
              </w:rPr>
              <w:t xml:space="preserve">   综上，</w:t>
            </w:r>
            <w:r>
              <w:rPr>
                <w:rFonts w:hint="default"/>
                <w:u w:val="none"/>
                <w:lang w:val="en-US" w:eastAsia="zh-CN"/>
              </w:rPr>
              <w:t>企业在严格执行上述环境风险防范措施后，环境风险较小。</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 xml:space="preserve">7、 </w:t>
            </w:r>
            <w:r>
              <w:rPr>
                <w:b/>
                <w:sz w:val="24"/>
              </w:rPr>
              <w:t>环保投资</w:t>
            </w:r>
            <w:r>
              <w:rPr>
                <w:rFonts w:hint="eastAsia"/>
                <w:b/>
                <w:sz w:val="24"/>
                <w:lang w:eastAsia="zh-CN"/>
              </w:rPr>
              <w:t>及环保验收</w:t>
            </w:r>
          </w:p>
          <w:p w14:paraId="207B0F5F">
            <w:pPr>
              <w:widowControl/>
              <w:spacing w:line="360" w:lineRule="auto"/>
              <w:ind w:firstLine="480" w:firstLineChars="200"/>
              <w:contextualSpacing/>
              <w:rPr>
                <w:bCs/>
                <w:sz w:val="24"/>
                <w:highlight w:val="yellow"/>
              </w:rPr>
            </w:pPr>
            <w:r>
              <w:rPr>
                <w:bCs/>
                <w:color w:val="auto"/>
                <w:sz w:val="24"/>
                <w:u w:val="single"/>
              </w:rPr>
              <w:t>本项目总投资为</w:t>
            </w:r>
            <w:r>
              <w:rPr>
                <w:rFonts w:hint="eastAsia"/>
                <w:bCs/>
                <w:color w:val="auto"/>
                <w:sz w:val="24"/>
                <w:u w:val="single"/>
                <w:lang w:val="en-US" w:eastAsia="zh-CN"/>
              </w:rPr>
              <w:t>36000</w:t>
            </w:r>
            <w:r>
              <w:rPr>
                <w:bCs/>
                <w:color w:val="auto"/>
                <w:sz w:val="24"/>
                <w:u w:val="single"/>
              </w:rPr>
              <w:t>万元，环保投资为</w:t>
            </w:r>
            <w:r>
              <w:rPr>
                <w:rFonts w:hint="eastAsia"/>
                <w:bCs/>
                <w:color w:val="auto"/>
                <w:sz w:val="24"/>
                <w:u w:val="single"/>
                <w:lang w:val="en-US" w:eastAsia="zh-CN"/>
              </w:rPr>
              <w:t>55.1</w:t>
            </w:r>
            <w:r>
              <w:rPr>
                <w:bCs/>
                <w:color w:val="auto"/>
                <w:sz w:val="24"/>
                <w:u w:val="single"/>
              </w:rPr>
              <w:t>万元，占总投资的</w:t>
            </w:r>
            <w:r>
              <w:rPr>
                <w:rFonts w:hint="eastAsia"/>
                <w:bCs/>
                <w:color w:val="auto"/>
                <w:sz w:val="24"/>
                <w:u w:val="single"/>
                <w:lang w:val="en-US" w:eastAsia="zh-CN"/>
              </w:rPr>
              <w:t>0.15</w:t>
            </w:r>
            <w:r>
              <w:rPr>
                <w:bCs/>
                <w:color w:val="auto"/>
                <w:sz w:val="24"/>
                <w:u w:val="single"/>
              </w:rPr>
              <w:t>%</w:t>
            </w:r>
            <w:r>
              <w:rPr>
                <w:bCs/>
                <w:sz w:val="24"/>
              </w:rPr>
              <w:t>，环保投资估算见下表。</w:t>
            </w:r>
          </w:p>
          <w:p w14:paraId="30A90C08">
            <w:pPr>
              <w:pStyle w:val="119"/>
              <w:numPr>
                <w:ilvl w:val="0"/>
                <w:numId w:val="0"/>
              </w:numPr>
              <w:jc w:val="center"/>
              <w:rPr>
                <w:rFonts w:hint="eastAsia"/>
                <w:kern w:val="0"/>
              </w:rPr>
            </w:pPr>
            <w:r>
              <w:rPr>
                <w:rFonts w:hint="eastAsia"/>
                <w:b w:val="0"/>
                <w:bCs w:val="0"/>
                <w:kern w:val="0"/>
                <w:lang w:eastAsia="zh-CN"/>
              </w:rPr>
              <w:t>表</w:t>
            </w:r>
            <w:r>
              <w:rPr>
                <w:rFonts w:hint="eastAsia"/>
                <w:b w:val="0"/>
                <w:bCs w:val="0"/>
                <w:kern w:val="0"/>
                <w:lang w:val="en-US" w:eastAsia="zh-CN"/>
              </w:rPr>
              <w:t>4-15</w:t>
            </w:r>
            <w:r>
              <w:rPr>
                <w:rFonts w:hint="eastAsia"/>
                <w:kern w:val="0"/>
              </w:rPr>
              <w:t xml:space="preserve">    环保投资估算一览表</w:t>
            </w:r>
          </w:p>
          <w:tbl>
            <w:tblPr>
              <w:tblStyle w:val="31"/>
              <w:tblW w:w="82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723"/>
              <w:gridCol w:w="1863"/>
              <w:gridCol w:w="4215"/>
              <w:gridCol w:w="1488"/>
            </w:tblGrid>
            <w:tr w14:paraId="54D29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723" w:type="dxa"/>
                  <w:tcBorders>
                    <w:tl2br w:val="nil"/>
                    <w:tr2bl w:val="nil"/>
                  </w:tcBorders>
                  <w:noWrap w:val="0"/>
                  <w:vAlign w:val="center"/>
                </w:tcPr>
                <w:p w14:paraId="16AEF832">
                  <w:pPr>
                    <w:jc w:val="center"/>
                    <w:rPr>
                      <w:sz w:val="21"/>
                      <w:szCs w:val="21"/>
                    </w:rPr>
                  </w:pPr>
                  <w:r>
                    <w:rPr>
                      <w:sz w:val="21"/>
                      <w:szCs w:val="21"/>
                    </w:rPr>
                    <w:t>项目</w:t>
                  </w:r>
                </w:p>
              </w:tc>
              <w:tc>
                <w:tcPr>
                  <w:tcW w:w="1863" w:type="dxa"/>
                  <w:tcBorders>
                    <w:tl2br w:val="nil"/>
                    <w:tr2bl w:val="nil"/>
                  </w:tcBorders>
                  <w:noWrap w:val="0"/>
                  <w:vAlign w:val="center"/>
                </w:tcPr>
                <w:p w14:paraId="6CAA7204">
                  <w:pPr>
                    <w:jc w:val="center"/>
                    <w:rPr>
                      <w:rFonts w:hint="default" w:eastAsia="宋体"/>
                      <w:sz w:val="21"/>
                      <w:szCs w:val="21"/>
                      <w:lang w:val="en-US" w:eastAsia="zh-CN"/>
                    </w:rPr>
                  </w:pPr>
                  <w:r>
                    <w:rPr>
                      <w:rFonts w:hint="eastAsia"/>
                      <w:sz w:val="21"/>
                      <w:szCs w:val="21"/>
                      <w:lang w:val="en-US" w:eastAsia="zh-CN"/>
                    </w:rPr>
                    <w:t>污染工序</w:t>
                  </w:r>
                </w:p>
              </w:tc>
              <w:tc>
                <w:tcPr>
                  <w:tcW w:w="4215" w:type="dxa"/>
                  <w:tcBorders>
                    <w:tl2br w:val="nil"/>
                    <w:tr2bl w:val="nil"/>
                  </w:tcBorders>
                  <w:noWrap w:val="0"/>
                  <w:vAlign w:val="center"/>
                </w:tcPr>
                <w:p w14:paraId="0A8FD8BB">
                  <w:pPr>
                    <w:jc w:val="center"/>
                    <w:rPr>
                      <w:sz w:val="21"/>
                      <w:szCs w:val="21"/>
                    </w:rPr>
                  </w:pPr>
                  <w:r>
                    <w:rPr>
                      <w:sz w:val="21"/>
                      <w:szCs w:val="21"/>
                    </w:rPr>
                    <w:t>处理措施</w:t>
                  </w:r>
                </w:p>
              </w:tc>
              <w:tc>
                <w:tcPr>
                  <w:tcW w:w="1488" w:type="dxa"/>
                  <w:tcBorders>
                    <w:tl2br w:val="nil"/>
                    <w:tr2bl w:val="nil"/>
                  </w:tcBorders>
                  <w:noWrap w:val="0"/>
                  <w:vAlign w:val="center"/>
                </w:tcPr>
                <w:p w14:paraId="346F2140">
                  <w:pPr>
                    <w:jc w:val="center"/>
                    <w:rPr>
                      <w:sz w:val="21"/>
                      <w:szCs w:val="21"/>
                    </w:rPr>
                  </w:pPr>
                  <w:r>
                    <w:rPr>
                      <w:sz w:val="21"/>
                      <w:szCs w:val="21"/>
                    </w:rPr>
                    <w:t>投资(万元)</w:t>
                  </w:r>
                </w:p>
              </w:tc>
            </w:tr>
            <w:tr w14:paraId="7DA8D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723" w:type="dxa"/>
                  <w:tcBorders>
                    <w:tl2br w:val="nil"/>
                    <w:tr2bl w:val="nil"/>
                  </w:tcBorders>
                  <w:noWrap w:val="0"/>
                  <w:vAlign w:val="center"/>
                </w:tcPr>
                <w:p w14:paraId="1CE28E06">
                  <w:pPr>
                    <w:snapToGrid w:val="0"/>
                    <w:spacing w:line="240" w:lineRule="atLeast"/>
                    <w:jc w:val="center"/>
                    <w:rPr>
                      <w:rFonts w:hint="eastAsia"/>
                      <w:sz w:val="21"/>
                      <w:szCs w:val="21"/>
                    </w:rPr>
                  </w:pPr>
                  <w:r>
                    <w:rPr>
                      <w:rFonts w:hint="eastAsia"/>
                      <w:sz w:val="21"/>
                      <w:szCs w:val="21"/>
                    </w:rPr>
                    <w:t>废气</w:t>
                  </w:r>
                </w:p>
              </w:tc>
              <w:tc>
                <w:tcPr>
                  <w:tcW w:w="1863" w:type="dxa"/>
                  <w:tcBorders>
                    <w:tl2br w:val="nil"/>
                    <w:tr2bl w:val="nil"/>
                  </w:tcBorders>
                  <w:noWrap w:val="0"/>
                  <w:vAlign w:val="center"/>
                </w:tcPr>
                <w:p w14:paraId="784B24AE">
                  <w:pPr>
                    <w:snapToGrid w:val="0"/>
                    <w:spacing w:line="240" w:lineRule="atLeast"/>
                    <w:jc w:val="center"/>
                    <w:rPr>
                      <w:rFonts w:hint="default"/>
                      <w:sz w:val="21"/>
                      <w:szCs w:val="21"/>
                      <w:lang w:val="en-US" w:eastAsia="zh-CN"/>
                    </w:rPr>
                  </w:pPr>
                  <w:r>
                    <w:rPr>
                      <w:rFonts w:hint="eastAsia"/>
                      <w:sz w:val="21"/>
                      <w:szCs w:val="21"/>
                      <w:lang w:val="en-US" w:eastAsia="zh-CN"/>
                    </w:rPr>
                    <w:t>水泥入料工序</w:t>
                  </w:r>
                </w:p>
              </w:tc>
              <w:tc>
                <w:tcPr>
                  <w:tcW w:w="4215" w:type="dxa"/>
                  <w:tcBorders>
                    <w:tl2br w:val="nil"/>
                    <w:tr2bl w:val="nil"/>
                  </w:tcBorders>
                  <w:noWrap w:val="0"/>
                  <w:vAlign w:val="center"/>
                </w:tcPr>
                <w:p w14:paraId="1E747F0E">
                  <w:pPr>
                    <w:jc w:val="center"/>
                    <w:rPr>
                      <w:rFonts w:hint="eastAsia"/>
                      <w:sz w:val="21"/>
                      <w:szCs w:val="21"/>
                      <w:lang w:val="en-US" w:eastAsia="zh-CN"/>
                    </w:rPr>
                  </w:pPr>
                  <w:r>
                    <w:rPr>
                      <w:rFonts w:hint="eastAsia"/>
                      <w:sz w:val="21"/>
                      <w:szCs w:val="21"/>
                      <w:lang w:val="en-US" w:eastAsia="zh-CN"/>
                    </w:rPr>
                    <w:t xml:space="preserve">1套覆膜袋式除尘器+15m高排气筒  </w:t>
                  </w:r>
                </w:p>
              </w:tc>
              <w:tc>
                <w:tcPr>
                  <w:tcW w:w="1488" w:type="dxa"/>
                  <w:tcBorders>
                    <w:tl2br w:val="nil"/>
                    <w:tr2bl w:val="nil"/>
                  </w:tcBorders>
                  <w:noWrap w:val="0"/>
                  <w:vAlign w:val="center"/>
                </w:tcPr>
                <w:p w14:paraId="49DBDCFB">
                  <w:pPr>
                    <w:jc w:val="center"/>
                    <w:rPr>
                      <w:rFonts w:hint="default"/>
                      <w:sz w:val="21"/>
                      <w:szCs w:val="21"/>
                      <w:lang w:val="en-US" w:eastAsia="zh-CN"/>
                    </w:rPr>
                  </w:pPr>
                  <w:r>
                    <w:rPr>
                      <w:rFonts w:hint="eastAsia"/>
                      <w:sz w:val="21"/>
                      <w:szCs w:val="21"/>
                      <w:lang w:val="en-US" w:eastAsia="zh-CN"/>
                    </w:rPr>
                    <w:t>3.0</w:t>
                  </w:r>
                </w:p>
              </w:tc>
            </w:tr>
            <w:tr w14:paraId="3CB46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83" w:hRule="atLeast"/>
                <w:jc w:val="center"/>
              </w:trPr>
              <w:tc>
                <w:tcPr>
                  <w:tcW w:w="723" w:type="dxa"/>
                  <w:vMerge w:val="restart"/>
                  <w:tcBorders>
                    <w:tl2br w:val="nil"/>
                    <w:tr2bl w:val="nil"/>
                  </w:tcBorders>
                  <w:noWrap w:val="0"/>
                  <w:vAlign w:val="center"/>
                </w:tcPr>
                <w:p w14:paraId="50DA3410">
                  <w:pPr>
                    <w:jc w:val="center"/>
                    <w:rPr>
                      <w:rFonts w:hint="eastAsia"/>
                      <w:sz w:val="21"/>
                      <w:szCs w:val="21"/>
                    </w:rPr>
                  </w:pPr>
                  <w:r>
                    <w:rPr>
                      <w:sz w:val="21"/>
                      <w:szCs w:val="21"/>
                    </w:rPr>
                    <w:t>废水</w:t>
                  </w:r>
                </w:p>
              </w:tc>
              <w:tc>
                <w:tcPr>
                  <w:tcW w:w="1863" w:type="dxa"/>
                  <w:tcBorders>
                    <w:tl2br w:val="nil"/>
                    <w:tr2bl w:val="nil"/>
                  </w:tcBorders>
                  <w:noWrap w:val="0"/>
                  <w:vAlign w:val="center"/>
                </w:tcPr>
                <w:p w14:paraId="43EAC1F8">
                  <w:pPr>
                    <w:jc w:val="center"/>
                    <w:rPr>
                      <w:sz w:val="21"/>
                      <w:szCs w:val="21"/>
                    </w:rPr>
                  </w:pPr>
                  <w:r>
                    <w:rPr>
                      <w:rFonts w:hint="eastAsia"/>
                      <w:sz w:val="21"/>
                      <w:szCs w:val="21"/>
                    </w:rPr>
                    <w:t>生活污水</w:t>
                  </w:r>
                </w:p>
              </w:tc>
              <w:tc>
                <w:tcPr>
                  <w:tcW w:w="4215" w:type="dxa"/>
                  <w:tcBorders>
                    <w:tl2br w:val="nil"/>
                    <w:tr2bl w:val="nil"/>
                  </w:tcBorders>
                  <w:noWrap w:val="0"/>
                  <w:vAlign w:val="center"/>
                </w:tcPr>
                <w:p w14:paraId="14E9F4D7">
                  <w:pPr>
                    <w:jc w:val="center"/>
                    <w:rPr>
                      <w:rFonts w:hint="default" w:eastAsia="宋体"/>
                      <w:sz w:val="21"/>
                      <w:szCs w:val="21"/>
                      <w:lang w:val="en-US" w:eastAsia="zh-CN"/>
                    </w:rPr>
                  </w:pPr>
                  <w:r>
                    <w:rPr>
                      <w:rFonts w:hint="eastAsia"/>
                      <w:sz w:val="21"/>
                      <w:szCs w:val="21"/>
                      <w:lang w:val="en-US" w:eastAsia="zh-CN"/>
                    </w:rPr>
                    <w:t xml:space="preserve"> 5m³化粪池</w:t>
                  </w:r>
                </w:p>
              </w:tc>
              <w:tc>
                <w:tcPr>
                  <w:tcW w:w="1488" w:type="dxa"/>
                  <w:tcBorders>
                    <w:tl2br w:val="nil"/>
                    <w:tr2bl w:val="nil"/>
                  </w:tcBorders>
                  <w:noWrap w:val="0"/>
                  <w:vAlign w:val="center"/>
                </w:tcPr>
                <w:p w14:paraId="42E2C670">
                  <w:pPr>
                    <w:jc w:val="center"/>
                    <w:rPr>
                      <w:rFonts w:hint="default" w:eastAsia="宋体"/>
                      <w:sz w:val="21"/>
                      <w:szCs w:val="21"/>
                      <w:lang w:val="en-US" w:eastAsia="zh-CN"/>
                    </w:rPr>
                  </w:pPr>
                  <w:r>
                    <w:rPr>
                      <w:rFonts w:hint="eastAsia"/>
                      <w:sz w:val="21"/>
                      <w:szCs w:val="21"/>
                      <w:lang w:val="en-US" w:eastAsia="zh-CN"/>
                    </w:rPr>
                    <w:t>1.0</w:t>
                  </w:r>
                </w:p>
              </w:tc>
            </w:tr>
            <w:tr w14:paraId="7E980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10" w:hRule="atLeast"/>
                <w:jc w:val="center"/>
              </w:trPr>
              <w:tc>
                <w:tcPr>
                  <w:tcW w:w="723" w:type="dxa"/>
                  <w:vMerge w:val="continue"/>
                  <w:tcBorders>
                    <w:tl2br w:val="nil"/>
                    <w:tr2bl w:val="nil"/>
                  </w:tcBorders>
                  <w:noWrap w:val="0"/>
                  <w:vAlign w:val="center"/>
                </w:tcPr>
                <w:p w14:paraId="00843626">
                  <w:pPr>
                    <w:jc w:val="center"/>
                    <w:rPr>
                      <w:sz w:val="21"/>
                      <w:szCs w:val="21"/>
                    </w:rPr>
                  </w:pPr>
                </w:p>
              </w:tc>
              <w:tc>
                <w:tcPr>
                  <w:tcW w:w="1863" w:type="dxa"/>
                  <w:tcBorders>
                    <w:tl2br w:val="nil"/>
                    <w:tr2bl w:val="nil"/>
                  </w:tcBorders>
                  <w:noWrap w:val="0"/>
                  <w:vAlign w:val="center"/>
                </w:tcPr>
                <w:p w14:paraId="16E7888C">
                  <w:pPr>
                    <w:jc w:val="center"/>
                    <w:rPr>
                      <w:rFonts w:hint="eastAsia" w:eastAsia="宋体"/>
                      <w:sz w:val="21"/>
                      <w:szCs w:val="21"/>
                      <w:lang w:val="en-US" w:eastAsia="zh-CN"/>
                    </w:rPr>
                  </w:pPr>
                  <w:r>
                    <w:rPr>
                      <w:rFonts w:hint="eastAsia"/>
                      <w:sz w:val="21"/>
                      <w:szCs w:val="21"/>
                      <w:lang w:val="en-US" w:eastAsia="zh-CN"/>
                    </w:rPr>
                    <w:t>溢流水</w:t>
                  </w:r>
                </w:p>
              </w:tc>
              <w:tc>
                <w:tcPr>
                  <w:tcW w:w="4215" w:type="dxa"/>
                  <w:tcBorders>
                    <w:tl2br w:val="nil"/>
                    <w:tr2bl w:val="nil"/>
                  </w:tcBorders>
                  <w:noWrap w:val="0"/>
                  <w:vAlign w:val="center"/>
                </w:tcPr>
                <w:p w14:paraId="7086289C">
                  <w:pPr>
                    <w:jc w:val="center"/>
                    <w:rPr>
                      <w:rFonts w:hint="default"/>
                      <w:sz w:val="21"/>
                      <w:szCs w:val="21"/>
                      <w:lang w:val="en-US" w:eastAsia="zh-CN"/>
                    </w:rPr>
                  </w:pPr>
                  <w:r>
                    <w:rPr>
                      <w:rFonts w:hint="eastAsia"/>
                      <w:sz w:val="21"/>
                      <w:szCs w:val="21"/>
                      <w:lang w:val="en-US" w:eastAsia="zh-CN"/>
                    </w:rPr>
                    <w:t>设置1座50m³溢流水池</w:t>
                  </w:r>
                </w:p>
              </w:tc>
              <w:tc>
                <w:tcPr>
                  <w:tcW w:w="1488" w:type="dxa"/>
                  <w:tcBorders>
                    <w:tl2br w:val="nil"/>
                    <w:tr2bl w:val="nil"/>
                  </w:tcBorders>
                  <w:noWrap w:val="0"/>
                  <w:vAlign w:val="center"/>
                </w:tcPr>
                <w:p w14:paraId="5B25C371">
                  <w:pPr>
                    <w:jc w:val="center"/>
                    <w:rPr>
                      <w:rFonts w:hint="default"/>
                      <w:sz w:val="21"/>
                      <w:szCs w:val="21"/>
                      <w:lang w:val="en-US" w:eastAsia="zh-CN"/>
                    </w:rPr>
                  </w:pPr>
                  <w:r>
                    <w:rPr>
                      <w:rFonts w:hint="eastAsia"/>
                      <w:sz w:val="21"/>
                      <w:szCs w:val="21"/>
                      <w:lang w:val="en-US" w:eastAsia="zh-CN"/>
                    </w:rPr>
                    <w:t>5.0</w:t>
                  </w:r>
                </w:p>
              </w:tc>
            </w:tr>
            <w:tr w14:paraId="56A37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45" w:hRule="atLeast"/>
                <w:jc w:val="center"/>
              </w:trPr>
              <w:tc>
                <w:tcPr>
                  <w:tcW w:w="723" w:type="dxa"/>
                  <w:vMerge w:val="continue"/>
                  <w:tcBorders>
                    <w:tl2br w:val="nil"/>
                    <w:tr2bl w:val="nil"/>
                  </w:tcBorders>
                  <w:noWrap w:val="0"/>
                  <w:vAlign w:val="center"/>
                </w:tcPr>
                <w:p w14:paraId="6238D6FE">
                  <w:pPr>
                    <w:jc w:val="center"/>
                    <w:rPr>
                      <w:sz w:val="21"/>
                      <w:szCs w:val="21"/>
                    </w:rPr>
                  </w:pPr>
                </w:p>
              </w:tc>
              <w:tc>
                <w:tcPr>
                  <w:tcW w:w="1863" w:type="dxa"/>
                  <w:tcBorders>
                    <w:tl2br w:val="nil"/>
                    <w:tr2bl w:val="nil"/>
                  </w:tcBorders>
                  <w:noWrap w:val="0"/>
                  <w:vAlign w:val="center"/>
                </w:tcPr>
                <w:p w14:paraId="5584643E">
                  <w:pPr>
                    <w:jc w:val="center"/>
                    <w:rPr>
                      <w:rFonts w:hint="default"/>
                      <w:sz w:val="21"/>
                      <w:szCs w:val="21"/>
                      <w:lang w:val="en-US" w:eastAsia="zh-CN"/>
                    </w:rPr>
                  </w:pPr>
                  <w:r>
                    <w:rPr>
                      <w:rFonts w:hint="eastAsia"/>
                      <w:sz w:val="21"/>
                      <w:szCs w:val="21"/>
                      <w:lang w:val="en-US" w:eastAsia="zh-CN"/>
                    </w:rPr>
                    <w:t>事故池</w:t>
                  </w:r>
                </w:p>
              </w:tc>
              <w:tc>
                <w:tcPr>
                  <w:tcW w:w="4215" w:type="dxa"/>
                  <w:tcBorders>
                    <w:tl2br w:val="nil"/>
                    <w:tr2bl w:val="nil"/>
                  </w:tcBorders>
                  <w:noWrap w:val="0"/>
                  <w:vAlign w:val="center"/>
                </w:tcPr>
                <w:p w14:paraId="5BEF5C62">
                  <w:pPr>
                    <w:jc w:val="center"/>
                    <w:rPr>
                      <w:rFonts w:hint="eastAsia"/>
                      <w:sz w:val="21"/>
                      <w:szCs w:val="21"/>
                      <w:lang w:val="en-US" w:eastAsia="zh-CN"/>
                    </w:rPr>
                  </w:pPr>
                  <w:r>
                    <w:rPr>
                      <w:rFonts w:hint="eastAsia"/>
                      <w:sz w:val="21"/>
                      <w:szCs w:val="21"/>
                      <w:lang w:val="en-US" w:eastAsia="zh-CN"/>
                    </w:rPr>
                    <w:t>设置1座50m³事故池，</w:t>
                  </w:r>
                  <w:r>
                    <w:rPr>
                      <w:rFonts w:hint="eastAsia"/>
                      <w:color w:val="000000"/>
                    </w:rPr>
                    <w:t>用来收集事故状态下搅拌桶里的料浆</w:t>
                  </w:r>
                </w:p>
              </w:tc>
              <w:tc>
                <w:tcPr>
                  <w:tcW w:w="1488" w:type="dxa"/>
                  <w:tcBorders>
                    <w:tl2br w:val="nil"/>
                    <w:tr2bl w:val="nil"/>
                  </w:tcBorders>
                  <w:noWrap w:val="0"/>
                  <w:vAlign w:val="center"/>
                </w:tcPr>
                <w:p w14:paraId="5ADA0DA5">
                  <w:pPr>
                    <w:jc w:val="center"/>
                    <w:rPr>
                      <w:rFonts w:hint="default"/>
                      <w:sz w:val="21"/>
                      <w:szCs w:val="21"/>
                      <w:lang w:val="en-US" w:eastAsia="zh-CN"/>
                    </w:rPr>
                  </w:pPr>
                  <w:r>
                    <w:rPr>
                      <w:rFonts w:hint="eastAsia"/>
                      <w:sz w:val="21"/>
                      <w:szCs w:val="21"/>
                      <w:lang w:val="en-US" w:eastAsia="zh-CN"/>
                    </w:rPr>
                    <w:t>3.0</w:t>
                  </w:r>
                </w:p>
              </w:tc>
            </w:tr>
            <w:tr w14:paraId="32DEC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723" w:type="dxa"/>
                  <w:tcBorders>
                    <w:tl2br w:val="nil"/>
                    <w:tr2bl w:val="nil"/>
                  </w:tcBorders>
                  <w:noWrap w:val="0"/>
                  <w:vAlign w:val="center"/>
                </w:tcPr>
                <w:p w14:paraId="226B5C92">
                  <w:pPr>
                    <w:jc w:val="center"/>
                    <w:rPr>
                      <w:sz w:val="21"/>
                      <w:szCs w:val="21"/>
                    </w:rPr>
                  </w:pPr>
                  <w:r>
                    <w:rPr>
                      <w:sz w:val="21"/>
                      <w:szCs w:val="21"/>
                    </w:rPr>
                    <w:t>噪声</w:t>
                  </w:r>
                </w:p>
              </w:tc>
              <w:tc>
                <w:tcPr>
                  <w:tcW w:w="1863" w:type="dxa"/>
                  <w:tcBorders>
                    <w:tl2br w:val="nil"/>
                    <w:tr2bl w:val="nil"/>
                  </w:tcBorders>
                  <w:noWrap w:val="0"/>
                  <w:vAlign w:val="center"/>
                </w:tcPr>
                <w:p w14:paraId="02C49E7A">
                  <w:pPr>
                    <w:jc w:val="center"/>
                    <w:rPr>
                      <w:rFonts w:hint="default" w:eastAsia="宋体"/>
                      <w:sz w:val="21"/>
                      <w:szCs w:val="21"/>
                      <w:lang w:val="en-US" w:eastAsia="zh-CN"/>
                    </w:rPr>
                  </w:pPr>
                  <w:r>
                    <w:rPr>
                      <w:rFonts w:hint="eastAsia"/>
                      <w:sz w:val="21"/>
                      <w:szCs w:val="21"/>
                      <w:lang w:val="en-US" w:eastAsia="zh-CN"/>
                    </w:rPr>
                    <w:t>设备噪声</w:t>
                  </w:r>
                </w:p>
              </w:tc>
              <w:tc>
                <w:tcPr>
                  <w:tcW w:w="4215" w:type="dxa"/>
                  <w:tcBorders>
                    <w:tl2br w:val="nil"/>
                    <w:tr2bl w:val="nil"/>
                  </w:tcBorders>
                  <w:noWrap w:val="0"/>
                  <w:vAlign w:val="center"/>
                </w:tcPr>
                <w:p w14:paraId="5B4953D4">
                  <w:pPr>
                    <w:jc w:val="center"/>
                    <w:rPr>
                      <w:sz w:val="21"/>
                      <w:szCs w:val="21"/>
                    </w:rPr>
                  </w:pPr>
                  <w:r>
                    <w:rPr>
                      <w:sz w:val="21"/>
                      <w:szCs w:val="21"/>
                    </w:rPr>
                    <w:t>安装减震、</w:t>
                  </w:r>
                  <w:r>
                    <w:rPr>
                      <w:rFonts w:hint="eastAsia"/>
                      <w:sz w:val="21"/>
                      <w:szCs w:val="21"/>
                    </w:rPr>
                    <w:t>隔声、</w:t>
                  </w:r>
                  <w:r>
                    <w:rPr>
                      <w:sz w:val="21"/>
                      <w:szCs w:val="21"/>
                    </w:rPr>
                    <w:t>降噪设施</w:t>
                  </w:r>
                </w:p>
              </w:tc>
              <w:tc>
                <w:tcPr>
                  <w:tcW w:w="1488" w:type="dxa"/>
                  <w:tcBorders>
                    <w:tl2br w:val="nil"/>
                    <w:tr2bl w:val="nil"/>
                  </w:tcBorders>
                  <w:noWrap w:val="0"/>
                  <w:vAlign w:val="center"/>
                </w:tcPr>
                <w:p w14:paraId="3064CE72">
                  <w:pPr>
                    <w:jc w:val="center"/>
                    <w:rPr>
                      <w:rFonts w:hint="default" w:eastAsia="宋体"/>
                      <w:sz w:val="21"/>
                      <w:szCs w:val="21"/>
                      <w:lang w:val="en-US" w:eastAsia="zh-CN"/>
                    </w:rPr>
                  </w:pPr>
                  <w:r>
                    <w:rPr>
                      <w:rFonts w:hint="eastAsia"/>
                      <w:sz w:val="21"/>
                      <w:szCs w:val="21"/>
                      <w:lang w:val="en-US" w:eastAsia="zh-CN"/>
                    </w:rPr>
                    <w:t>3.0</w:t>
                  </w:r>
                </w:p>
              </w:tc>
            </w:tr>
            <w:tr w14:paraId="0C1B3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8" w:hRule="atLeast"/>
                <w:jc w:val="center"/>
              </w:trPr>
              <w:tc>
                <w:tcPr>
                  <w:tcW w:w="723" w:type="dxa"/>
                  <w:tcBorders>
                    <w:tl2br w:val="nil"/>
                    <w:tr2bl w:val="nil"/>
                  </w:tcBorders>
                  <w:noWrap w:val="0"/>
                  <w:vAlign w:val="center"/>
                </w:tcPr>
                <w:p w14:paraId="384348FD">
                  <w:pPr>
                    <w:jc w:val="center"/>
                    <w:rPr>
                      <w:sz w:val="21"/>
                      <w:szCs w:val="21"/>
                    </w:rPr>
                  </w:pPr>
                  <w:r>
                    <w:rPr>
                      <w:sz w:val="21"/>
                      <w:szCs w:val="21"/>
                    </w:rPr>
                    <w:t>固废</w:t>
                  </w:r>
                </w:p>
              </w:tc>
              <w:tc>
                <w:tcPr>
                  <w:tcW w:w="1863" w:type="dxa"/>
                  <w:tcBorders>
                    <w:tl2br w:val="nil"/>
                    <w:tr2bl w:val="nil"/>
                  </w:tcBorders>
                  <w:noWrap w:val="0"/>
                  <w:vAlign w:val="center"/>
                </w:tcPr>
                <w:p w14:paraId="35C2929A">
                  <w:pPr>
                    <w:jc w:val="center"/>
                    <w:rPr>
                      <w:sz w:val="21"/>
                      <w:szCs w:val="21"/>
                    </w:rPr>
                  </w:pPr>
                  <w:r>
                    <w:rPr>
                      <w:sz w:val="21"/>
                      <w:szCs w:val="21"/>
                    </w:rPr>
                    <w:t>生活垃圾</w:t>
                  </w:r>
                </w:p>
              </w:tc>
              <w:tc>
                <w:tcPr>
                  <w:tcW w:w="4215" w:type="dxa"/>
                  <w:tcBorders>
                    <w:tl2br w:val="nil"/>
                    <w:tr2bl w:val="nil"/>
                  </w:tcBorders>
                  <w:noWrap w:val="0"/>
                  <w:vAlign w:val="center"/>
                </w:tcPr>
                <w:p w14:paraId="0A08784A">
                  <w:pPr>
                    <w:jc w:val="center"/>
                    <w:rPr>
                      <w:sz w:val="21"/>
                      <w:szCs w:val="21"/>
                    </w:rPr>
                  </w:pPr>
                  <w:r>
                    <w:rPr>
                      <w:rFonts w:hint="eastAsia"/>
                      <w:sz w:val="21"/>
                      <w:szCs w:val="21"/>
                    </w:rPr>
                    <w:t>2个</w:t>
                  </w:r>
                  <w:r>
                    <w:rPr>
                      <w:sz w:val="21"/>
                      <w:szCs w:val="21"/>
                    </w:rPr>
                    <w:t>生活垃圾收集桶</w:t>
                  </w:r>
                </w:p>
              </w:tc>
              <w:tc>
                <w:tcPr>
                  <w:tcW w:w="1488" w:type="dxa"/>
                  <w:tcBorders>
                    <w:tl2br w:val="nil"/>
                    <w:tr2bl w:val="nil"/>
                  </w:tcBorders>
                  <w:noWrap w:val="0"/>
                  <w:vAlign w:val="center"/>
                </w:tcPr>
                <w:p w14:paraId="45DA4942">
                  <w:pPr>
                    <w:jc w:val="center"/>
                    <w:rPr>
                      <w:sz w:val="21"/>
                      <w:szCs w:val="21"/>
                    </w:rPr>
                  </w:pPr>
                  <w:r>
                    <w:rPr>
                      <w:rFonts w:hint="eastAsia"/>
                      <w:sz w:val="21"/>
                      <w:szCs w:val="21"/>
                    </w:rPr>
                    <w:t>0.1</w:t>
                  </w:r>
                </w:p>
              </w:tc>
            </w:tr>
            <w:tr w14:paraId="683AD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723" w:type="dxa"/>
                  <w:tcBorders>
                    <w:tl2br w:val="nil"/>
                    <w:tr2bl w:val="nil"/>
                  </w:tcBorders>
                  <w:noWrap w:val="0"/>
                  <w:vAlign w:val="center"/>
                </w:tcPr>
                <w:p w14:paraId="09D1FE0C">
                  <w:pPr>
                    <w:jc w:val="center"/>
                    <w:rPr>
                      <w:rFonts w:hint="eastAsia" w:eastAsia="宋体"/>
                      <w:sz w:val="21"/>
                      <w:szCs w:val="21"/>
                      <w:lang w:val="en-US" w:eastAsia="zh-CN"/>
                    </w:rPr>
                  </w:pPr>
                  <w:r>
                    <w:rPr>
                      <w:rFonts w:hint="eastAsia"/>
                      <w:sz w:val="21"/>
                      <w:szCs w:val="21"/>
                      <w:lang w:val="en-US" w:eastAsia="zh-CN"/>
                    </w:rPr>
                    <w:t>生态</w:t>
                  </w:r>
                </w:p>
              </w:tc>
              <w:tc>
                <w:tcPr>
                  <w:tcW w:w="6078" w:type="dxa"/>
                  <w:gridSpan w:val="2"/>
                  <w:tcBorders>
                    <w:tl2br w:val="nil"/>
                    <w:tr2bl w:val="nil"/>
                  </w:tcBorders>
                  <w:noWrap w:val="0"/>
                  <w:vAlign w:val="center"/>
                </w:tcPr>
                <w:p w14:paraId="538C54D4">
                  <w:pPr>
                    <w:jc w:val="center"/>
                    <w:rPr>
                      <w:rFonts w:hint="default"/>
                      <w:sz w:val="21"/>
                      <w:szCs w:val="21"/>
                      <w:lang w:val="en-US" w:eastAsia="zh-CN"/>
                    </w:rPr>
                  </w:pPr>
                  <w:r>
                    <w:rPr>
                      <w:rFonts w:hint="eastAsia"/>
                      <w:sz w:val="21"/>
                      <w:szCs w:val="21"/>
                      <w:lang w:val="en-US" w:eastAsia="zh-CN"/>
                    </w:rPr>
                    <w:t>边坡防护</w:t>
                  </w:r>
                </w:p>
              </w:tc>
              <w:tc>
                <w:tcPr>
                  <w:tcW w:w="1488" w:type="dxa"/>
                  <w:tcBorders>
                    <w:tl2br w:val="nil"/>
                    <w:tr2bl w:val="nil"/>
                  </w:tcBorders>
                  <w:noWrap w:val="0"/>
                  <w:vAlign w:val="center"/>
                </w:tcPr>
                <w:p w14:paraId="4CE1FB28">
                  <w:pPr>
                    <w:jc w:val="center"/>
                    <w:rPr>
                      <w:rFonts w:hint="default"/>
                      <w:sz w:val="21"/>
                      <w:szCs w:val="21"/>
                      <w:lang w:val="en-US" w:eastAsia="zh-CN"/>
                    </w:rPr>
                  </w:pPr>
                  <w:r>
                    <w:rPr>
                      <w:rFonts w:hint="eastAsia"/>
                      <w:sz w:val="21"/>
                      <w:szCs w:val="21"/>
                      <w:lang w:val="en-US" w:eastAsia="zh-CN"/>
                    </w:rPr>
                    <w:t>40</w:t>
                  </w:r>
                </w:p>
              </w:tc>
            </w:tr>
            <w:tr w14:paraId="32DC3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2586" w:type="dxa"/>
                  <w:gridSpan w:val="2"/>
                  <w:tcBorders>
                    <w:tl2br w:val="nil"/>
                    <w:tr2bl w:val="nil"/>
                  </w:tcBorders>
                  <w:noWrap w:val="0"/>
                  <w:vAlign w:val="center"/>
                </w:tcPr>
                <w:p w14:paraId="39C514BD">
                  <w:pPr>
                    <w:jc w:val="center"/>
                    <w:rPr>
                      <w:bCs/>
                      <w:sz w:val="21"/>
                      <w:szCs w:val="21"/>
                    </w:rPr>
                  </w:pPr>
                  <w:r>
                    <w:rPr>
                      <w:sz w:val="21"/>
                      <w:szCs w:val="21"/>
                    </w:rPr>
                    <w:t>合计</w:t>
                  </w:r>
                </w:p>
              </w:tc>
              <w:tc>
                <w:tcPr>
                  <w:tcW w:w="4215" w:type="dxa"/>
                  <w:tcBorders>
                    <w:tl2br w:val="nil"/>
                    <w:tr2bl w:val="nil"/>
                  </w:tcBorders>
                  <w:noWrap w:val="0"/>
                  <w:vAlign w:val="center"/>
                </w:tcPr>
                <w:p w14:paraId="6CEEA301">
                  <w:pPr>
                    <w:jc w:val="center"/>
                    <w:rPr>
                      <w:bCs/>
                      <w:sz w:val="21"/>
                      <w:szCs w:val="21"/>
                    </w:rPr>
                  </w:pPr>
                  <w:r>
                    <w:rPr>
                      <w:bCs/>
                      <w:sz w:val="21"/>
                      <w:szCs w:val="21"/>
                    </w:rPr>
                    <w:t>/</w:t>
                  </w:r>
                </w:p>
              </w:tc>
              <w:tc>
                <w:tcPr>
                  <w:tcW w:w="1488" w:type="dxa"/>
                  <w:tcBorders>
                    <w:tl2br w:val="nil"/>
                    <w:tr2bl w:val="nil"/>
                  </w:tcBorders>
                  <w:noWrap w:val="0"/>
                  <w:vAlign w:val="center"/>
                </w:tcPr>
                <w:p w14:paraId="5C493787">
                  <w:pPr>
                    <w:jc w:val="center"/>
                    <w:rPr>
                      <w:rFonts w:hint="default" w:eastAsia="宋体"/>
                      <w:sz w:val="21"/>
                      <w:szCs w:val="21"/>
                      <w:lang w:val="en-US" w:eastAsia="zh-CN"/>
                    </w:rPr>
                  </w:pPr>
                  <w:r>
                    <w:rPr>
                      <w:rFonts w:hint="eastAsia"/>
                      <w:sz w:val="21"/>
                      <w:szCs w:val="21"/>
                      <w:lang w:val="en-US" w:eastAsia="zh-CN"/>
                    </w:rPr>
                    <w:t>55.1</w:t>
                  </w:r>
                </w:p>
              </w:tc>
            </w:tr>
          </w:tbl>
          <w:p w14:paraId="3F2F7839">
            <w:pPr>
              <w:pStyle w:val="5"/>
              <w:numPr>
                <w:ilvl w:val="0"/>
                <w:numId w:val="0"/>
              </w:numPr>
              <w:jc w:val="both"/>
              <w:rPr>
                <w:rFonts w:hint="eastAsia" w:ascii="Times New Roman" w:hAnsi="Times New Roman" w:eastAsia="黑体" w:cs="Times New Roman"/>
                <w:b w:val="0"/>
                <w:bCs w:val="0"/>
                <w:kern w:val="0"/>
                <w:sz w:val="24"/>
                <w:szCs w:val="21"/>
                <w:lang w:val="en-US" w:eastAsia="zh-CN" w:bidi="ar-SA"/>
              </w:rPr>
            </w:pPr>
          </w:p>
          <w:p w14:paraId="6767900E">
            <w:pPr>
              <w:pStyle w:val="5"/>
              <w:numPr>
                <w:ilvl w:val="0"/>
                <w:numId w:val="0"/>
              </w:numPr>
              <w:jc w:val="center"/>
              <w:rPr>
                <w:rFonts w:hint="default" w:ascii="Times New Roman" w:hAnsi="Times New Roman" w:eastAsia="黑体" w:cs="Times New Roman"/>
                <w:b w:val="0"/>
                <w:bCs w:val="0"/>
                <w:kern w:val="0"/>
                <w:sz w:val="24"/>
                <w:szCs w:val="21"/>
                <w:lang w:val="en-US" w:eastAsia="zh-CN" w:bidi="ar-SA"/>
              </w:rPr>
            </w:pPr>
            <w:r>
              <w:rPr>
                <w:rFonts w:hint="eastAsia" w:ascii="Times New Roman" w:hAnsi="Times New Roman" w:eastAsia="黑体" w:cs="Times New Roman"/>
                <w:b w:val="0"/>
                <w:bCs w:val="0"/>
                <w:kern w:val="0"/>
                <w:sz w:val="24"/>
                <w:szCs w:val="21"/>
                <w:lang w:val="en-US" w:eastAsia="zh-CN" w:bidi="ar-SA"/>
              </w:rPr>
              <w:t>表4-</w:t>
            </w:r>
            <w:r>
              <w:rPr>
                <w:rFonts w:hint="eastAsia" w:eastAsia="黑体" w:cs="Times New Roman"/>
                <w:b w:val="0"/>
                <w:bCs w:val="0"/>
                <w:kern w:val="0"/>
                <w:sz w:val="24"/>
                <w:szCs w:val="21"/>
                <w:lang w:val="en-US" w:eastAsia="zh-CN" w:bidi="ar-SA"/>
              </w:rPr>
              <w:t>16</w:t>
            </w:r>
            <w:r>
              <w:rPr>
                <w:rFonts w:hint="default" w:ascii="Times New Roman" w:hAnsi="Times New Roman" w:eastAsia="黑体" w:cs="Times New Roman"/>
                <w:b w:val="0"/>
                <w:bCs w:val="0"/>
                <w:kern w:val="0"/>
                <w:sz w:val="24"/>
                <w:szCs w:val="21"/>
                <w:lang w:val="en-US" w:eastAsia="zh-CN" w:bidi="ar-SA"/>
              </w:rPr>
              <w:t xml:space="preserve">    项目“三同时”验收一览表</w:t>
            </w:r>
          </w:p>
          <w:tbl>
            <w:tblPr>
              <w:tblStyle w:val="32"/>
              <w:tblW w:w="8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86"/>
              <w:gridCol w:w="3655"/>
              <w:gridCol w:w="2901"/>
            </w:tblGrid>
            <w:tr w14:paraId="09C74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Borders>
                    <w:tl2br w:val="nil"/>
                    <w:tr2bl w:val="nil"/>
                  </w:tcBorders>
                  <w:noWrap w:val="0"/>
                  <w:vAlign w:val="center"/>
                </w:tcPr>
                <w:p w14:paraId="28B67D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类别</w:t>
                  </w:r>
                </w:p>
              </w:tc>
              <w:tc>
                <w:tcPr>
                  <w:tcW w:w="886" w:type="dxa"/>
                  <w:tcBorders>
                    <w:tl2br w:val="nil"/>
                    <w:tr2bl w:val="nil"/>
                  </w:tcBorders>
                  <w:noWrap w:val="0"/>
                  <w:vAlign w:val="center"/>
                </w:tcPr>
                <w:p w14:paraId="4D7839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污染物</w:t>
                  </w:r>
                </w:p>
              </w:tc>
              <w:tc>
                <w:tcPr>
                  <w:tcW w:w="3655" w:type="dxa"/>
                  <w:tcBorders>
                    <w:tl2br w:val="nil"/>
                    <w:tr2bl w:val="nil"/>
                  </w:tcBorders>
                  <w:noWrap w:val="0"/>
                  <w:vAlign w:val="center"/>
                </w:tcPr>
                <w:p w14:paraId="161DC6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环保设施/措施</w:t>
                  </w:r>
                </w:p>
              </w:tc>
              <w:tc>
                <w:tcPr>
                  <w:tcW w:w="2901" w:type="dxa"/>
                  <w:tcBorders>
                    <w:tl2br w:val="nil"/>
                    <w:tr2bl w:val="nil"/>
                  </w:tcBorders>
                  <w:noWrap w:val="0"/>
                  <w:vAlign w:val="center"/>
                </w:tcPr>
                <w:p w14:paraId="1C7993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验收依据</w:t>
                  </w:r>
                </w:p>
              </w:tc>
            </w:tr>
            <w:tr w14:paraId="169CD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58" w:type="dxa"/>
                  <w:tcBorders>
                    <w:tl2br w:val="nil"/>
                    <w:tr2bl w:val="nil"/>
                  </w:tcBorders>
                  <w:noWrap w:val="0"/>
                  <w:vAlign w:val="center"/>
                </w:tcPr>
                <w:p w14:paraId="2BC70006">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废气</w:t>
                  </w:r>
                </w:p>
                <w:p w14:paraId="38D4E114">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治理</w:t>
                  </w:r>
                </w:p>
              </w:tc>
              <w:tc>
                <w:tcPr>
                  <w:tcW w:w="886" w:type="dxa"/>
                  <w:tcBorders>
                    <w:tl2br w:val="nil"/>
                    <w:tr2bl w:val="nil"/>
                  </w:tcBorders>
                  <w:noWrap w:val="0"/>
                  <w:vAlign w:val="center"/>
                </w:tcPr>
                <w:p w14:paraId="14701185">
                  <w:pPr>
                    <w:keepNext w:val="0"/>
                    <w:keepLines w:val="0"/>
                    <w:widowControl/>
                    <w:suppressLineNumbers w:val="0"/>
                    <w:spacing w:line="240" w:lineRule="auto"/>
                    <w:jc w:val="center"/>
                    <w:rPr>
                      <w:rFonts w:hint="eastAsia" w:cs="Times New Roman"/>
                      <w:color w:val="000000"/>
                      <w:kern w:val="0"/>
                      <w:sz w:val="21"/>
                      <w:szCs w:val="21"/>
                      <w:lang w:val="en-US" w:eastAsia="zh-CN" w:bidi="ar"/>
                    </w:rPr>
                  </w:pPr>
                </w:p>
                <w:p w14:paraId="7748909B">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颗粒物</w:t>
                  </w:r>
                </w:p>
              </w:tc>
              <w:tc>
                <w:tcPr>
                  <w:tcW w:w="3655" w:type="dxa"/>
                  <w:tcBorders>
                    <w:tl2br w:val="nil"/>
                    <w:tr2bl w:val="nil"/>
                  </w:tcBorders>
                  <w:noWrap w:val="0"/>
                  <w:vAlign w:val="center"/>
                </w:tcPr>
                <w:p w14:paraId="0AC57C75">
                  <w:pPr>
                    <w:adjustRightInd w:val="0"/>
                    <w:snapToGrid w:val="0"/>
                    <w:ind w:left="1260" w:leftChars="100" w:hanging="1050" w:hangingChars="500"/>
                    <w:jc w:val="both"/>
                    <w:rPr>
                      <w:rFonts w:hint="eastAsia"/>
                      <w:sz w:val="21"/>
                      <w:szCs w:val="21"/>
                      <w:lang w:val="en-US" w:eastAsia="zh-CN"/>
                    </w:rPr>
                  </w:pPr>
                  <w:r>
                    <w:rPr>
                      <w:rFonts w:hint="eastAsia"/>
                      <w:sz w:val="21"/>
                      <w:szCs w:val="21"/>
                      <w:lang w:val="en-US" w:eastAsia="zh-CN"/>
                    </w:rPr>
                    <w:t>覆膜袋式除尘器</w:t>
                  </w:r>
                  <w:r>
                    <w:rPr>
                      <w:rFonts w:hint="default"/>
                      <w:sz w:val="21"/>
                      <w:szCs w:val="21"/>
                      <w:lang w:val="en-US" w:eastAsia="zh-CN"/>
                    </w:rPr>
                    <w:t>+15m</w:t>
                  </w:r>
                  <w:r>
                    <w:rPr>
                      <w:rFonts w:hint="eastAsia"/>
                      <w:sz w:val="21"/>
                      <w:szCs w:val="21"/>
                      <w:lang w:val="en-US" w:eastAsia="zh-CN"/>
                    </w:rPr>
                    <w:t>高排气筒（DA001）</w:t>
                  </w:r>
                </w:p>
                <w:p w14:paraId="0A91A201">
                  <w:pPr>
                    <w:adjustRightInd w:val="0"/>
                    <w:snapToGrid w:val="0"/>
                    <w:jc w:val="center"/>
                    <w:rPr>
                      <w:rFonts w:hint="eastAsia"/>
                      <w:sz w:val="21"/>
                      <w:szCs w:val="21"/>
                      <w:lang w:val="en-US" w:eastAsia="zh-CN"/>
                    </w:rPr>
                  </w:pPr>
                </w:p>
              </w:tc>
              <w:tc>
                <w:tcPr>
                  <w:tcW w:w="2901" w:type="dxa"/>
                  <w:tcBorders>
                    <w:tl2br w:val="nil"/>
                    <w:tr2bl w:val="nil"/>
                  </w:tcBorders>
                  <w:noWrap w:val="0"/>
                  <w:vAlign w:val="center"/>
                </w:tcPr>
                <w:p w14:paraId="2C624F0A">
                  <w:pPr>
                    <w:pStyle w:val="103"/>
                    <w:rPr>
                      <w:rFonts w:hint="default" w:ascii="Times New Roman" w:hAnsi="Times New Roman" w:eastAsia="宋体" w:cs="Times New Roman"/>
                      <w:color w:val="000000"/>
                      <w:kern w:val="0"/>
                      <w:sz w:val="21"/>
                      <w:szCs w:val="21"/>
                      <w:lang w:val="en-US" w:eastAsia="zh-CN" w:bidi="ar"/>
                    </w:rPr>
                  </w:pPr>
                  <w:r>
                    <w:rPr>
                      <w:rFonts w:hint="eastAsia"/>
                    </w:rPr>
                    <w:t>《大气污染物综合排放标准》（GB16297-1996）表2污染源二级标准：最高允许排放浓度为120mg/m</w:t>
                  </w:r>
                  <w:r>
                    <w:rPr>
                      <w:rFonts w:hint="eastAsia"/>
                      <w:vertAlign w:val="superscript"/>
                    </w:rPr>
                    <w:t>3</w:t>
                  </w:r>
                  <w:r>
                    <w:rPr>
                      <w:rFonts w:hint="eastAsia"/>
                    </w:rPr>
                    <w:t>；最高允许排放速率3.5kg/h（15m高排气筒）；《洛阳市重污染天气通用行业差异化应急减排措施制定技术指南》通用行业涉颗粒物要求“PM排放浓度不超过</w:t>
                  </w:r>
                  <w:r>
                    <w:rPr>
                      <w:rFonts w:eastAsia="Times New Roman"/>
                    </w:rPr>
                    <w:t>10mg/m</w:t>
                  </w:r>
                  <w:r>
                    <w:rPr>
                      <w:rFonts w:eastAsia="Times New Roman"/>
                      <w:vertAlign w:val="superscript"/>
                    </w:rPr>
                    <w:t>3</w:t>
                  </w:r>
                  <w:r>
                    <w:rPr>
                      <w:rFonts w:hint="eastAsia"/>
                    </w:rPr>
                    <w:t>”</w:t>
                  </w:r>
                </w:p>
              </w:tc>
            </w:tr>
            <w:tr w14:paraId="45F99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58" w:type="dxa"/>
                  <w:tcBorders>
                    <w:tl2br w:val="nil"/>
                    <w:tr2bl w:val="nil"/>
                  </w:tcBorders>
                  <w:noWrap w:val="0"/>
                  <w:vAlign w:val="center"/>
                </w:tcPr>
                <w:p w14:paraId="058D202A">
                  <w:pPr>
                    <w:keepNext w:val="0"/>
                    <w:keepLines w:val="0"/>
                    <w:widowControl/>
                    <w:suppressLineNumbers w:val="0"/>
                    <w:spacing w:line="240" w:lineRule="auto"/>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废水</w:t>
                  </w:r>
                </w:p>
                <w:p w14:paraId="5C5ACF61">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治理</w:t>
                  </w:r>
                </w:p>
              </w:tc>
              <w:tc>
                <w:tcPr>
                  <w:tcW w:w="886" w:type="dxa"/>
                  <w:tcBorders>
                    <w:tl2br w:val="nil"/>
                    <w:tr2bl w:val="nil"/>
                  </w:tcBorders>
                  <w:noWrap w:val="0"/>
                  <w:vAlign w:val="center"/>
                </w:tcPr>
                <w:p w14:paraId="144B0F23">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生活污水</w:t>
                  </w:r>
                </w:p>
              </w:tc>
              <w:tc>
                <w:tcPr>
                  <w:tcW w:w="3655" w:type="dxa"/>
                  <w:tcBorders>
                    <w:tl2br w:val="nil"/>
                    <w:tr2bl w:val="nil"/>
                  </w:tcBorders>
                  <w:noWrap w:val="0"/>
                  <w:vAlign w:val="center"/>
                </w:tcPr>
                <w:p w14:paraId="7B30A5E7">
                  <w:pPr>
                    <w:adjustRightInd w:val="0"/>
                    <w:snapToGrid w:val="0"/>
                    <w:jc w:val="center"/>
                    <w:rPr>
                      <w:rFonts w:hint="default" w:ascii="Times New Roman" w:hAnsi="Times New Roman" w:eastAsia="宋体" w:cs="Times New Roman"/>
                      <w:kern w:val="2"/>
                      <w:sz w:val="24"/>
                      <w:szCs w:val="24"/>
                      <w:lang w:val="en-US" w:eastAsia="zh-CN" w:bidi="ar-SA"/>
                    </w:rPr>
                  </w:pPr>
                  <w:r>
                    <w:rPr>
                      <w:rFonts w:hint="eastAsia" w:cs="Times New Roman"/>
                      <w:szCs w:val="21"/>
                      <w:lang w:val="en-US" w:eastAsia="zh-CN"/>
                    </w:rPr>
                    <w:t>化粪池</w:t>
                  </w:r>
                  <w:r>
                    <w:rPr>
                      <w:rFonts w:hint="eastAsia"/>
                      <w:bCs/>
                      <w:color w:val="000000"/>
                      <w:szCs w:val="21"/>
                      <w:lang w:eastAsia="zh-CN"/>
                    </w:rPr>
                    <w:t>处理</w:t>
                  </w:r>
                </w:p>
              </w:tc>
              <w:tc>
                <w:tcPr>
                  <w:tcW w:w="2901" w:type="dxa"/>
                  <w:tcBorders>
                    <w:tl2br w:val="nil"/>
                    <w:tr2bl w:val="nil"/>
                  </w:tcBorders>
                  <w:noWrap w:val="0"/>
                  <w:vAlign w:val="center"/>
                </w:tcPr>
                <w:p w14:paraId="58DDBF39">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不会对区域水环境造成影响</w:t>
                  </w:r>
                </w:p>
              </w:tc>
            </w:tr>
            <w:tr w14:paraId="5D3A3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8" w:type="dxa"/>
                  <w:tcBorders>
                    <w:tl2br w:val="nil"/>
                    <w:tr2bl w:val="nil"/>
                  </w:tcBorders>
                  <w:noWrap w:val="0"/>
                  <w:vAlign w:val="center"/>
                </w:tcPr>
                <w:p w14:paraId="3FAC3AF0">
                  <w:pPr>
                    <w:keepNext w:val="0"/>
                    <w:keepLines w:val="0"/>
                    <w:widowControl/>
                    <w:suppressLineNumbers w:val="0"/>
                    <w:jc w:val="center"/>
                    <w:rPr>
                      <w:rFonts w:hint="eastAsia" w:eastAsia="宋体"/>
                      <w:lang w:eastAsia="zh-CN"/>
                    </w:rPr>
                  </w:pPr>
                  <w:r>
                    <w:rPr>
                      <w:rFonts w:hint="eastAsia" w:eastAsia="宋体"/>
                      <w:lang w:eastAsia="zh-CN"/>
                    </w:rPr>
                    <w:t>噪声治理</w:t>
                  </w:r>
                </w:p>
              </w:tc>
              <w:tc>
                <w:tcPr>
                  <w:tcW w:w="886" w:type="dxa"/>
                  <w:tcBorders>
                    <w:tl2br w:val="nil"/>
                    <w:tr2bl w:val="nil"/>
                  </w:tcBorders>
                  <w:noWrap w:val="0"/>
                  <w:vAlign w:val="center"/>
                </w:tcPr>
                <w:p w14:paraId="1A63DDC8">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运营期设备噪声</w:t>
                  </w:r>
                </w:p>
              </w:tc>
              <w:tc>
                <w:tcPr>
                  <w:tcW w:w="3655" w:type="dxa"/>
                  <w:tcBorders>
                    <w:tl2br w:val="nil"/>
                    <w:tr2bl w:val="nil"/>
                  </w:tcBorders>
                  <w:noWrap w:val="0"/>
                  <w:vAlign w:val="center"/>
                </w:tcPr>
                <w:p w14:paraId="706C7EC0">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kern w:val="0"/>
                      <w:sz w:val="21"/>
                      <w:szCs w:val="21"/>
                      <w:highlight w:val="none"/>
                      <w:lang w:val="en-US" w:eastAsia="zh-CN" w:bidi="ar"/>
                    </w:rPr>
                    <w:t>基础减震，</w:t>
                  </w:r>
                  <w:r>
                    <w:rPr>
                      <w:rFonts w:hint="eastAsia" w:cs="Times New Roman"/>
                      <w:color w:val="000000"/>
                      <w:kern w:val="0"/>
                      <w:sz w:val="21"/>
                      <w:szCs w:val="21"/>
                      <w:highlight w:val="none"/>
                      <w:lang w:val="en-US" w:eastAsia="zh-CN" w:bidi="ar"/>
                    </w:rPr>
                    <w:t>厂房隔声，距离衰减</w:t>
                  </w:r>
                </w:p>
              </w:tc>
              <w:tc>
                <w:tcPr>
                  <w:tcW w:w="2901" w:type="dxa"/>
                  <w:tcBorders>
                    <w:tl2br w:val="nil"/>
                    <w:tr2bl w:val="nil"/>
                  </w:tcBorders>
                  <w:noWrap w:val="0"/>
                  <w:vAlign w:val="center"/>
                </w:tcPr>
                <w:p w14:paraId="028BD021">
                  <w:pPr>
                    <w:keepNext w:val="0"/>
                    <w:keepLines w:val="0"/>
                    <w:widowControl/>
                    <w:suppressLineNumbers w:val="0"/>
                    <w:jc w:val="both"/>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《工业企业厂界环境噪声排放标准》（GB12348-2008）</w:t>
                  </w:r>
                </w:p>
                <w:p w14:paraId="24DCC872">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val="en-US" w:eastAsia="zh-CN" w:bidi="ar"/>
                    </w:rPr>
                    <w:t>类</w:t>
                  </w:r>
                </w:p>
              </w:tc>
            </w:tr>
            <w:tr w14:paraId="233FF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858" w:type="dxa"/>
                  <w:tcBorders>
                    <w:tl2br w:val="nil"/>
                    <w:tr2bl w:val="nil"/>
                  </w:tcBorders>
                  <w:noWrap w:val="0"/>
                  <w:vAlign w:val="center"/>
                </w:tcPr>
                <w:p w14:paraId="03D8DFCF">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固废治理</w:t>
                  </w:r>
                </w:p>
              </w:tc>
              <w:tc>
                <w:tcPr>
                  <w:tcW w:w="4541" w:type="dxa"/>
                  <w:gridSpan w:val="2"/>
                  <w:tcBorders>
                    <w:tl2br w:val="nil"/>
                    <w:tr2bl w:val="nil"/>
                  </w:tcBorders>
                  <w:noWrap w:val="0"/>
                  <w:vAlign w:val="center"/>
                </w:tcPr>
                <w:p w14:paraId="6C81ABE8">
                  <w:pPr>
                    <w:keepNext w:val="0"/>
                    <w:keepLines w:val="0"/>
                    <w:widowControl/>
                    <w:suppressLineNumbers w:val="0"/>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1"/>
                      <w:szCs w:val="21"/>
                      <w:lang w:val="en-US" w:eastAsia="zh-CN" w:bidi="ar"/>
                    </w:rPr>
                    <w:t>职工生活垃圾经集中收集后由环卫部门处理。</w:t>
                  </w:r>
                </w:p>
              </w:tc>
              <w:tc>
                <w:tcPr>
                  <w:tcW w:w="2901" w:type="dxa"/>
                  <w:tcBorders>
                    <w:tl2br w:val="nil"/>
                    <w:tr2bl w:val="nil"/>
                  </w:tcBorders>
                  <w:noWrap w:val="0"/>
                  <w:vAlign w:val="center"/>
                </w:tcPr>
                <w:p w14:paraId="2AFEB139">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r>
          </w:tbl>
          <w:p w14:paraId="111655E6">
            <w:pPr>
              <w:spacing w:line="360" w:lineRule="auto"/>
              <w:ind w:firstLine="420" w:firstLineChars="200"/>
              <w:contextualSpacing/>
            </w:pPr>
          </w:p>
        </w:tc>
      </w:tr>
    </w:tbl>
    <w:p w14:paraId="2682AC75">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0B8EB0B7">
      <w:pPr>
        <w:pStyle w:val="28"/>
        <w:spacing w:before="0" w:beforeAutospacing="0" w:after="0" w:afterAutospacing="0" w:line="360" w:lineRule="auto"/>
        <w:jc w:val="center"/>
        <w:outlineLvl w:val="0"/>
        <w:rPr>
          <w:rFonts w:ascii="黑体" w:hAnsi="黑体" w:eastAsia="黑体"/>
          <w:snapToGrid w:val="0"/>
          <w:sz w:val="30"/>
          <w:szCs w:val="30"/>
        </w:rPr>
      </w:pPr>
      <w:r>
        <w:rPr>
          <w:rFonts w:hint="eastAsia" w:ascii="黑体" w:hAnsi="黑体" w:eastAsia="黑体"/>
          <w:snapToGrid w:val="0"/>
          <w:sz w:val="30"/>
          <w:szCs w:val="30"/>
        </w:rPr>
        <w:t>五、环境保护措施监督检查清单</w:t>
      </w:r>
    </w:p>
    <w:tbl>
      <w:tblPr>
        <w:tblStyle w:val="31"/>
        <w:tblW w:w="98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858"/>
        <w:gridCol w:w="1045"/>
        <w:gridCol w:w="2921"/>
        <w:gridCol w:w="2760"/>
      </w:tblGrid>
      <w:tr w14:paraId="636AE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6" w:type="dxa"/>
            <w:tcBorders>
              <w:tl2br w:val="single" w:color="auto" w:sz="4" w:space="0"/>
            </w:tcBorders>
            <w:noWrap w:val="0"/>
            <w:vAlign w:val="top"/>
          </w:tcPr>
          <w:p w14:paraId="56D9CD00">
            <w:pPr>
              <w:adjustRightInd w:val="0"/>
              <w:snapToGrid w:val="0"/>
              <w:ind w:firstLine="210" w:firstLineChars="100"/>
              <w:rPr>
                <w:sz w:val="21"/>
                <w:szCs w:val="21"/>
              </w:rPr>
            </w:pPr>
            <w:r>
              <w:rPr>
                <w:sz w:val="21"/>
                <w:szCs w:val="21"/>
              </w:rPr>
              <w:t>内容</w:t>
            </w:r>
          </w:p>
          <w:p w14:paraId="72A9ACBA">
            <w:pPr>
              <w:adjustRightInd w:val="0"/>
              <w:snapToGrid w:val="0"/>
              <w:rPr>
                <w:sz w:val="21"/>
                <w:szCs w:val="21"/>
              </w:rPr>
            </w:pPr>
          </w:p>
          <w:p w14:paraId="627BDD2D">
            <w:pPr>
              <w:adjustRightInd w:val="0"/>
              <w:snapToGrid w:val="0"/>
              <w:rPr>
                <w:sz w:val="21"/>
                <w:szCs w:val="21"/>
              </w:rPr>
            </w:pPr>
            <w:r>
              <w:rPr>
                <w:sz w:val="21"/>
                <w:szCs w:val="21"/>
              </w:rPr>
              <w:t>要素</w:t>
            </w:r>
          </w:p>
        </w:tc>
        <w:tc>
          <w:tcPr>
            <w:tcW w:w="1858" w:type="dxa"/>
            <w:noWrap w:val="0"/>
            <w:vAlign w:val="center"/>
          </w:tcPr>
          <w:p w14:paraId="129AD1A0">
            <w:pPr>
              <w:adjustRightInd w:val="0"/>
              <w:snapToGrid w:val="0"/>
              <w:jc w:val="center"/>
              <w:rPr>
                <w:sz w:val="21"/>
                <w:szCs w:val="21"/>
              </w:rPr>
            </w:pPr>
            <w:r>
              <w:rPr>
                <w:sz w:val="21"/>
                <w:szCs w:val="21"/>
              </w:rPr>
              <w:t>排放口(编号、名称)/污染源</w:t>
            </w:r>
          </w:p>
        </w:tc>
        <w:tc>
          <w:tcPr>
            <w:tcW w:w="1045" w:type="dxa"/>
            <w:noWrap w:val="0"/>
            <w:vAlign w:val="center"/>
          </w:tcPr>
          <w:p w14:paraId="1A240AF3">
            <w:pPr>
              <w:adjustRightInd w:val="0"/>
              <w:snapToGrid w:val="0"/>
              <w:jc w:val="center"/>
              <w:rPr>
                <w:sz w:val="21"/>
                <w:szCs w:val="21"/>
              </w:rPr>
            </w:pPr>
            <w:r>
              <w:rPr>
                <w:sz w:val="21"/>
                <w:szCs w:val="21"/>
              </w:rPr>
              <w:t>污染物项目</w:t>
            </w:r>
          </w:p>
        </w:tc>
        <w:tc>
          <w:tcPr>
            <w:tcW w:w="2921" w:type="dxa"/>
            <w:noWrap w:val="0"/>
            <w:vAlign w:val="center"/>
          </w:tcPr>
          <w:p w14:paraId="1C7F4009">
            <w:pPr>
              <w:adjustRightInd w:val="0"/>
              <w:snapToGrid w:val="0"/>
              <w:jc w:val="center"/>
              <w:rPr>
                <w:sz w:val="21"/>
                <w:szCs w:val="21"/>
              </w:rPr>
            </w:pPr>
            <w:r>
              <w:rPr>
                <w:sz w:val="21"/>
                <w:szCs w:val="21"/>
              </w:rPr>
              <w:t>环境保护措施</w:t>
            </w:r>
          </w:p>
        </w:tc>
        <w:tc>
          <w:tcPr>
            <w:tcW w:w="2760" w:type="dxa"/>
            <w:noWrap w:val="0"/>
            <w:vAlign w:val="center"/>
          </w:tcPr>
          <w:p w14:paraId="155BBC38">
            <w:pPr>
              <w:adjustRightInd w:val="0"/>
              <w:snapToGrid w:val="0"/>
              <w:jc w:val="center"/>
              <w:rPr>
                <w:sz w:val="21"/>
                <w:szCs w:val="21"/>
              </w:rPr>
            </w:pPr>
            <w:r>
              <w:rPr>
                <w:sz w:val="21"/>
                <w:szCs w:val="21"/>
              </w:rPr>
              <w:t>执行标准</w:t>
            </w:r>
          </w:p>
        </w:tc>
      </w:tr>
      <w:tr w14:paraId="42B9F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236" w:type="dxa"/>
            <w:vMerge w:val="restart"/>
            <w:noWrap w:val="0"/>
            <w:vAlign w:val="center"/>
          </w:tcPr>
          <w:p w14:paraId="7B45F148">
            <w:pPr>
              <w:adjustRightInd w:val="0"/>
              <w:snapToGrid w:val="0"/>
              <w:jc w:val="center"/>
              <w:rPr>
                <w:sz w:val="21"/>
                <w:szCs w:val="21"/>
              </w:rPr>
            </w:pPr>
            <w:r>
              <w:rPr>
                <w:sz w:val="21"/>
                <w:szCs w:val="21"/>
              </w:rPr>
              <w:t>大气</w:t>
            </w:r>
          </w:p>
          <w:p w14:paraId="04C5DE73">
            <w:pPr>
              <w:adjustRightInd w:val="0"/>
              <w:snapToGrid w:val="0"/>
              <w:jc w:val="center"/>
              <w:rPr>
                <w:sz w:val="21"/>
                <w:szCs w:val="21"/>
              </w:rPr>
            </w:pPr>
            <w:r>
              <w:rPr>
                <w:sz w:val="21"/>
                <w:szCs w:val="21"/>
              </w:rPr>
              <w:t>环境</w:t>
            </w:r>
          </w:p>
        </w:tc>
        <w:tc>
          <w:tcPr>
            <w:tcW w:w="1858" w:type="dxa"/>
            <w:noWrap w:val="0"/>
            <w:vAlign w:val="center"/>
          </w:tcPr>
          <w:p w14:paraId="5EC23333">
            <w:pPr>
              <w:keepNext w:val="0"/>
              <w:keepLines w:val="0"/>
              <w:pageBreakBefore w:val="0"/>
              <w:kinsoku/>
              <w:wordWrap/>
              <w:overflowPunct/>
              <w:topLinePunct w:val="0"/>
              <w:autoSpaceDE/>
              <w:autoSpaceDN/>
              <w:bidi w:val="0"/>
              <w:adjustRightInd w:val="0"/>
              <w:snapToGrid w:val="0"/>
              <w:jc w:val="center"/>
              <w:rPr>
                <w:rFonts w:hint="eastAsia"/>
                <w:sz w:val="21"/>
                <w:szCs w:val="21"/>
                <w:lang w:val="en-US" w:eastAsia="zh-CN"/>
              </w:rPr>
            </w:pPr>
            <w:r>
              <w:rPr>
                <w:rFonts w:hint="eastAsia"/>
                <w:sz w:val="21"/>
                <w:szCs w:val="21"/>
                <w:lang w:val="en-US" w:eastAsia="zh-CN"/>
              </w:rPr>
              <w:t>排气筒</w:t>
            </w:r>
          </w:p>
          <w:p w14:paraId="45D95991">
            <w:pPr>
              <w:keepNext w:val="0"/>
              <w:keepLines w:val="0"/>
              <w:pageBreakBefore w:val="0"/>
              <w:kinsoku/>
              <w:wordWrap/>
              <w:overflowPunct/>
              <w:topLinePunct w:val="0"/>
              <w:autoSpaceDE/>
              <w:autoSpaceDN/>
              <w:bidi w:val="0"/>
              <w:adjustRightInd w:val="0"/>
              <w:snapToGrid w:val="0"/>
              <w:jc w:val="center"/>
              <w:rPr>
                <w:sz w:val="21"/>
                <w:szCs w:val="21"/>
              </w:rPr>
            </w:pPr>
            <w:r>
              <w:rPr>
                <w:rFonts w:hint="default"/>
                <w:sz w:val="21"/>
                <w:szCs w:val="21"/>
                <w:lang w:val="en-US" w:eastAsia="zh-CN"/>
              </w:rPr>
              <w:t xml:space="preserve">DA001 </w:t>
            </w:r>
          </w:p>
        </w:tc>
        <w:tc>
          <w:tcPr>
            <w:tcW w:w="1045" w:type="dxa"/>
            <w:noWrap w:val="0"/>
            <w:vAlign w:val="center"/>
          </w:tcPr>
          <w:p w14:paraId="3103F16A">
            <w:pPr>
              <w:adjustRightInd w:val="0"/>
              <w:snapToGrid w:val="0"/>
              <w:jc w:val="center"/>
              <w:rPr>
                <w:rFonts w:hint="eastAsia" w:eastAsia="宋体"/>
                <w:sz w:val="21"/>
                <w:szCs w:val="21"/>
                <w:lang w:eastAsia="zh-CN"/>
              </w:rPr>
            </w:pPr>
            <w:r>
              <w:rPr>
                <w:rFonts w:hint="eastAsia"/>
                <w:sz w:val="21"/>
                <w:szCs w:val="21"/>
              </w:rPr>
              <w:t>颗粒物</w:t>
            </w:r>
          </w:p>
        </w:tc>
        <w:tc>
          <w:tcPr>
            <w:tcW w:w="2921" w:type="dxa"/>
            <w:noWrap w:val="0"/>
            <w:vAlign w:val="center"/>
          </w:tcPr>
          <w:p w14:paraId="0DC849B1">
            <w:pPr>
              <w:adjustRightInd w:val="0"/>
              <w:snapToGrid w:val="0"/>
              <w:jc w:val="center"/>
              <w:rPr>
                <w:rFonts w:hint="eastAsia"/>
                <w:sz w:val="21"/>
                <w:szCs w:val="21"/>
              </w:rPr>
            </w:pPr>
            <w:r>
              <w:rPr>
                <w:rFonts w:hint="eastAsia"/>
                <w:sz w:val="21"/>
                <w:szCs w:val="21"/>
                <w:lang w:val="en-US" w:eastAsia="zh-CN"/>
              </w:rPr>
              <w:t>覆膜袋式除尘器</w:t>
            </w:r>
            <w:r>
              <w:rPr>
                <w:rFonts w:hint="default"/>
                <w:sz w:val="21"/>
                <w:szCs w:val="21"/>
                <w:lang w:val="en-US" w:eastAsia="zh-CN"/>
              </w:rPr>
              <w:t>+15m</w:t>
            </w:r>
            <w:r>
              <w:rPr>
                <w:rFonts w:hint="eastAsia"/>
                <w:sz w:val="21"/>
                <w:szCs w:val="21"/>
                <w:lang w:val="en-US" w:eastAsia="zh-CN"/>
              </w:rPr>
              <w:t>高排气筒（DA001）</w:t>
            </w:r>
          </w:p>
        </w:tc>
        <w:tc>
          <w:tcPr>
            <w:tcW w:w="2760" w:type="dxa"/>
            <w:noWrap w:val="0"/>
            <w:vAlign w:val="center"/>
          </w:tcPr>
          <w:p w14:paraId="28E7F657">
            <w:pPr>
              <w:pStyle w:val="103"/>
              <w:rPr>
                <w:rFonts w:hint="eastAsia"/>
                <w:sz w:val="21"/>
                <w:szCs w:val="21"/>
              </w:rPr>
            </w:pPr>
            <w:r>
              <w:rPr>
                <w:rFonts w:hint="eastAsia"/>
                <w:sz w:val="21"/>
                <w:szCs w:val="21"/>
              </w:rPr>
              <w:t>《大气污染物综合排放标准》（GB16297-1996）表2污染源二级标准：最高允许排放浓度为120mg/m</w:t>
            </w:r>
            <w:r>
              <w:rPr>
                <w:rFonts w:hint="eastAsia"/>
                <w:sz w:val="21"/>
                <w:szCs w:val="21"/>
                <w:vertAlign w:val="superscript"/>
              </w:rPr>
              <w:t>3</w:t>
            </w:r>
            <w:r>
              <w:rPr>
                <w:rFonts w:hint="eastAsia"/>
                <w:sz w:val="21"/>
                <w:szCs w:val="21"/>
              </w:rPr>
              <w:t>；最高允许排放速率3.5kg/h（15m</w:t>
            </w:r>
          </w:p>
          <w:p w14:paraId="65C52207">
            <w:pPr>
              <w:pStyle w:val="103"/>
              <w:jc w:val="both"/>
              <w:rPr>
                <w:sz w:val="21"/>
                <w:szCs w:val="21"/>
              </w:rPr>
            </w:pPr>
            <w:r>
              <w:rPr>
                <w:rFonts w:hint="eastAsia"/>
                <w:sz w:val="21"/>
                <w:szCs w:val="21"/>
              </w:rPr>
              <w:t>高排气筒）；《洛阳市重污染天气通用行业差异化应急减排措施制定技术指南》通用行业涉颗粒物要求“PM排放浓度不超过</w:t>
            </w:r>
            <w:r>
              <w:rPr>
                <w:rFonts w:eastAsia="Times New Roman"/>
                <w:sz w:val="21"/>
                <w:szCs w:val="21"/>
              </w:rPr>
              <w:t>10mg/m</w:t>
            </w:r>
            <w:r>
              <w:rPr>
                <w:rFonts w:eastAsia="Times New Roman"/>
                <w:sz w:val="21"/>
                <w:szCs w:val="21"/>
                <w:vertAlign w:val="superscript"/>
              </w:rPr>
              <w:t>3</w:t>
            </w:r>
            <w:r>
              <w:rPr>
                <w:rFonts w:hint="eastAsia"/>
                <w:sz w:val="21"/>
                <w:szCs w:val="21"/>
              </w:rPr>
              <w:t>”</w:t>
            </w:r>
          </w:p>
        </w:tc>
      </w:tr>
      <w:tr w14:paraId="70666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236" w:type="dxa"/>
            <w:vMerge w:val="continue"/>
            <w:noWrap w:val="0"/>
            <w:vAlign w:val="center"/>
          </w:tcPr>
          <w:p w14:paraId="7C486D0C">
            <w:pPr>
              <w:adjustRightInd w:val="0"/>
              <w:snapToGrid w:val="0"/>
              <w:jc w:val="center"/>
              <w:rPr>
                <w:sz w:val="21"/>
                <w:szCs w:val="21"/>
              </w:rPr>
            </w:pPr>
          </w:p>
        </w:tc>
        <w:tc>
          <w:tcPr>
            <w:tcW w:w="1858" w:type="dxa"/>
            <w:noWrap w:val="0"/>
            <w:vAlign w:val="center"/>
          </w:tcPr>
          <w:p w14:paraId="29989315">
            <w:pPr>
              <w:keepNext w:val="0"/>
              <w:keepLines w:val="0"/>
              <w:pageBreakBefore w:val="0"/>
              <w:kinsoku/>
              <w:wordWrap/>
              <w:overflowPunct/>
              <w:topLinePunct w:val="0"/>
              <w:autoSpaceDE/>
              <w:autoSpaceDN/>
              <w:bidi w:val="0"/>
              <w:adjustRightInd w:val="0"/>
              <w:snapToGrid w:val="0"/>
              <w:jc w:val="center"/>
              <w:rPr>
                <w:rFonts w:hint="default"/>
                <w:sz w:val="21"/>
                <w:szCs w:val="21"/>
                <w:lang w:val="en-US" w:eastAsia="zh-CN"/>
              </w:rPr>
            </w:pPr>
            <w:r>
              <w:rPr>
                <w:rFonts w:hint="eastAsia"/>
                <w:sz w:val="21"/>
                <w:szCs w:val="21"/>
                <w:lang w:val="en-US" w:eastAsia="zh-CN"/>
              </w:rPr>
              <w:t>厂区</w:t>
            </w:r>
          </w:p>
        </w:tc>
        <w:tc>
          <w:tcPr>
            <w:tcW w:w="1045" w:type="dxa"/>
            <w:noWrap w:val="0"/>
            <w:vAlign w:val="center"/>
          </w:tcPr>
          <w:p w14:paraId="1410A46D">
            <w:pPr>
              <w:adjustRightInd w:val="0"/>
              <w:snapToGrid w:val="0"/>
              <w:jc w:val="center"/>
              <w:rPr>
                <w:rFonts w:hint="eastAsia" w:eastAsia="宋体"/>
                <w:sz w:val="21"/>
                <w:szCs w:val="21"/>
                <w:lang w:val="en-US" w:eastAsia="zh-CN"/>
              </w:rPr>
            </w:pPr>
            <w:r>
              <w:rPr>
                <w:rFonts w:hint="eastAsia"/>
                <w:sz w:val="21"/>
                <w:szCs w:val="21"/>
                <w:lang w:val="en-US" w:eastAsia="zh-CN"/>
              </w:rPr>
              <w:t>颗粒物</w:t>
            </w:r>
          </w:p>
        </w:tc>
        <w:tc>
          <w:tcPr>
            <w:tcW w:w="2921" w:type="dxa"/>
            <w:noWrap w:val="0"/>
            <w:vAlign w:val="center"/>
          </w:tcPr>
          <w:p w14:paraId="3088C722">
            <w:pPr>
              <w:pStyle w:val="103"/>
              <w:jc w:val="both"/>
              <w:rPr>
                <w:rFonts w:hint="eastAsia"/>
                <w:sz w:val="21"/>
                <w:szCs w:val="21"/>
                <w:lang w:val="en-US" w:eastAsia="zh-CN"/>
              </w:rPr>
            </w:pPr>
            <w:r>
              <w:rPr>
                <w:rFonts w:hint="eastAsia" w:ascii="Times New Roman" w:hAnsi="Times New Roman" w:eastAsia="宋体" w:cs="Times New Roman"/>
                <w:kern w:val="2"/>
                <w:sz w:val="21"/>
                <w:szCs w:val="21"/>
                <w:lang w:val="en-US" w:eastAsia="zh-CN" w:bidi="ar-SA"/>
              </w:rPr>
              <w:t>无组织废气通过洒水抑尘、物料密闭存放、规范作业等措施减少排放。</w:t>
            </w:r>
          </w:p>
        </w:tc>
        <w:tc>
          <w:tcPr>
            <w:tcW w:w="2760" w:type="dxa"/>
            <w:noWrap w:val="0"/>
            <w:vAlign w:val="center"/>
          </w:tcPr>
          <w:p w14:paraId="7476B617">
            <w:pPr>
              <w:pStyle w:val="103"/>
              <w:rPr>
                <w:sz w:val="21"/>
                <w:szCs w:val="21"/>
              </w:rPr>
            </w:pPr>
            <w:r>
              <w:rPr>
                <w:sz w:val="21"/>
                <w:szCs w:val="21"/>
              </w:rPr>
              <w:t>《大气污染物综合排放标准》（GB16297-1996）表2中颗粒物无组织排放监控浓度限值1.0mg/m</w:t>
            </w:r>
            <w:r>
              <w:rPr>
                <w:sz w:val="21"/>
                <w:szCs w:val="21"/>
                <w:vertAlign w:val="superscript"/>
              </w:rPr>
              <w:t>3</w:t>
            </w:r>
          </w:p>
        </w:tc>
      </w:tr>
      <w:tr w14:paraId="754EC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36" w:type="dxa"/>
            <w:vMerge w:val="restart"/>
            <w:noWrap w:val="0"/>
            <w:vAlign w:val="center"/>
          </w:tcPr>
          <w:p w14:paraId="56C0B5C6">
            <w:pPr>
              <w:adjustRightInd w:val="0"/>
              <w:snapToGrid w:val="0"/>
              <w:jc w:val="center"/>
              <w:rPr>
                <w:sz w:val="21"/>
                <w:szCs w:val="21"/>
              </w:rPr>
            </w:pPr>
            <w:r>
              <w:rPr>
                <w:sz w:val="21"/>
                <w:szCs w:val="21"/>
              </w:rPr>
              <w:t>地表水环境</w:t>
            </w:r>
          </w:p>
        </w:tc>
        <w:tc>
          <w:tcPr>
            <w:tcW w:w="1858" w:type="dxa"/>
            <w:noWrap w:val="0"/>
            <w:vAlign w:val="center"/>
          </w:tcPr>
          <w:p w14:paraId="74EB2A0D">
            <w:pPr>
              <w:jc w:val="center"/>
              <w:rPr>
                <w:rFonts w:hint="eastAsia"/>
                <w:sz w:val="21"/>
                <w:szCs w:val="21"/>
              </w:rPr>
            </w:pPr>
            <w:r>
              <w:rPr>
                <w:sz w:val="21"/>
                <w:szCs w:val="21"/>
              </w:rPr>
              <w:t>生活污水</w:t>
            </w:r>
          </w:p>
        </w:tc>
        <w:tc>
          <w:tcPr>
            <w:tcW w:w="1045" w:type="dxa"/>
            <w:noWrap w:val="0"/>
            <w:vAlign w:val="center"/>
          </w:tcPr>
          <w:p w14:paraId="5E9B6804">
            <w:pPr>
              <w:adjustRightInd w:val="0"/>
              <w:snapToGrid w:val="0"/>
              <w:jc w:val="center"/>
              <w:rPr>
                <w:sz w:val="21"/>
                <w:szCs w:val="21"/>
              </w:rPr>
            </w:pPr>
            <w:r>
              <w:rPr>
                <w:rFonts w:hint="eastAsia"/>
                <w:sz w:val="21"/>
                <w:szCs w:val="21"/>
              </w:rPr>
              <w:t>COD、氨氮、SS</w:t>
            </w:r>
          </w:p>
        </w:tc>
        <w:tc>
          <w:tcPr>
            <w:tcW w:w="2921" w:type="dxa"/>
            <w:noWrap w:val="0"/>
            <w:vAlign w:val="center"/>
          </w:tcPr>
          <w:p w14:paraId="346C905B">
            <w:pPr>
              <w:jc w:val="center"/>
              <w:rPr>
                <w:rFonts w:hint="default"/>
                <w:sz w:val="21"/>
                <w:szCs w:val="21"/>
                <w:lang w:val="en-US"/>
              </w:rPr>
            </w:pPr>
            <w:r>
              <w:rPr>
                <w:rFonts w:hint="eastAsia"/>
                <w:sz w:val="21"/>
                <w:szCs w:val="21"/>
                <w:lang w:val="en-US" w:eastAsia="zh-CN"/>
              </w:rPr>
              <w:t>经化粪池</w:t>
            </w:r>
            <w:r>
              <w:rPr>
                <w:rFonts w:hint="eastAsia"/>
                <w:sz w:val="21"/>
                <w:szCs w:val="21"/>
                <w:lang w:eastAsia="zh-CN"/>
              </w:rPr>
              <w:t>处理</w:t>
            </w:r>
            <w:r>
              <w:rPr>
                <w:rFonts w:hint="eastAsia"/>
                <w:sz w:val="21"/>
                <w:szCs w:val="21"/>
                <w:lang w:val="en-US" w:eastAsia="zh-CN"/>
              </w:rPr>
              <w:t>后用于农田施肥，不外排</w:t>
            </w:r>
          </w:p>
        </w:tc>
        <w:tc>
          <w:tcPr>
            <w:tcW w:w="2760" w:type="dxa"/>
            <w:noWrap w:val="0"/>
            <w:vAlign w:val="center"/>
          </w:tcPr>
          <w:p w14:paraId="72CD3485">
            <w:pPr>
              <w:adjustRightInd w:val="0"/>
              <w:snapToGrid w:val="0"/>
              <w:jc w:val="center"/>
              <w:rPr>
                <w:rFonts w:hint="eastAsia" w:eastAsia="宋体"/>
                <w:sz w:val="21"/>
                <w:szCs w:val="21"/>
                <w:lang w:eastAsia="zh-CN"/>
              </w:rPr>
            </w:pPr>
            <w:r>
              <w:rPr>
                <w:rFonts w:hint="eastAsia"/>
                <w:sz w:val="21"/>
                <w:szCs w:val="21"/>
                <w:lang w:val="en-US" w:eastAsia="zh-CN"/>
              </w:rPr>
              <w:t>/</w:t>
            </w:r>
          </w:p>
        </w:tc>
      </w:tr>
      <w:tr w14:paraId="76508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36" w:type="dxa"/>
            <w:vMerge w:val="continue"/>
            <w:noWrap w:val="0"/>
            <w:vAlign w:val="center"/>
          </w:tcPr>
          <w:p w14:paraId="05FD6449">
            <w:pPr>
              <w:adjustRightInd w:val="0"/>
              <w:snapToGrid w:val="0"/>
              <w:jc w:val="center"/>
              <w:rPr>
                <w:sz w:val="21"/>
                <w:szCs w:val="21"/>
              </w:rPr>
            </w:pPr>
          </w:p>
        </w:tc>
        <w:tc>
          <w:tcPr>
            <w:tcW w:w="1858" w:type="dxa"/>
            <w:noWrap w:val="0"/>
            <w:vAlign w:val="center"/>
          </w:tcPr>
          <w:p w14:paraId="76D96DFA">
            <w:pPr>
              <w:jc w:val="center"/>
              <w:rPr>
                <w:rFonts w:hint="eastAsia" w:eastAsia="宋体"/>
                <w:sz w:val="21"/>
                <w:szCs w:val="21"/>
                <w:lang w:val="en-US" w:eastAsia="zh-CN"/>
              </w:rPr>
            </w:pPr>
            <w:r>
              <w:rPr>
                <w:rFonts w:hint="eastAsia"/>
                <w:sz w:val="21"/>
                <w:szCs w:val="21"/>
                <w:lang w:val="en-US" w:eastAsia="zh-CN"/>
              </w:rPr>
              <w:t>溢流水</w:t>
            </w:r>
          </w:p>
        </w:tc>
        <w:tc>
          <w:tcPr>
            <w:tcW w:w="1045" w:type="dxa"/>
            <w:noWrap w:val="0"/>
            <w:vAlign w:val="center"/>
          </w:tcPr>
          <w:p w14:paraId="047E4BA9">
            <w:pPr>
              <w:adjustRightInd w:val="0"/>
              <w:snapToGrid w:val="0"/>
              <w:jc w:val="center"/>
              <w:rPr>
                <w:rFonts w:hint="default" w:eastAsia="宋体"/>
                <w:sz w:val="21"/>
                <w:szCs w:val="21"/>
                <w:lang w:val="en-US" w:eastAsia="zh-CN"/>
              </w:rPr>
            </w:pPr>
            <w:r>
              <w:rPr>
                <w:rFonts w:hint="eastAsia"/>
                <w:sz w:val="21"/>
                <w:szCs w:val="21"/>
                <w:lang w:val="en-US" w:eastAsia="zh-CN"/>
              </w:rPr>
              <w:t>SS</w:t>
            </w:r>
          </w:p>
        </w:tc>
        <w:tc>
          <w:tcPr>
            <w:tcW w:w="2921" w:type="dxa"/>
            <w:noWrap w:val="0"/>
            <w:vAlign w:val="center"/>
          </w:tcPr>
          <w:p w14:paraId="7D532EBE">
            <w:pPr>
              <w:jc w:val="center"/>
              <w:rPr>
                <w:rFonts w:hint="eastAsia"/>
                <w:sz w:val="21"/>
                <w:szCs w:val="21"/>
              </w:rPr>
            </w:pPr>
            <w:r>
              <w:rPr>
                <w:rFonts w:hint="eastAsia"/>
                <w:sz w:val="21"/>
                <w:szCs w:val="21"/>
                <w:lang w:eastAsia="zh-CN"/>
              </w:rPr>
              <w:t>建一个</w:t>
            </w:r>
            <w:r>
              <w:rPr>
                <w:rFonts w:hint="eastAsia"/>
                <w:sz w:val="21"/>
                <w:szCs w:val="21"/>
                <w:lang w:val="en-US" w:eastAsia="zh-CN"/>
              </w:rPr>
              <w:t>50m</w:t>
            </w:r>
            <w:r>
              <w:rPr>
                <w:rFonts w:hint="eastAsia"/>
                <w:sz w:val="21"/>
                <w:szCs w:val="21"/>
                <w:vertAlign w:val="superscript"/>
                <w:lang w:val="en-US" w:eastAsia="zh-CN"/>
              </w:rPr>
              <w:t>3</w:t>
            </w:r>
            <w:r>
              <w:rPr>
                <w:rFonts w:hint="eastAsia"/>
                <w:sz w:val="21"/>
                <w:szCs w:val="21"/>
                <w:lang w:val="en-US" w:eastAsia="zh-CN"/>
              </w:rPr>
              <w:t>的溢流水池，</w:t>
            </w:r>
            <w:r>
              <w:rPr>
                <w:rFonts w:hint="eastAsia"/>
                <w:sz w:val="21"/>
                <w:szCs w:val="21"/>
              </w:rPr>
              <w:t>浓</w:t>
            </w:r>
          </w:p>
          <w:p w14:paraId="22805DA2">
            <w:pPr>
              <w:jc w:val="both"/>
              <w:rPr>
                <w:rFonts w:hint="default"/>
                <w:sz w:val="21"/>
                <w:szCs w:val="21"/>
                <w:lang w:val="en-US" w:eastAsia="zh-CN"/>
              </w:rPr>
            </w:pPr>
            <w:r>
              <w:rPr>
                <w:rFonts w:hint="eastAsia"/>
                <w:sz w:val="21"/>
                <w:szCs w:val="21"/>
              </w:rPr>
              <w:t>密机溢流水</w:t>
            </w:r>
            <w:r>
              <w:rPr>
                <w:rFonts w:hint="eastAsia"/>
                <w:sz w:val="21"/>
                <w:szCs w:val="21"/>
                <w:lang w:eastAsia="zh-CN"/>
              </w:rPr>
              <w:t>进入溢流水池后</w:t>
            </w:r>
            <w:r>
              <w:rPr>
                <w:rFonts w:hint="eastAsia"/>
                <w:sz w:val="21"/>
                <w:szCs w:val="21"/>
              </w:rPr>
              <w:t>一部分用于厂区生产，多余溢流水</w:t>
            </w:r>
            <w:r>
              <w:rPr>
                <w:rFonts w:hint="eastAsia"/>
                <w:sz w:val="21"/>
                <w:szCs w:val="21"/>
                <w:lang w:val="en-US" w:eastAsia="zh-CN"/>
              </w:rPr>
              <w:t>通过回水管线回用于选厂，不外排</w:t>
            </w:r>
          </w:p>
        </w:tc>
        <w:tc>
          <w:tcPr>
            <w:tcW w:w="2760" w:type="dxa"/>
            <w:noWrap w:val="0"/>
            <w:vAlign w:val="center"/>
          </w:tcPr>
          <w:p w14:paraId="4EDC6C3E">
            <w:pPr>
              <w:adjustRightInd w:val="0"/>
              <w:snapToGrid w:val="0"/>
              <w:jc w:val="center"/>
              <w:rPr>
                <w:rFonts w:hint="default"/>
                <w:sz w:val="21"/>
                <w:szCs w:val="21"/>
                <w:lang w:val="en-US" w:eastAsia="zh-CN"/>
              </w:rPr>
            </w:pPr>
            <w:r>
              <w:rPr>
                <w:rFonts w:hint="eastAsia"/>
                <w:sz w:val="21"/>
                <w:szCs w:val="21"/>
                <w:lang w:val="en-US" w:eastAsia="zh-CN"/>
              </w:rPr>
              <w:t>/</w:t>
            </w:r>
          </w:p>
        </w:tc>
      </w:tr>
      <w:tr w14:paraId="4F4E6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36" w:type="dxa"/>
            <w:vMerge w:val="continue"/>
            <w:noWrap w:val="0"/>
            <w:vAlign w:val="center"/>
          </w:tcPr>
          <w:p w14:paraId="59D11344">
            <w:pPr>
              <w:adjustRightInd w:val="0"/>
              <w:snapToGrid w:val="0"/>
              <w:jc w:val="center"/>
              <w:rPr>
                <w:sz w:val="21"/>
                <w:szCs w:val="21"/>
              </w:rPr>
            </w:pPr>
          </w:p>
        </w:tc>
        <w:tc>
          <w:tcPr>
            <w:tcW w:w="1858" w:type="dxa"/>
            <w:noWrap w:val="0"/>
            <w:vAlign w:val="center"/>
          </w:tcPr>
          <w:p w14:paraId="7A08EA41">
            <w:pPr>
              <w:jc w:val="center"/>
              <w:rPr>
                <w:rFonts w:hint="default"/>
                <w:sz w:val="21"/>
                <w:szCs w:val="21"/>
                <w:lang w:val="en-US" w:eastAsia="zh-CN"/>
              </w:rPr>
            </w:pPr>
            <w:r>
              <w:rPr>
                <w:rFonts w:hint="eastAsia"/>
                <w:sz w:val="21"/>
                <w:szCs w:val="21"/>
                <w:lang w:val="en-US" w:eastAsia="zh-CN"/>
              </w:rPr>
              <w:t>管道冲洗水</w:t>
            </w:r>
          </w:p>
        </w:tc>
        <w:tc>
          <w:tcPr>
            <w:tcW w:w="1045" w:type="dxa"/>
            <w:noWrap w:val="0"/>
            <w:vAlign w:val="center"/>
          </w:tcPr>
          <w:p w14:paraId="260E9D84">
            <w:pPr>
              <w:adjustRightInd w:val="0"/>
              <w:snapToGrid w:val="0"/>
              <w:jc w:val="center"/>
              <w:rPr>
                <w:rFonts w:hint="default"/>
                <w:sz w:val="21"/>
                <w:szCs w:val="21"/>
                <w:lang w:val="en-US" w:eastAsia="zh-CN"/>
              </w:rPr>
            </w:pPr>
            <w:r>
              <w:rPr>
                <w:rFonts w:hint="eastAsia"/>
                <w:sz w:val="21"/>
                <w:szCs w:val="21"/>
                <w:lang w:val="en-US" w:eastAsia="zh-CN"/>
              </w:rPr>
              <w:t>SS</w:t>
            </w:r>
          </w:p>
        </w:tc>
        <w:tc>
          <w:tcPr>
            <w:tcW w:w="2921" w:type="dxa"/>
            <w:noWrap w:val="0"/>
            <w:vAlign w:val="center"/>
          </w:tcPr>
          <w:p w14:paraId="213F2720">
            <w:pPr>
              <w:jc w:val="both"/>
              <w:rPr>
                <w:rFonts w:hint="default"/>
                <w:sz w:val="21"/>
                <w:szCs w:val="21"/>
                <w:lang w:val="en-US" w:eastAsia="zh-CN"/>
              </w:rPr>
            </w:pPr>
            <w:r>
              <w:rPr>
                <w:rFonts w:hint="eastAsia"/>
                <w:sz w:val="21"/>
                <w:szCs w:val="21"/>
                <w:lang w:val="en-US" w:eastAsia="zh-CN"/>
              </w:rPr>
              <w:t>管道冲洗水全部依托井下现有</w:t>
            </w:r>
            <w:r>
              <w:rPr>
                <w:rFonts w:hint="eastAsia"/>
                <w:sz w:val="21"/>
                <w:szCs w:val="21"/>
                <w:lang w:eastAsia="zh-CN"/>
              </w:rPr>
              <w:t>矿井水收集系统收集</w:t>
            </w:r>
            <w:r>
              <w:rPr>
                <w:rFonts w:hint="eastAsia"/>
                <w:sz w:val="21"/>
                <w:szCs w:val="21"/>
                <w:lang w:val="en-US" w:eastAsia="zh-CN"/>
              </w:rPr>
              <w:t>后回用于选厂，不外排</w:t>
            </w:r>
            <w:r>
              <w:rPr>
                <w:rFonts w:hint="eastAsia"/>
                <w:sz w:val="21"/>
                <w:szCs w:val="21"/>
                <w:lang w:eastAsia="zh-CN"/>
              </w:rPr>
              <w:t>。</w:t>
            </w:r>
            <w:r>
              <w:rPr>
                <w:rFonts w:hint="eastAsia"/>
                <w:sz w:val="21"/>
                <w:szCs w:val="21"/>
                <w:lang w:val="en-US" w:eastAsia="zh-CN"/>
              </w:rPr>
              <w:t xml:space="preserve"> </w:t>
            </w:r>
            <w:r>
              <w:rPr>
                <w:rFonts w:hint="eastAsia" w:hAnsi="宋体"/>
                <w:bCs/>
                <w:sz w:val="24"/>
                <w:lang w:val="en-US" w:eastAsia="zh-CN"/>
              </w:rPr>
              <w:t xml:space="preserve">   </w:t>
            </w:r>
          </w:p>
        </w:tc>
        <w:tc>
          <w:tcPr>
            <w:tcW w:w="2760" w:type="dxa"/>
            <w:noWrap w:val="0"/>
            <w:vAlign w:val="center"/>
          </w:tcPr>
          <w:p w14:paraId="19DCF086">
            <w:pPr>
              <w:adjustRightInd w:val="0"/>
              <w:snapToGrid w:val="0"/>
              <w:jc w:val="center"/>
              <w:rPr>
                <w:rFonts w:hint="default"/>
                <w:sz w:val="21"/>
                <w:szCs w:val="21"/>
                <w:lang w:val="en-US" w:eastAsia="zh-CN"/>
              </w:rPr>
            </w:pPr>
            <w:r>
              <w:rPr>
                <w:rFonts w:hint="eastAsia"/>
                <w:sz w:val="21"/>
                <w:szCs w:val="21"/>
                <w:lang w:val="en-US" w:eastAsia="zh-CN"/>
              </w:rPr>
              <w:t>/</w:t>
            </w:r>
          </w:p>
        </w:tc>
      </w:tr>
      <w:tr w14:paraId="79187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236" w:type="dxa"/>
            <w:noWrap w:val="0"/>
            <w:vAlign w:val="center"/>
          </w:tcPr>
          <w:p w14:paraId="051CCCC7">
            <w:pPr>
              <w:adjustRightInd w:val="0"/>
              <w:snapToGrid w:val="0"/>
              <w:jc w:val="center"/>
              <w:rPr>
                <w:sz w:val="21"/>
                <w:szCs w:val="21"/>
              </w:rPr>
            </w:pPr>
            <w:r>
              <w:rPr>
                <w:sz w:val="21"/>
                <w:szCs w:val="21"/>
              </w:rPr>
              <w:t>声环境</w:t>
            </w:r>
          </w:p>
        </w:tc>
        <w:tc>
          <w:tcPr>
            <w:tcW w:w="1858" w:type="dxa"/>
            <w:noWrap w:val="0"/>
            <w:vAlign w:val="center"/>
          </w:tcPr>
          <w:p w14:paraId="7B6BBAA6">
            <w:pPr>
              <w:adjustRightInd w:val="0"/>
              <w:snapToGrid w:val="0"/>
              <w:jc w:val="center"/>
              <w:rPr>
                <w:sz w:val="21"/>
                <w:szCs w:val="21"/>
              </w:rPr>
            </w:pPr>
            <w:r>
              <w:rPr>
                <w:rFonts w:hint="eastAsia"/>
                <w:sz w:val="21"/>
                <w:szCs w:val="21"/>
              </w:rPr>
              <w:t>四周厂界</w:t>
            </w:r>
          </w:p>
        </w:tc>
        <w:tc>
          <w:tcPr>
            <w:tcW w:w="1045" w:type="dxa"/>
            <w:noWrap w:val="0"/>
            <w:vAlign w:val="center"/>
          </w:tcPr>
          <w:p w14:paraId="35CA7083">
            <w:pPr>
              <w:adjustRightInd w:val="0"/>
              <w:snapToGrid w:val="0"/>
              <w:jc w:val="center"/>
              <w:rPr>
                <w:rFonts w:hint="eastAsia"/>
                <w:sz w:val="21"/>
                <w:szCs w:val="21"/>
              </w:rPr>
            </w:pPr>
            <w:r>
              <w:rPr>
                <w:rFonts w:hint="eastAsia"/>
                <w:sz w:val="21"/>
                <w:szCs w:val="21"/>
              </w:rPr>
              <w:t>噪声</w:t>
            </w:r>
          </w:p>
        </w:tc>
        <w:tc>
          <w:tcPr>
            <w:tcW w:w="2921" w:type="dxa"/>
            <w:noWrap w:val="0"/>
            <w:vAlign w:val="center"/>
          </w:tcPr>
          <w:p w14:paraId="4F537EA6">
            <w:pPr>
              <w:adjustRightInd w:val="0"/>
              <w:snapToGrid w:val="0"/>
              <w:jc w:val="center"/>
              <w:rPr>
                <w:rFonts w:hint="eastAsia"/>
                <w:sz w:val="21"/>
                <w:szCs w:val="21"/>
              </w:rPr>
            </w:pPr>
            <w:r>
              <w:rPr>
                <w:rFonts w:hint="eastAsia"/>
                <w:sz w:val="21"/>
                <w:szCs w:val="21"/>
                <w:lang w:val="en-US" w:eastAsia="zh-CN"/>
              </w:rPr>
              <w:t>基础</w:t>
            </w:r>
            <w:r>
              <w:rPr>
                <w:rFonts w:hint="eastAsia"/>
                <w:sz w:val="21"/>
                <w:szCs w:val="21"/>
              </w:rPr>
              <w:t>减振、</w:t>
            </w:r>
            <w:r>
              <w:rPr>
                <w:rFonts w:hint="eastAsia"/>
                <w:sz w:val="21"/>
                <w:szCs w:val="21"/>
                <w:lang w:val="en-US" w:eastAsia="zh-CN"/>
              </w:rPr>
              <w:t>厂房</w:t>
            </w:r>
            <w:r>
              <w:rPr>
                <w:rFonts w:hint="eastAsia"/>
                <w:sz w:val="21"/>
                <w:szCs w:val="21"/>
              </w:rPr>
              <w:t>隔声</w:t>
            </w:r>
          </w:p>
        </w:tc>
        <w:tc>
          <w:tcPr>
            <w:tcW w:w="2760" w:type="dxa"/>
            <w:noWrap w:val="0"/>
            <w:vAlign w:val="center"/>
          </w:tcPr>
          <w:p w14:paraId="1823BB26">
            <w:pPr>
              <w:adjustRightInd w:val="0"/>
              <w:snapToGrid w:val="0"/>
              <w:jc w:val="center"/>
              <w:rPr>
                <w:rFonts w:hint="eastAsia"/>
                <w:sz w:val="21"/>
                <w:szCs w:val="21"/>
              </w:rPr>
            </w:pPr>
            <w:r>
              <w:rPr>
                <w:kern w:val="0"/>
                <w:sz w:val="21"/>
                <w:szCs w:val="21"/>
              </w:rPr>
              <w:t>《工业企业厂界环境噪声排放标准》</w:t>
            </w:r>
            <w:r>
              <w:rPr>
                <w:rFonts w:hint="eastAsia"/>
                <w:kern w:val="0"/>
                <w:sz w:val="21"/>
                <w:szCs w:val="21"/>
              </w:rPr>
              <w:t>（</w:t>
            </w:r>
            <w:r>
              <w:rPr>
                <w:kern w:val="0"/>
                <w:sz w:val="21"/>
                <w:szCs w:val="21"/>
              </w:rPr>
              <w:t>GB12348-2008</w:t>
            </w:r>
            <w:r>
              <w:rPr>
                <w:rFonts w:hint="eastAsia"/>
                <w:kern w:val="0"/>
                <w:sz w:val="21"/>
                <w:szCs w:val="21"/>
              </w:rPr>
              <w:t>）</w:t>
            </w:r>
            <w:r>
              <w:rPr>
                <w:rFonts w:hint="eastAsia"/>
                <w:kern w:val="0"/>
                <w:sz w:val="21"/>
                <w:szCs w:val="21"/>
                <w:lang w:val="en-US" w:eastAsia="zh-CN"/>
              </w:rPr>
              <w:t>2</w:t>
            </w:r>
            <w:r>
              <w:rPr>
                <w:kern w:val="0"/>
                <w:sz w:val="21"/>
                <w:szCs w:val="21"/>
              </w:rPr>
              <w:t>类</w:t>
            </w:r>
            <w:r>
              <w:rPr>
                <w:rFonts w:hint="eastAsia"/>
                <w:kern w:val="0"/>
                <w:sz w:val="21"/>
                <w:szCs w:val="21"/>
              </w:rPr>
              <w:t>“昼间6</w:t>
            </w:r>
            <w:r>
              <w:rPr>
                <w:rFonts w:hint="eastAsia"/>
                <w:kern w:val="0"/>
                <w:sz w:val="21"/>
                <w:szCs w:val="21"/>
                <w:lang w:val="en-US" w:eastAsia="zh-CN"/>
              </w:rPr>
              <w:t>0</w:t>
            </w:r>
            <w:r>
              <w:rPr>
                <w:rFonts w:hint="eastAsia"/>
                <w:kern w:val="0"/>
                <w:sz w:val="21"/>
                <w:szCs w:val="21"/>
              </w:rPr>
              <w:t>dB(A)，夜间5</w:t>
            </w:r>
            <w:r>
              <w:rPr>
                <w:rFonts w:hint="eastAsia"/>
                <w:kern w:val="0"/>
                <w:sz w:val="21"/>
                <w:szCs w:val="21"/>
                <w:lang w:val="en-US" w:eastAsia="zh-CN"/>
              </w:rPr>
              <w:t>0</w:t>
            </w:r>
            <w:r>
              <w:rPr>
                <w:rFonts w:hint="eastAsia"/>
                <w:kern w:val="0"/>
                <w:sz w:val="21"/>
                <w:szCs w:val="21"/>
              </w:rPr>
              <w:t>dB(A)”</w:t>
            </w:r>
          </w:p>
        </w:tc>
      </w:tr>
      <w:tr w14:paraId="336A3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36" w:type="dxa"/>
            <w:noWrap w:val="0"/>
            <w:vAlign w:val="center"/>
          </w:tcPr>
          <w:p w14:paraId="21822635">
            <w:pPr>
              <w:adjustRightInd w:val="0"/>
              <w:snapToGrid w:val="0"/>
              <w:jc w:val="center"/>
              <w:rPr>
                <w:sz w:val="21"/>
                <w:szCs w:val="21"/>
              </w:rPr>
            </w:pPr>
            <w:r>
              <w:rPr>
                <w:sz w:val="21"/>
                <w:szCs w:val="21"/>
              </w:rPr>
              <w:t>电磁</w:t>
            </w:r>
          </w:p>
          <w:p w14:paraId="325F9D06">
            <w:pPr>
              <w:adjustRightInd w:val="0"/>
              <w:snapToGrid w:val="0"/>
              <w:jc w:val="center"/>
              <w:rPr>
                <w:sz w:val="21"/>
                <w:szCs w:val="21"/>
              </w:rPr>
            </w:pPr>
            <w:r>
              <w:rPr>
                <w:sz w:val="21"/>
                <w:szCs w:val="21"/>
              </w:rPr>
              <w:t>辐射</w:t>
            </w:r>
          </w:p>
        </w:tc>
        <w:tc>
          <w:tcPr>
            <w:tcW w:w="1858" w:type="dxa"/>
            <w:noWrap w:val="0"/>
            <w:vAlign w:val="center"/>
          </w:tcPr>
          <w:p w14:paraId="3925C708">
            <w:pPr>
              <w:adjustRightInd w:val="0"/>
              <w:snapToGrid w:val="0"/>
              <w:jc w:val="center"/>
              <w:rPr>
                <w:sz w:val="21"/>
                <w:szCs w:val="21"/>
              </w:rPr>
            </w:pPr>
            <w:r>
              <w:rPr>
                <w:sz w:val="21"/>
                <w:szCs w:val="21"/>
              </w:rPr>
              <w:t>/</w:t>
            </w:r>
          </w:p>
        </w:tc>
        <w:tc>
          <w:tcPr>
            <w:tcW w:w="1045" w:type="dxa"/>
            <w:noWrap w:val="0"/>
            <w:vAlign w:val="center"/>
          </w:tcPr>
          <w:p w14:paraId="0C7B85BC">
            <w:pPr>
              <w:adjustRightInd w:val="0"/>
              <w:snapToGrid w:val="0"/>
              <w:jc w:val="center"/>
              <w:rPr>
                <w:sz w:val="21"/>
                <w:szCs w:val="21"/>
              </w:rPr>
            </w:pPr>
            <w:r>
              <w:rPr>
                <w:sz w:val="21"/>
                <w:szCs w:val="21"/>
              </w:rPr>
              <w:t>/</w:t>
            </w:r>
          </w:p>
        </w:tc>
        <w:tc>
          <w:tcPr>
            <w:tcW w:w="2921" w:type="dxa"/>
            <w:noWrap w:val="0"/>
            <w:vAlign w:val="center"/>
          </w:tcPr>
          <w:p w14:paraId="32858661">
            <w:pPr>
              <w:adjustRightInd w:val="0"/>
              <w:snapToGrid w:val="0"/>
              <w:jc w:val="center"/>
              <w:rPr>
                <w:sz w:val="21"/>
                <w:szCs w:val="21"/>
              </w:rPr>
            </w:pPr>
            <w:r>
              <w:rPr>
                <w:sz w:val="21"/>
                <w:szCs w:val="21"/>
              </w:rPr>
              <w:t>/</w:t>
            </w:r>
          </w:p>
        </w:tc>
        <w:tc>
          <w:tcPr>
            <w:tcW w:w="2760" w:type="dxa"/>
            <w:noWrap w:val="0"/>
            <w:vAlign w:val="center"/>
          </w:tcPr>
          <w:p w14:paraId="6EAB9191">
            <w:pPr>
              <w:adjustRightInd w:val="0"/>
              <w:snapToGrid w:val="0"/>
              <w:jc w:val="center"/>
              <w:rPr>
                <w:sz w:val="21"/>
                <w:szCs w:val="21"/>
              </w:rPr>
            </w:pPr>
            <w:r>
              <w:rPr>
                <w:sz w:val="21"/>
                <w:szCs w:val="21"/>
              </w:rPr>
              <w:t>/</w:t>
            </w:r>
          </w:p>
        </w:tc>
      </w:tr>
      <w:tr w14:paraId="232BF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36" w:type="dxa"/>
            <w:noWrap w:val="0"/>
            <w:vAlign w:val="center"/>
          </w:tcPr>
          <w:p w14:paraId="16716B70">
            <w:pPr>
              <w:adjustRightInd w:val="0"/>
              <w:snapToGrid w:val="0"/>
              <w:jc w:val="center"/>
              <w:rPr>
                <w:sz w:val="21"/>
                <w:szCs w:val="21"/>
              </w:rPr>
            </w:pPr>
            <w:r>
              <w:rPr>
                <w:rFonts w:hint="eastAsia"/>
                <w:sz w:val="21"/>
                <w:szCs w:val="21"/>
                <w:lang w:val="en-US" w:eastAsia="zh-CN"/>
              </w:rPr>
              <w:t>一般</w:t>
            </w:r>
            <w:r>
              <w:rPr>
                <w:sz w:val="21"/>
                <w:szCs w:val="21"/>
              </w:rPr>
              <w:t>固体</w:t>
            </w:r>
          </w:p>
          <w:p w14:paraId="41C3F43F">
            <w:pPr>
              <w:adjustRightInd w:val="0"/>
              <w:snapToGrid w:val="0"/>
              <w:jc w:val="center"/>
              <w:rPr>
                <w:sz w:val="21"/>
                <w:szCs w:val="21"/>
              </w:rPr>
            </w:pPr>
            <w:r>
              <w:rPr>
                <w:sz w:val="21"/>
                <w:szCs w:val="21"/>
              </w:rPr>
              <w:t>废物</w:t>
            </w:r>
          </w:p>
        </w:tc>
        <w:tc>
          <w:tcPr>
            <w:tcW w:w="1858" w:type="dxa"/>
            <w:noWrap w:val="0"/>
            <w:vAlign w:val="center"/>
          </w:tcPr>
          <w:p w14:paraId="4674DDA1">
            <w:pPr>
              <w:jc w:val="center"/>
              <w:rPr>
                <w:rFonts w:hint="eastAsia"/>
                <w:bCs/>
                <w:sz w:val="21"/>
                <w:szCs w:val="21"/>
              </w:rPr>
            </w:pPr>
            <w:r>
              <w:rPr>
                <w:rFonts w:hint="eastAsia"/>
                <w:bCs/>
                <w:sz w:val="21"/>
                <w:szCs w:val="21"/>
              </w:rPr>
              <w:t>职工生活垃圾</w:t>
            </w:r>
          </w:p>
        </w:tc>
        <w:tc>
          <w:tcPr>
            <w:tcW w:w="1045" w:type="dxa"/>
            <w:noWrap w:val="0"/>
            <w:vAlign w:val="center"/>
          </w:tcPr>
          <w:p w14:paraId="5C6DBCAF">
            <w:pPr>
              <w:jc w:val="center"/>
              <w:rPr>
                <w:rFonts w:hint="eastAsia"/>
                <w:bCs/>
                <w:sz w:val="21"/>
                <w:szCs w:val="21"/>
              </w:rPr>
            </w:pPr>
            <w:r>
              <w:rPr>
                <w:rFonts w:hint="eastAsia"/>
                <w:bCs/>
                <w:sz w:val="21"/>
                <w:szCs w:val="21"/>
              </w:rPr>
              <w:t>职工生活</w:t>
            </w:r>
          </w:p>
        </w:tc>
        <w:tc>
          <w:tcPr>
            <w:tcW w:w="2921" w:type="dxa"/>
            <w:noWrap w:val="0"/>
            <w:vAlign w:val="center"/>
          </w:tcPr>
          <w:p w14:paraId="2F69B52E">
            <w:pPr>
              <w:jc w:val="center"/>
              <w:rPr>
                <w:rFonts w:hint="eastAsia"/>
                <w:bCs/>
                <w:sz w:val="21"/>
                <w:szCs w:val="21"/>
              </w:rPr>
            </w:pPr>
            <w:r>
              <w:rPr>
                <w:rFonts w:hint="eastAsia"/>
                <w:spacing w:val="-2"/>
                <w:sz w:val="21"/>
                <w:szCs w:val="21"/>
              </w:rPr>
              <w:t>垃圾桶收集后，定期由当地环卫部门清运</w:t>
            </w:r>
          </w:p>
        </w:tc>
        <w:tc>
          <w:tcPr>
            <w:tcW w:w="2760" w:type="dxa"/>
            <w:noWrap w:val="0"/>
            <w:vAlign w:val="center"/>
          </w:tcPr>
          <w:p w14:paraId="74C805D2">
            <w:pPr>
              <w:adjustRightInd w:val="0"/>
              <w:snapToGrid w:val="0"/>
              <w:jc w:val="center"/>
              <w:rPr>
                <w:rFonts w:hint="eastAsia"/>
                <w:sz w:val="21"/>
                <w:szCs w:val="21"/>
              </w:rPr>
            </w:pPr>
            <w:r>
              <w:rPr>
                <w:rFonts w:hint="eastAsia"/>
                <w:sz w:val="21"/>
                <w:szCs w:val="21"/>
              </w:rPr>
              <w:t>合理处置</w:t>
            </w:r>
          </w:p>
        </w:tc>
      </w:tr>
      <w:tr w14:paraId="1643A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noWrap w:val="0"/>
            <w:vAlign w:val="center"/>
          </w:tcPr>
          <w:p w14:paraId="7E5A1BC7">
            <w:pPr>
              <w:adjustRightInd w:val="0"/>
              <w:snapToGrid w:val="0"/>
              <w:jc w:val="center"/>
              <w:rPr>
                <w:sz w:val="21"/>
                <w:szCs w:val="21"/>
              </w:rPr>
            </w:pPr>
            <w:r>
              <w:rPr>
                <w:sz w:val="21"/>
                <w:szCs w:val="21"/>
              </w:rPr>
              <w:t>土壤及地下水污染防治措施</w:t>
            </w:r>
          </w:p>
        </w:tc>
        <w:tc>
          <w:tcPr>
            <w:tcW w:w="8584" w:type="dxa"/>
            <w:gridSpan w:val="4"/>
            <w:noWrap w:val="0"/>
            <w:vAlign w:val="center"/>
          </w:tcPr>
          <w:p w14:paraId="7DB3798F">
            <w:pPr>
              <w:adjustRightInd w:val="0"/>
              <w:snapToGrid w:val="0"/>
              <w:jc w:val="center"/>
              <w:rPr>
                <w:rFonts w:hint="eastAsia"/>
                <w:sz w:val="21"/>
                <w:szCs w:val="21"/>
              </w:rPr>
            </w:pPr>
            <w:r>
              <w:rPr>
                <w:rFonts w:hint="eastAsia" w:cs="Times New Roman"/>
                <w:sz w:val="21"/>
                <w:szCs w:val="21"/>
                <w:lang w:val="en-US" w:eastAsia="zh-CN"/>
              </w:rPr>
              <w:t>厂区</w:t>
            </w:r>
            <w:r>
              <w:rPr>
                <w:rFonts w:hint="eastAsia" w:ascii="Times New Roman" w:hAnsi="Times New Roman" w:eastAsia="宋体" w:cs="Times New Roman"/>
                <w:sz w:val="21"/>
                <w:szCs w:val="21"/>
                <w:lang w:val="en-US" w:eastAsia="zh-CN"/>
              </w:rPr>
              <w:t>地面硬化处理。</w:t>
            </w:r>
          </w:p>
        </w:tc>
      </w:tr>
      <w:tr w14:paraId="6824A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236" w:type="dxa"/>
            <w:noWrap w:val="0"/>
            <w:vAlign w:val="center"/>
          </w:tcPr>
          <w:p w14:paraId="51F7672F">
            <w:pPr>
              <w:adjustRightInd w:val="0"/>
              <w:snapToGrid w:val="0"/>
              <w:jc w:val="center"/>
              <w:rPr>
                <w:sz w:val="21"/>
                <w:szCs w:val="21"/>
              </w:rPr>
            </w:pPr>
            <w:r>
              <w:rPr>
                <w:sz w:val="21"/>
                <w:szCs w:val="21"/>
              </w:rPr>
              <w:t>生态保护措施</w:t>
            </w:r>
          </w:p>
        </w:tc>
        <w:tc>
          <w:tcPr>
            <w:tcW w:w="8584" w:type="dxa"/>
            <w:gridSpan w:val="4"/>
            <w:noWrap w:val="0"/>
            <w:vAlign w:val="center"/>
          </w:tcPr>
          <w:p w14:paraId="33078C7C">
            <w:pPr>
              <w:adjustRightInd w:val="0"/>
              <w:snapToGrid w:val="0"/>
              <w:jc w:val="center"/>
              <w:rPr>
                <w:sz w:val="21"/>
                <w:szCs w:val="21"/>
              </w:rPr>
            </w:pPr>
            <w:r>
              <w:rPr>
                <w:rFonts w:hint="eastAsia"/>
                <w:sz w:val="21"/>
                <w:szCs w:val="21"/>
              </w:rPr>
              <w:t>/</w:t>
            </w:r>
          </w:p>
        </w:tc>
      </w:tr>
      <w:tr w14:paraId="61F53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1236" w:type="dxa"/>
            <w:noWrap w:val="0"/>
            <w:vAlign w:val="center"/>
          </w:tcPr>
          <w:p w14:paraId="394FDAE7">
            <w:pPr>
              <w:adjustRightInd w:val="0"/>
              <w:snapToGrid w:val="0"/>
              <w:jc w:val="center"/>
              <w:rPr>
                <w:spacing w:val="-8"/>
                <w:sz w:val="21"/>
                <w:szCs w:val="21"/>
              </w:rPr>
            </w:pPr>
            <w:r>
              <w:rPr>
                <w:spacing w:val="-8"/>
                <w:sz w:val="21"/>
                <w:szCs w:val="21"/>
              </w:rPr>
              <w:t>环境风险</w:t>
            </w:r>
          </w:p>
          <w:p w14:paraId="42F9BFAA">
            <w:pPr>
              <w:adjustRightInd w:val="0"/>
              <w:snapToGrid w:val="0"/>
              <w:jc w:val="center"/>
              <w:rPr>
                <w:spacing w:val="-8"/>
                <w:sz w:val="21"/>
                <w:szCs w:val="21"/>
              </w:rPr>
            </w:pPr>
            <w:r>
              <w:rPr>
                <w:spacing w:val="-8"/>
                <w:sz w:val="21"/>
                <w:szCs w:val="21"/>
              </w:rPr>
              <w:t>防范措施</w:t>
            </w:r>
          </w:p>
        </w:tc>
        <w:tc>
          <w:tcPr>
            <w:tcW w:w="8584" w:type="dxa"/>
            <w:gridSpan w:val="4"/>
            <w:noWrap w:val="0"/>
            <w:vAlign w:val="center"/>
          </w:tcPr>
          <w:p w14:paraId="72131C11">
            <w:pPr>
              <w:numPr>
                <w:ilvl w:val="0"/>
                <w:numId w:val="19"/>
              </w:numPr>
              <w:adjustRightInd w:val="0"/>
              <w:snapToGrid w:val="0"/>
              <w:jc w:val="both"/>
              <w:rPr>
                <w:sz w:val="21"/>
                <w:szCs w:val="21"/>
              </w:rPr>
            </w:pPr>
            <w:r>
              <w:rPr>
                <w:rFonts w:hint="eastAsia" w:ascii="Times New Roman" w:hAnsi="Times New Roman" w:eastAsia="宋体" w:cs="Times New Roman"/>
                <w:sz w:val="21"/>
                <w:szCs w:val="21"/>
                <w:lang w:val="en-US" w:eastAsia="zh-CN"/>
              </w:rPr>
              <w:t>输送管道严格按照设计要求进行安装，管道材料需满足其压力要求。定期对管道进行进行检查，</w:t>
            </w:r>
            <w:r>
              <w:rPr>
                <w:rFonts w:hint="default"/>
                <w:sz w:val="21"/>
                <w:szCs w:val="21"/>
                <w:u w:val="none"/>
                <w:lang w:val="en-US" w:eastAsia="zh-CN"/>
              </w:rPr>
              <w:t>安排专人管理。</w:t>
            </w:r>
            <w:r>
              <w:rPr>
                <w:rFonts w:hint="eastAsia" w:ascii="Times New Roman" w:hAnsi="Times New Roman" w:eastAsia="宋体" w:cs="Times New Roman"/>
                <w:sz w:val="21"/>
                <w:szCs w:val="21"/>
                <w:lang w:val="en-US" w:eastAsia="zh-CN"/>
              </w:rPr>
              <w:br w:type="textWrapping"/>
            </w:r>
            <w:r>
              <w:rPr>
                <w:rFonts w:hint="eastAsia" w:ascii="Times New Roman" w:hAnsi="Times New Roman" w:eastAsia="宋体" w:cs="Times New Roman"/>
                <w:sz w:val="21"/>
                <w:szCs w:val="21"/>
                <w:lang w:val="en-US" w:eastAsia="zh-CN"/>
              </w:rPr>
              <w:t>（2）本项目输送管道为一用一备，输送过程中安排专人巡查，同时</w:t>
            </w:r>
            <w:r>
              <w:rPr>
                <w:rFonts w:hint="default" w:ascii="Times New Roman" w:hAnsi="Times New Roman" w:eastAsia="宋体" w:cs="Times New Roman"/>
                <w:sz w:val="21"/>
                <w:szCs w:val="21"/>
                <w:lang w:val="en-US" w:eastAsia="zh-CN"/>
              </w:rPr>
              <w:t>制定各种应急救援、应急预案并进行演练。</w:t>
            </w:r>
            <w:r>
              <w:rPr>
                <w:rFonts w:hint="default"/>
                <w:sz w:val="21"/>
                <w:szCs w:val="21"/>
                <w:u w:val="none"/>
                <w:lang w:val="en-US" w:eastAsia="zh-CN"/>
              </w:rPr>
              <w:br w:type="textWrapping"/>
            </w:r>
          </w:p>
        </w:tc>
      </w:tr>
      <w:tr w14:paraId="1D387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5" w:hRule="atLeast"/>
          <w:jc w:val="center"/>
        </w:trPr>
        <w:tc>
          <w:tcPr>
            <w:tcW w:w="1236" w:type="dxa"/>
            <w:noWrap w:val="0"/>
            <w:vAlign w:val="center"/>
          </w:tcPr>
          <w:p w14:paraId="3BE99264">
            <w:pPr>
              <w:adjustRightInd w:val="0"/>
              <w:snapToGrid w:val="0"/>
              <w:jc w:val="center"/>
              <w:rPr>
                <w:spacing w:val="-8"/>
                <w:sz w:val="21"/>
                <w:szCs w:val="21"/>
              </w:rPr>
            </w:pPr>
            <w:r>
              <w:rPr>
                <w:spacing w:val="-8"/>
                <w:sz w:val="21"/>
                <w:szCs w:val="21"/>
              </w:rPr>
              <w:t>其他环境</w:t>
            </w:r>
          </w:p>
          <w:p w14:paraId="7D6C89AE">
            <w:pPr>
              <w:adjustRightInd w:val="0"/>
              <w:snapToGrid w:val="0"/>
              <w:jc w:val="center"/>
              <w:rPr>
                <w:spacing w:val="-8"/>
                <w:sz w:val="21"/>
                <w:szCs w:val="21"/>
              </w:rPr>
            </w:pPr>
            <w:r>
              <w:rPr>
                <w:spacing w:val="-8"/>
                <w:sz w:val="21"/>
                <w:szCs w:val="21"/>
              </w:rPr>
              <w:t>管理要求</w:t>
            </w:r>
          </w:p>
        </w:tc>
        <w:tc>
          <w:tcPr>
            <w:tcW w:w="8584" w:type="dxa"/>
            <w:gridSpan w:val="4"/>
            <w:noWrap w:val="0"/>
            <w:vAlign w:val="center"/>
          </w:tcPr>
          <w:p w14:paraId="40F441B2">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 xml:space="preserve">认真落实“三同时”制度； </w:t>
            </w:r>
          </w:p>
          <w:p w14:paraId="4435E69B">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应建立环保设施定期检查制度和污染治理措施岗位责任制，实行污染治理岗位运行记录制度，以确保污染治理设施稳定高效运行</w:t>
            </w:r>
            <w:r>
              <w:rPr>
                <w:rFonts w:hint="eastAsia" w:ascii="Times New Roman" w:hAnsi="Times New Roman" w:eastAsia="宋体" w:cs="Times New Roman"/>
                <w:sz w:val="21"/>
                <w:szCs w:val="21"/>
                <w:lang w:val="en-US" w:eastAsia="zh-CN"/>
              </w:rPr>
              <w:t>。</w:t>
            </w:r>
          </w:p>
          <w:p w14:paraId="1BBB188C">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生产过程环境管理：项目投产后，建设方应加强对生产过程的全程监管与控制</w:t>
            </w:r>
            <w:r>
              <w:rPr>
                <w:rFonts w:hint="eastAsia" w:ascii="Times New Roman" w:hAnsi="Times New Roman" w:eastAsia="宋体" w:cs="Times New Roman"/>
                <w:sz w:val="21"/>
                <w:szCs w:val="21"/>
                <w:lang w:val="en-US" w:eastAsia="zh-CN"/>
              </w:rPr>
              <w:t>。</w:t>
            </w:r>
          </w:p>
          <w:p w14:paraId="4A2E0F46">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 xml:space="preserve">企业应建立台账，记录废气收集系统的主要运行和维护信息，台账保存期限不少于5年。 </w:t>
            </w:r>
          </w:p>
          <w:p w14:paraId="09A0BDC8">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台账记录： </w:t>
            </w:r>
          </w:p>
          <w:p w14:paraId="55E81C95">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 xml:space="preserve">生产设施运行管理信息（生产时间、运行负荷、产品产量等）； </w:t>
            </w:r>
          </w:p>
          <w:p w14:paraId="38B0A79B">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 xml:space="preserve">废气污染治理设施运行管理信息（除尘滤袋更换量和时间等）； </w:t>
            </w:r>
          </w:p>
          <w:p w14:paraId="3C0D404D">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 xml:space="preserve">检测记录信息（一般排污口废气排放记录）； </w:t>
            </w:r>
          </w:p>
          <w:p w14:paraId="133824A8">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原辅材料消耗（一年内原辅料用量记录）；</w:t>
            </w:r>
          </w:p>
          <w:p w14:paraId="6461FC4B">
            <w:pPr>
              <w:numPr>
                <w:ilvl w:val="0"/>
                <w:numId w:val="0"/>
              </w:numPr>
              <w:adjustRightInd w:val="0"/>
              <w:snapToGrid w:val="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val="en-US" w:eastAsia="zh-CN"/>
              </w:rPr>
              <w:t>企业建成后严格</w:t>
            </w:r>
            <w:r>
              <w:rPr>
                <w:rFonts w:hint="eastAsia" w:ascii="Times New Roman" w:hAnsi="Times New Roman" w:eastAsia="宋体" w:cs="Times New Roman"/>
                <w:sz w:val="21"/>
                <w:szCs w:val="21"/>
                <w:lang w:val="en-US" w:eastAsia="zh-CN"/>
              </w:rPr>
              <w:t>按照</w:t>
            </w:r>
            <w:r>
              <w:rPr>
                <w:rFonts w:hint="default" w:ascii="Times New Roman" w:hAnsi="Times New Roman" w:eastAsia="宋体" w:cs="Times New Roman"/>
                <w:sz w:val="21"/>
                <w:szCs w:val="21"/>
                <w:lang w:val="en-US" w:eastAsia="zh-CN"/>
              </w:rPr>
              <w:t>排污许</w:t>
            </w:r>
            <w:r>
              <w:rPr>
                <w:rFonts w:hint="eastAsia" w:ascii="Times New Roman" w:hAnsi="Times New Roman" w:eastAsia="宋体" w:cs="Times New Roman"/>
                <w:sz w:val="21"/>
                <w:szCs w:val="21"/>
                <w:lang w:val="en-US" w:eastAsia="zh-CN"/>
              </w:rPr>
              <w:t>管理条例</w:t>
            </w:r>
            <w:r>
              <w:rPr>
                <w:rFonts w:hint="default" w:ascii="Times New Roman" w:hAnsi="Times New Roman" w:eastAsia="宋体" w:cs="Times New Roman"/>
                <w:sz w:val="21"/>
                <w:szCs w:val="21"/>
                <w:lang w:val="en-US" w:eastAsia="zh-CN"/>
              </w:rPr>
              <w:t>，及时</w:t>
            </w:r>
            <w:r>
              <w:rPr>
                <w:rFonts w:hint="eastAsia" w:ascii="Times New Roman" w:hAnsi="Times New Roman" w:eastAsia="宋体" w:cs="Times New Roman"/>
                <w:sz w:val="21"/>
                <w:szCs w:val="21"/>
                <w:lang w:val="en-US" w:eastAsia="zh-CN"/>
              </w:rPr>
              <w:t>开展</w:t>
            </w:r>
            <w:r>
              <w:rPr>
                <w:rFonts w:hint="default" w:ascii="Times New Roman" w:hAnsi="Times New Roman" w:eastAsia="宋体" w:cs="Times New Roman"/>
                <w:sz w:val="21"/>
                <w:szCs w:val="21"/>
                <w:lang w:val="en-US" w:eastAsia="zh-CN"/>
              </w:rPr>
              <w:t>排污许可</w:t>
            </w:r>
            <w:r>
              <w:rPr>
                <w:rFonts w:hint="eastAsia" w:ascii="Times New Roman" w:hAnsi="Times New Roman" w:eastAsia="宋体" w:cs="Times New Roman"/>
                <w:sz w:val="21"/>
                <w:szCs w:val="21"/>
                <w:lang w:val="en-US" w:eastAsia="zh-CN"/>
              </w:rPr>
              <w:t>登记</w:t>
            </w:r>
            <w:r>
              <w:rPr>
                <w:rFonts w:hint="default" w:ascii="Times New Roman" w:hAnsi="Times New Roman" w:eastAsia="宋体" w:cs="Times New Roman"/>
                <w:sz w:val="21"/>
                <w:szCs w:val="21"/>
                <w:lang w:val="en-US" w:eastAsia="zh-CN"/>
              </w:rPr>
              <w:t xml:space="preserve">。 </w:t>
            </w:r>
          </w:p>
          <w:p w14:paraId="39AD116F">
            <w:pPr>
              <w:adjustRightInd w:val="0"/>
              <w:snapToGrid w:val="0"/>
              <w:rPr>
                <w:rFonts w:hint="default" w:ascii="Times New Roman" w:hAnsi="Times New Roman" w:eastAsia="宋体" w:cs="Times New Roman"/>
                <w:sz w:val="21"/>
                <w:szCs w:val="21"/>
                <w:lang w:val="en-US" w:eastAsia="zh-CN"/>
              </w:rPr>
            </w:pPr>
          </w:p>
          <w:p w14:paraId="78C5A5D7">
            <w:pPr>
              <w:rPr>
                <w:rFonts w:hint="eastAsia"/>
                <w:sz w:val="21"/>
                <w:szCs w:val="21"/>
              </w:rPr>
            </w:pPr>
          </w:p>
          <w:p w14:paraId="2C2F2717">
            <w:pPr>
              <w:ind w:firstLine="420" w:firstLineChars="200"/>
              <w:rPr>
                <w:rFonts w:hint="eastAsia"/>
                <w:sz w:val="21"/>
                <w:szCs w:val="21"/>
              </w:rPr>
            </w:pPr>
          </w:p>
        </w:tc>
      </w:tr>
    </w:tbl>
    <w:p w14:paraId="68390C50">
      <w:pPr>
        <w:pStyle w:val="28"/>
        <w:spacing w:before="0" w:beforeAutospacing="0" w:after="0" w:afterAutospacing="0" w:line="360" w:lineRule="auto"/>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31"/>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4A691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855" w:type="dxa"/>
            <w:noWrap w:val="0"/>
            <w:vAlign w:val="top"/>
          </w:tcPr>
          <w:p w14:paraId="2D10093E">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baseline"/>
              <w:rPr>
                <w:rFonts w:hint="eastAsia"/>
                <w:sz w:val="24"/>
              </w:rPr>
            </w:pPr>
            <w:r>
              <w:rPr>
                <w:rFonts w:hint="eastAsia"/>
                <w:sz w:val="24"/>
                <w:lang w:eastAsia="zh-CN"/>
              </w:rPr>
              <w:t>栾川县</w:t>
            </w:r>
            <w:r>
              <w:rPr>
                <w:rFonts w:hint="eastAsia"/>
                <w:sz w:val="24"/>
                <w:lang w:val="en-US" w:eastAsia="zh-CN"/>
              </w:rPr>
              <w:t>惠顿矿业有限公司尾矿充填和矿山再利用</w:t>
            </w:r>
            <w:r>
              <w:rPr>
                <w:rFonts w:hint="eastAsia" w:cs="Times New Roman"/>
                <w:color w:val="000000"/>
                <w:sz w:val="24"/>
                <w:szCs w:val="24"/>
                <w:lang w:eastAsia="zh-CN"/>
              </w:rPr>
              <w:t>项目（</w:t>
            </w:r>
            <w:r>
              <w:rPr>
                <w:rFonts w:hint="eastAsia" w:cs="Times New Roman"/>
                <w:color w:val="000000"/>
                <w:sz w:val="24"/>
                <w:szCs w:val="24"/>
                <w:lang w:val="en-US" w:eastAsia="zh-CN"/>
              </w:rPr>
              <w:t>重新报批</w:t>
            </w:r>
            <w:r>
              <w:rPr>
                <w:rFonts w:hint="eastAsia" w:cs="Times New Roman"/>
                <w:color w:val="000000"/>
                <w:sz w:val="24"/>
                <w:szCs w:val="24"/>
                <w:lang w:eastAsia="zh-CN"/>
              </w:rPr>
              <w:t>），</w:t>
            </w:r>
            <w:r>
              <w:rPr>
                <w:sz w:val="24"/>
              </w:rPr>
              <w:t>符合国家产业政策</w:t>
            </w:r>
            <w:r>
              <w:rPr>
                <w:rFonts w:hint="eastAsia"/>
                <w:sz w:val="24"/>
              </w:rPr>
              <w:t>、“三线一单”</w:t>
            </w:r>
            <w:r>
              <w:rPr>
                <w:sz w:val="24"/>
              </w:rPr>
              <w:t>和相关规划要求，项目选址合理</w:t>
            </w:r>
            <w:r>
              <w:rPr>
                <w:rFonts w:hint="eastAsia" w:ascii="黑体" w:hAnsi="黑体" w:eastAsia="黑体" w:cs="黑体"/>
                <w:sz w:val="24"/>
              </w:rPr>
              <w:t>，</w:t>
            </w:r>
            <w:r>
              <w:rPr>
                <w:rFonts w:hint="eastAsia"/>
                <w:sz w:val="24"/>
              </w:rPr>
              <w:t>拟采取的污染防治措施可行，各类污染物均能满足达标排放和总量控制要求，对环境影响较小，在加强生产管理及监督、保证各项环保措施正常运行的前提下，从</w:t>
            </w:r>
            <w:r>
              <w:rPr>
                <w:rFonts w:hint="eastAsia"/>
                <w:sz w:val="24"/>
                <w:lang w:val="en-US" w:eastAsia="zh-CN"/>
              </w:rPr>
              <w:t>环境保护</w:t>
            </w:r>
            <w:r>
              <w:rPr>
                <w:rFonts w:hint="eastAsia"/>
                <w:sz w:val="24"/>
              </w:rPr>
              <w:t>的角度</w:t>
            </w:r>
            <w:r>
              <w:rPr>
                <w:rFonts w:hint="eastAsia"/>
                <w:sz w:val="24"/>
                <w:lang w:val="en-US" w:eastAsia="zh-CN"/>
              </w:rPr>
              <w:t>来说</w:t>
            </w:r>
            <w:r>
              <w:rPr>
                <w:rFonts w:hint="eastAsia"/>
                <w:sz w:val="24"/>
              </w:rPr>
              <w:t>，项目</w:t>
            </w:r>
            <w:r>
              <w:rPr>
                <w:rFonts w:hint="eastAsia"/>
                <w:sz w:val="24"/>
                <w:lang w:val="en-US" w:eastAsia="zh-CN"/>
              </w:rPr>
              <w:t>建设</w:t>
            </w:r>
            <w:r>
              <w:rPr>
                <w:rFonts w:hint="eastAsia"/>
                <w:sz w:val="24"/>
              </w:rPr>
              <w:t>是可行的。</w:t>
            </w:r>
          </w:p>
          <w:p w14:paraId="707F4B2C">
            <w:pPr>
              <w:pStyle w:val="40"/>
              <w:rPr>
                <w:rFonts w:hint="eastAsia"/>
                <w:sz w:val="24"/>
              </w:rPr>
            </w:pPr>
          </w:p>
          <w:p w14:paraId="49F5D8B7">
            <w:pPr>
              <w:pStyle w:val="40"/>
              <w:rPr>
                <w:rFonts w:hint="eastAsia"/>
                <w:sz w:val="24"/>
              </w:rPr>
            </w:pPr>
          </w:p>
          <w:p w14:paraId="42F24A37">
            <w:pPr>
              <w:pStyle w:val="40"/>
              <w:rPr>
                <w:rFonts w:hint="eastAsia"/>
                <w:sz w:val="24"/>
              </w:rPr>
            </w:pPr>
          </w:p>
          <w:p w14:paraId="05752800">
            <w:pPr>
              <w:pStyle w:val="40"/>
              <w:rPr>
                <w:rFonts w:hint="eastAsia"/>
                <w:sz w:val="24"/>
              </w:rPr>
            </w:pPr>
          </w:p>
          <w:p w14:paraId="32750C1B">
            <w:pPr>
              <w:pStyle w:val="40"/>
              <w:rPr>
                <w:rFonts w:hint="eastAsia"/>
                <w:sz w:val="24"/>
              </w:rPr>
            </w:pPr>
          </w:p>
          <w:p w14:paraId="077E6A1D">
            <w:pPr>
              <w:pStyle w:val="40"/>
              <w:rPr>
                <w:rFonts w:hint="eastAsia"/>
                <w:sz w:val="24"/>
              </w:rPr>
            </w:pPr>
          </w:p>
          <w:p w14:paraId="70B69F9E">
            <w:pPr>
              <w:pStyle w:val="40"/>
              <w:rPr>
                <w:rFonts w:hint="eastAsia"/>
                <w:sz w:val="24"/>
              </w:rPr>
            </w:pPr>
          </w:p>
          <w:p w14:paraId="680A5697">
            <w:pPr>
              <w:pStyle w:val="40"/>
              <w:rPr>
                <w:rFonts w:hint="eastAsia"/>
                <w:sz w:val="24"/>
              </w:rPr>
            </w:pPr>
          </w:p>
          <w:p w14:paraId="6EDC62F8">
            <w:pPr>
              <w:pStyle w:val="40"/>
              <w:rPr>
                <w:rFonts w:hint="eastAsia"/>
                <w:sz w:val="24"/>
              </w:rPr>
            </w:pPr>
          </w:p>
          <w:p w14:paraId="1CB20F73">
            <w:pPr>
              <w:pStyle w:val="40"/>
              <w:rPr>
                <w:rFonts w:hint="eastAsia"/>
                <w:sz w:val="24"/>
              </w:rPr>
            </w:pPr>
          </w:p>
          <w:p w14:paraId="58BF4FAF">
            <w:pPr>
              <w:pStyle w:val="40"/>
              <w:rPr>
                <w:rFonts w:hint="eastAsia"/>
                <w:sz w:val="24"/>
              </w:rPr>
            </w:pPr>
          </w:p>
          <w:p w14:paraId="23759254">
            <w:pPr>
              <w:pStyle w:val="40"/>
              <w:rPr>
                <w:rFonts w:hint="eastAsia"/>
                <w:sz w:val="24"/>
              </w:rPr>
            </w:pPr>
          </w:p>
          <w:p w14:paraId="09A4551E">
            <w:pPr>
              <w:pStyle w:val="40"/>
              <w:rPr>
                <w:rFonts w:hint="eastAsia"/>
                <w:sz w:val="24"/>
              </w:rPr>
            </w:pPr>
          </w:p>
          <w:p w14:paraId="22C978C3">
            <w:pPr>
              <w:pStyle w:val="40"/>
              <w:rPr>
                <w:rFonts w:hint="eastAsia"/>
                <w:sz w:val="24"/>
              </w:rPr>
            </w:pPr>
          </w:p>
          <w:p w14:paraId="0EF283A2">
            <w:pPr>
              <w:pStyle w:val="40"/>
              <w:rPr>
                <w:rFonts w:hint="eastAsia"/>
                <w:sz w:val="24"/>
              </w:rPr>
            </w:pPr>
          </w:p>
          <w:p w14:paraId="283B2FE4">
            <w:pPr>
              <w:pStyle w:val="40"/>
              <w:rPr>
                <w:rFonts w:hint="eastAsia"/>
                <w:sz w:val="24"/>
              </w:rPr>
            </w:pPr>
          </w:p>
          <w:p w14:paraId="78BAE9E8">
            <w:pPr>
              <w:pStyle w:val="40"/>
              <w:rPr>
                <w:rFonts w:hint="eastAsia"/>
                <w:sz w:val="24"/>
              </w:rPr>
            </w:pPr>
          </w:p>
          <w:p w14:paraId="1C0DACD4">
            <w:pPr>
              <w:pStyle w:val="40"/>
              <w:rPr>
                <w:rFonts w:hint="eastAsia"/>
                <w:sz w:val="24"/>
              </w:rPr>
            </w:pPr>
          </w:p>
          <w:p w14:paraId="6FBF693B">
            <w:pPr>
              <w:pStyle w:val="40"/>
              <w:rPr>
                <w:rFonts w:hint="eastAsia"/>
                <w:sz w:val="24"/>
              </w:rPr>
            </w:pPr>
          </w:p>
          <w:p w14:paraId="2F9F3237">
            <w:pPr>
              <w:pStyle w:val="40"/>
              <w:rPr>
                <w:rFonts w:hint="eastAsia"/>
                <w:sz w:val="24"/>
              </w:rPr>
            </w:pPr>
          </w:p>
          <w:p w14:paraId="57E91E85">
            <w:pPr>
              <w:pStyle w:val="40"/>
              <w:rPr>
                <w:rFonts w:hint="eastAsia"/>
                <w:sz w:val="24"/>
              </w:rPr>
            </w:pPr>
          </w:p>
          <w:p w14:paraId="673E9328">
            <w:pPr>
              <w:pStyle w:val="40"/>
              <w:rPr>
                <w:rFonts w:hint="eastAsia"/>
                <w:sz w:val="24"/>
              </w:rPr>
            </w:pPr>
          </w:p>
          <w:p w14:paraId="36FD47E6">
            <w:pPr>
              <w:pStyle w:val="40"/>
              <w:rPr>
                <w:rFonts w:hint="eastAsia"/>
                <w:sz w:val="24"/>
              </w:rPr>
            </w:pPr>
          </w:p>
          <w:p w14:paraId="2513062E">
            <w:pPr>
              <w:pStyle w:val="40"/>
              <w:rPr>
                <w:rFonts w:hint="eastAsia"/>
                <w:sz w:val="24"/>
              </w:rPr>
            </w:pPr>
          </w:p>
          <w:p w14:paraId="72BB4C1F">
            <w:pPr>
              <w:pStyle w:val="40"/>
              <w:rPr>
                <w:rFonts w:hint="eastAsia"/>
                <w:sz w:val="24"/>
              </w:rPr>
            </w:pPr>
          </w:p>
          <w:p w14:paraId="68709BA2">
            <w:pPr>
              <w:pStyle w:val="40"/>
              <w:rPr>
                <w:rFonts w:hint="eastAsia"/>
                <w:sz w:val="24"/>
              </w:rPr>
            </w:pPr>
          </w:p>
          <w:p w14:paraId="65B677B9">
            <w:pPr>
              <w:pStyle w:val="40"/>
              <w:rPr>
                <w:rFonts w:hint="eastAsia"/>
                <w:sz w:val="24"/>
              </w:rPr>
            </w:pPr>
          </w:p>
          <w:p w14:paraId="2E99B518">
            <w:pPr>
              <w:pStyle w:val="40"/>
              <w:rPr>
                <w:rFonts w:hint="eastAsia"/>
                <w:sz w:val="24"/>
              </w:rPr>
            </w:pPr>
          </w:p>
          <w:p w14:paraId="4B5A94FD">
            <w:pPr>
              <w:pStyle w:val="40"/>
              <w:rPr>
                <w:rFonts w:hint="eastAsia"/>
                <w:sz w:val="24"/>
              </w:rPr>
            </w:pPr>
          </w:p>
          <w:p w14:paraId="4EDCD406">
            <w:pPr>
              <w:pStyle w:val="40"/>
              <w:rPr>
                <w:rFonts w:hint="eastAsia"/>
                <w:sz w:val="24"/>
              </w:rPr>
            </w:pPr>
          </w:p>
          <w:p w14:paraId="382740A6">
            <w:pPr>
              <w:pStyle w:val="40"/>
              <w:rPr>
                <w:rFonts w:hint="eastAsia"/>
                <w:sz w:val="24"/>
              </w:rPr>
            </w:pPr>
          </w:p>
          <w:p w14:paraId="74874EE4">
            <w:pPr>
              <w:pStyle w:val="40"/>
              <w:rPr>
                <w:rFonts w:hint="eastAsia"/>
                <w:sz w:val="24"/>
              </w:rPr>
            </w:pPr>
          </w:p>
          <w:p w14:paraId="39F95E53">
            <w:pPr>
              <w:pStyle w:val="40"/>
              <w:rPr>
                <w:rFonts w:hint="eastAsia"/>
                <w:sz w:val="24"/>
              </w:rPr>
            </w:pPr>
          </w:p>
          <w:p w14:paraId="6D3D5E1C">
            <w:pPr>
              <w:pStyle w:val="40"/>
              <w:rPr>
                <w:rFonts w:hint="eastAsia"/>
                <w:sz w:val="24"/>
              </w:rPr>
            </w:pPr>
          </w:p>
          <w:p w14:paraId="7231129D">
            <w:pPr>
              <w:pStyle w:val="40"/>
              <w:rPr>
                <w:rFonts w:hint="default"/>
                <w:sz w:val="24"/>
                <w:lang w:val="en-US" w:eastAsia="zh-CN"/>
              </w:rPr>
            </w:pPr>
          </w:p>
          <w:p w14:paraId="0367EBE6">
            <w:pPr>
              <w:spacing w:before="120" w:beforeLines="50" w:line="360" w:lineRule="auto"/>
              <w:ind w:firstLine="480" w:firstLineChars="200"/>
              <w:contextualSpacing/>
              <w:rPr>
                <w:sz w:val="24"/>
              </w:rPr>
            </w:pPr>
          </w:p>
          <w:p w14:paraId="1D29AB2B">
            <w:pPr>
              <w:spacing w:line="460" w:lineRule="exact"/>
              <w:ind w:firstLine="480" w:firstLineChars="200"/>
              <w:rPr>
                <w:rFonts w:ascii="宋体" w:cs="宋体"/>
                <w:sz w:val="24"/>
              </w:rPr>
            </w:pPr>
          </w:p>
        </w:tc>
      </w:tr>
    </w:tbl>
    <w:p w14:paraId="327A12A3">
      <w:pPr>
        <w:pStyle w:val="40"/>
        <w:ind w:left="0" w:leftChars="0" w:firstLine="0" w:firstLineChars="0"/>
        <w:jc w:val="both"/>
        <w:rPr>
          <w:rFonts w:hint="default"/>
        </w:rPr>
        <w:sectPr>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4729D2EE">
      <w:pPr>
        <w:pStyle w:val="28"/>
        <w:adjustRightInd w:val="0"/>
        <w:snapToGrid w:val="0"/>
        <w:spacing w:before="0" w:beforeAutospacing="0" w:after="0" w:afterAutospacing="0" w:line="360" w:lineRule="auto"/>
        <w:outlineLvl w:val="0"/>
        <w:rPr>
          <w:rFonts w:hint="default" w:ascii="黑体" w:hAnsi="黑体" w:eastAsia="黑体"/>
          <w:snapToGrid w:val="0"/>
          <w:color w:val="000000"/>
          <w:sz w:val="32"/>
          <w:szCs w:val="32"/>
        </w:rPr>
      </w:pPr>
      <w:r>
        <w:rPr>
          <w:rFonts w:hint="default" w:ascii="黑体" w:hAnsi="黑体" w:eastAsia="黑体"/>
          <w:snapToGrid w:val="0"/>
          <w:color w:val="000000"/>
          <w:sz w:val="32"/>
          <w:szCs w:val="32"/>
        </w:rPr>
        <w:t>附表</w:t>
      </w:r>
    </w:p>
    <w:p w14:paraId="292C0999">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方正小标宋_GBK" w:hAnsi="黑体" w:eastAsia="方正小标宋_GBK"/>
          <w:snapToGrid w:val="0"/>
          <w:color w:val="000000"/>
          <w:sz w:val="38"/>
          <w:szCs w:val="38"/>
        </w:rPr>
      </w:pPr>
      <w:r>
        <w:rPr>
          <w:rFonts w:hint="default" w:ascii="方正小标宋_GBK" w:hAnsi="黑体" w:eastAsia="方正小标宋_GBK"/>
          <w:snapToGrid w:val="0"/>
          <w:color w:val="000000"/>
          <w:sz w:val="38"/>
          <w:szCs w:val="38"/>
        </w:rPr>
        <w:t>建设项目污染物排放量汇总表</w:t>
      </w:r>
    </w:p>
    <w:tbl>
      <w:tblPr>
        <w:tblStyle w:val="31"/>
        <w:tblW w:w="142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416"/>
        <w:gridCol w:w="1699"/>
        <w:gridCol w:w="1274"/>
        <w:gridCol w:w="1699"/>
        <w:gridCol w:w="1558"/>
        <w:gridCol w:w="1759"/>
        <w:gridCol w:w="1957"/>
        <w:gridCol w:w="1280"/>
      </w:tblGrid>
      <w:tr w14:paraId="203E7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87" w:type="dxa"/>
            <w:tcBorders>
              <w:tl2br w:val="single" w:color="auto" w:sz="4" w:space="0"/>
            </w:tcBorders>
            <w:noWrap w:val="0"/>
            <w:tcMar>
              <w:left w:w="28" w:type="dxa"/>
              <w:right w:w="28" w:type="dxa"/>
            </w:tcMar>
            <w:vAlign w:val="center"/>
          </w:tcPr>
          <w:p w14:paraId="7092922D">
            <w:pPr>
              <w:pStyle w:val="57"/>
              <w:spacing w:beforeLines="0" w:afterLines="0" w:line="240" w:lineRule="auto"/>
              <w:jc w:val="righ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项目</w:t>
            </w:r>
          </w:p>
          <w:p w14:paraId="02A2B4F8">
            <w:pPr>
              <w:pStyle w:val="57"/>
              <w:spacing w:beforeLines="0" w:afterLines="0" w:line="240" w:lineRule="auto"/>
              <w:jc w:val="lef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分类</w:t>
            </w:r>
          </w:p>
        </w:tc>
        <w:tc>
          <w:tcPr>
            <w:tcW w:w="1416" w:type="dxa"/>
            <w:noWrap w:val="0"/>
            <w:tcMar>
              <w:left w:w="28" w:type="dxa"/>
              <w:right w:w="28" w:type="dxa"/>
            </w:tcMar>
            <w:vAlign w:val="center"/>
          </w:tcPr>
          <w:p w14:paraId="5D441E32">
            <w:pPr>
              <w:pStyle w:val="57"/>
              <w:spacing w:beforeLines="0" w:afterLines="0" w:line="240" w:lineRule="auto"/>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污染物名称</w:t>
            </w:r>
          </w:p>
        </w:tc>
        <w:tc>
          <w:tcPr>
            <w:tcW w:w="1699" w:type="dxa"/>
            <w:noWrap w:val="0"/>
            <w:tcMar>
              <w:left w:w="28" w:type="dxa"/>
              <w:right w:w="28" w:type="dxa"/>
            </w:tcMar>
            <w:vAlign w:val="center"/>
          </w:tcPr>
          <w:p w14:paraId="1B442449">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14:paraId="1F5644B4">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1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spacing w:val="-6"/>
                <w:kern w:val="21"/>
                <w:szCs w:val="21"/>
              </w:rPr>
              <w:fldChar w:fldCharType="end"/>
            </w:r>
          </w:p>
        </w:tc>
        <w:tc>
          <w:tcPr>
            <w:tcW w:w="1274" w:type="dxa"/>
            <w:noWrap w:val="0"/>
            <w:tcMar>
              <w:left w:w="28" w:type="dxa"/>
              <w:right w:w="28" w:type="dxa"/>
            </w:tcMar>
            <w:vAlign w:val="center"/>
          </w:tcPr>
          <w:p w14:paraId="263847D1">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14:paraId="43CA83CD">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许可排放量</w:t>
            </w:r>
          </w:p>
          <w:p w14:paraId="6A611653">
            <w:pPr>
              <w:pStyle w:val="57"/>
              <w:spacing w:beforeLines="0" w:afterLines="0"/>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2 \* GB3 \* MERGEFORMAT </w:instrText>
            </w:r>
            <w:r>
              <w:rPr>
                <w:rFonts w:ascii="黑体" w:hAnsi="黑体" w:eastAsia="黑体"/>
                <w:snapToGrid w:val="0"/>
                <w:spacing w:val="-6"/>
                <w:kern w:val="21"/>
                <w:szCs w:val="21"/>
              </w:rPr>
              <w:fldChar w:fldCharType="separate"/>
            </w:r>
            <w:r>
              <w:rPr>
                <w:rFonts w:hint="eastAsia" w:ascii="黑体" w:hAnsi="黑体" w:eastAsia="黑体" w:cs="宋体"/>
                <w:snapToGrid w:val="0"/>
                <w:spacing w:val="-6"/>
                <w:kern w:val="21"/>
                <w:szCs w:val="21"/>
              </w:rPr>
              <w:t>②</w:t>
            </w:r>
            <w:r>
              <w:rPr>
                <w:rFonts w:ascii="黑体" w:hAnsi="黑体" w:eastAsia="黑体"/>
                <w:snapToGrid w:val="0"/>
                <w:spacing w:val="-6"/>
                <w:kern w:val="21"/>
                <w:szCs w:val="21"/>
              </w:rPr>
              <w:fldChar w:fldCharType="end"/>
            </w:r>
          </w:p>
        </w:tc>
        <w:tc>
          <w:tcPr>
            <w:tcW w:w="1699" w:type="dxa"/>
            <w:noWrap w:val="0"/>
            <w:tcMar>
              <w:left w:w="28" w:type="dxa"/>
              <w:right w:w="28" w:type="dxa"/>
            </w:tcMar>
            <w:vAlign w:val="center"/>
          </w:tcPr>
          <w:p w14:paraId="798CDE18">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在建工程</w:t>
            </w:r>
          </w:p>
          <w:p w14:paraId="4FF117F6">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3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spacing w:val="-6"/>
                <w:kern w:val="21"/>
                <w:szCs w:val="21"/>
              </w:rPr>
              <w:fldChar w:fldCharType="end"/>
            </w:r>
          </w:p>
        </w:tc>
        <w:tc>
          <w:tcPr>
            <w:tcW w:w="1558" w:type="dxa"/>
            <w:noWrap w:val="0"/>
            <w:tcMar>
              <w:left w:w="28" w:type="dxa"/>
              <w:right w:w="28" w:type="dxa"/>
            </w:tcMar>
            <w:vAlign w:val="center"/>
          </w:tcPr>
          <w:p w14:paraId="323643C0">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本项目</w:t>
            </w:r>
          </w:p>
          <w:p w14:paraId="701DA8AB">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4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spacing w:val="-6"/>
                <w:kern w:val="21"/>
                <w:szCs w:val="21"/>
              </w:rPr>
              <w:fldChar w:fldCharType="end"/>
            </w:r>
          </w:p>
        </w:tc>
        <w:tc>
          <w:tcPr>
            <w:tcW w:w="1759" w:type="dxa"/>
            <w:noWrap w:val="0"/>
            <w:tcMar>
              <w:left w:w="28" w:type="dxa"/>
              <w:right w:w="28" w:type="dxa"/>
            </w:tcMar>
            <w:vAlign w:val="center"/>
          </w:tcPr>
          <w:p w14:paraId="3FDB63B4">
            <w:pPr>
              <w:pStyle w:val="57"/>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以新带老削减量</w:t>
            </w:r>
          </w:p>
          <w:p w14:paraId="6C7C9CFE">
            <w:pPr>
              <w:pStyle w:val="57"/>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（新建项目不填）</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5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spacing w:val="-16"/>
                <w:kern w:val="21"/>
                <w:szCs w:val="21"/>
              </w:rPr>
              <w:fldChar w:fldCharType="end"/>
            </w:r>
          </w:p>
        </w:tc>
        <w:tc>
          <w:tcPr>
            <w:tcW w:w="1957" w:type="dxa"/>
            <w:noWrap w:val="0"/>
            <w:tcMar>
              <w:left w:w="28" w:type="dxa"/>
              <w:right w:w="28" w:type="dxa"/>
            </w:tcMar>
            <w:vAlign w:val="center"/>
          </w:tcPr>
          <w:p w14:paraId="50618771">
            <w:pPr>
              <w:pStyle w:val="57"/>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本项目建成后</w:t>
            </w:r>
          </w:p>
          <w:p w14:paraId="23F62B81">
            <w:pPr>
              <w:pStyle w:val="57"/>
              <w:spacing w:beforeLines="0" w:afterLines="0" w:line="240" w:lineRule="auto"/>
              <w:rPr>
                <w:rFonts w:ascii="黑体" w:hAnsi="黑体" w:eastAsia="黑体"/>
                <w:snapToGrid w:val="0"/>
                <w:spacing w:val="-16"/>
                <w:kern w:val="21"/>
                <w:szCs w:val="21"/>
              </w:rPr>
            </w:pPr>
            <w:r>
              <w:rPr>
                <w:rFonts w:hint="eastAsia" w:ascii="黑体" w:hAnsi="黑体" w:eastAsia="黑体"/>
                <w:snapToGrid w:val="0"/>
                <w:spacing w:val="-16"/>
                <w:kern w:val="21"/>
                <w:szCs w:val="21"/>
              </w:rPr>
              <w:t>全厂</w:t>
            </w:r>
            <w:r>
              <w:rPr>
                <w:rFonts w:ascii="黑体" w:hAnsi="黑体" w:eastAsia="黑体"/>
                <w:snapToGrid w:val="0"/>
                <w:spacing w:val="-16"/>
                <w:kern w:val="21"/>
                <w:szCs w:val="21"/>
              </w:rPr>
              <w:t>排放量（固</w:t>
            </w:r>
            <w:r>
              <w:rPr>
                <w:rFonts w:hint="eastAsia" w:ascii="黑体" w:hAnsi="黑体" w:eastAsia="黑体"/>
                <w:snapToGrid w:val="0"/>
                <w:spacing w:val="-16"/>
                <w:kern w:val="21"/>
                <w:szCs w:val="21"/>
              </w:rPr>
              <w:t>体</w:t>
            </w:r>
            <w:r>
              <w:rPr>
                <w:rFonts w:ascii="黑体" w:hAnsi="黑体" w:eastAsia="黑体"/>
                <w:snapToGrid w:val="0"/>
                <w:spacing w:val="-16"/>
                <w:kern w:val="21"/>
                <w:szCs w:val="21"/>
              </w:rPr>
              <w:t>废</w:t>
            </w:r>
            <w:r>
              <w:rPr>
                <w:rFonts w:hint="eastAsia" w:ascii="黑体" w:hAnsi="黑体" w:eastAsia="黑体"/>
                <w:snapToGrid w:val="0"/>
                <w:spacing w:val="-16"/>
                <w:kern w:val="21"/>
                <w:szCs w:val="21"/>
              </w:rPr>
              <w:t>物</w:t>
            </w:r>
            <w:r>
              <w:rPr>
                <w:rFonts w:ascii="黑体" w:hAnsi="黑体" w:eastAsia="黑体"/>
                <w:snapToGrid w:val="0"/>
                <w:spacing w:val="-16"/>
                <w:kern w:val="21"/>
                <w:szCs w:val="21"/>
              </w:rPr>
              <w:t>产生量）</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6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spacing w:val="-16"/>
                <w:kern w:val="21"/>
                <w:szCs w:val="21"/>
              </w:rPr>
              <w:fldChar w:fldCharType="end"/>
            </w:r>
          </w:p>
        </w:tc>
        <w:tc>
          <w:tcPr>
            <w:tcW w:w="1280" w:type="dxa"/>
            <w:noWrap w:val="0"/>
            <w:tcMar>
              <w:left w:w="28" w:type="dxa"/>
              <w:right w:w="28" w:type="dxa"/>
            </w:tcMar>
            <w:vAlign w:val="center"/>
          </w:tcPr>
          <w:p w14:paraId="1203B7F8">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变化量</w:t>
            </w:r>
          </w:p>
          <w:p w14:paraId="3475058F">
            <w:pPr>
              <w:pStyle w:val="57"/>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7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spacing w:val="-6"/>
                <w:kern w:val="21"/>
                <w:szCs w:val="21"/>
              </w:rPr>
              <w:fldChar w:fldCharType="end"/>
            </w:r>
          </w:p>
        </w:tc>
      </w:tr>
      <w:tr w14:paraId="69849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87" w:type="dxa"/>
            <w:noWrap w:val="0"/>
            <w:vAlign w:val="center"/>
          </w:tcPr>
          <w:p w14:paraId="21609D07">
            <w:pPr>
              <w:pStyle w:val="57"/>
              <w:spacing w:beforeLines="0" w:afterLines="0" w:line="240" w:lineRule="auto"/>
              <w:rPr>
                <w:rFonts w:hint="default" w:hAnsi="宋体" w:eastAsia="宋体" w:cs="宋体"/>
                <w:snapToGrid w:val="0"/>
                <w:kern w:val="21"/>
                <w:sz w:val="21"/>
                <w:szCs w:val="21"/>
                <w:lang w:val="en-US" w:eastAsia="zh-CN"/>
              </w:rPr>
            </w:pPr>
            <w:r>
              <w:rPr>
                <w:rFonts w:hint="eastAsia" w:hAnsi="宋体" w:cs="宋体"/>
                <w:snapToGrid w:val="0"/>
                <w:kern w:val="21"/>
                <w:sz w:val="21"/>
                <w:szCs w:val="21"/>
                <w:lang w:val="en-US" w:eastAsia="zh-CN"/>
              </w:rPr>
              <w:t>废气</w:t>
            </w:r>
          </w:p>
        </w:tc>
        <w:tc>
          <w:tcPr>
            <w:tcW w:w="1416" w:type="dxa"/>
            <w:noWrap w:val="0"/>
            <w:vAlign w:val="center"/>
          </w:tcPr>
          <w:p w14:paraId="39BB0B01">
            <w:pPr>
              <w:snapToGrid w:val="0"/>
              <w:jc w:val="center"/>
              <w:rPr>
                <w:rFonts w:hint="eastAsia" w:eastAsia="宋体"/>
                <w:sz w:val="21"/>
                <w:szCs w:val="21"/>
                <w:lang w:eastAsia="zh-CN"/>
              </w:rPr>
            </w:pPr>
            <w:r>
              <w:rPr>
                <w:rFonts w:hint="eastAsia"/>
                <w:sz w:val="21"/>
                <w:szCs w:val="21"/>
                <w:lang w:eastAsia="zh-CN"/>
              </w:rPr>
              <w:t>颗粒物</w:t>
            </w:r>
          </w:p>
        </w:tc>
        <w:tc>
          <w:tcPr>
            <w:tcW w:w="1699" w:type="dxa"/>
            <w:noWrap w:val="0"/>
            <w:vAlign w:val="center"/>
          </w:tcPr>
          <w:p w14:paraId="1A44DC09">
            <w:pPr>
              <w:snapToGrid w:val="0"/>
              <w:jc w:val="center"/>
              <w:rPr>
                <w:rFonts w:hint="eastAsia"/>
                <w:bCs/>
                <w:sz w:val="21"/>
                <w:szCs w:val="21"/>
              </w:rPr>
            </w:pPr>
            <w:r>
              <w:rPr>
                <w:rFonts w:hint="eastAsia"/>
                <w:bCs/>
                <w:sz w:val="21"/>
                <w:szCs w:val="21"/>
              </w:rPr>
              <w:t>/</w:t>
            </w:r>
          </w:p>
        </w:tc>
        <w:tc>
          <w:tcPr>
            <w:tcW w:w="1274" w:type="dxa"/>
            <w:noWrap w:val="0"/>
            <w:vAlign w:val="center"/>
          </w:tcPr>
          <w:p w14:paraId="4C7E9264">
            <w:pPr>
              <w:snapToGrid w:val="0"/>
              <w:jc w:val="center"/>
              <w:rPr>
                <w:rFonts w:hint="eastAsia"/>
                <w:bCs/>
                <w:sz w:val="21"/>
                <w:szCs w:val="21"/>
              </w:rPr>
            </w:pPr>
            <w:r>
              <w:rPr>
                <w:rFonts w:hint="eastAsia"/>
                <w:bCs/>
                <w:sz w:val="21"/>
                <w:szCs w:val="21"/>
              </w:rPr>
              <w:t>/</w:t>
            </w:r>
          </w:p>
        </w:tc>
        <w:tc>
          <w:tcPr>
            <w:tcW w:w="1699" w:type="dxa"/>
            <w:noWrap w:val="0"/>
            <w:vAlign w:val="center"/>
          </w:tcPr>
          <w:p w14:paraId="457E630C">
            <w:pPr>
              <w:pStyle w:val="57"/>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14:paraId="46997AC9">
            <w:pPr>
              <w:jc w:val="center"/>
              <w:rPr>
                <w:rFonts w:hint="default"/>
                <w:sz w:val="21"/>
                <w:szCs w:val="21"/>
                <w:lang w:val="en-US" w:eastAsia="zh-CN"/>
              </w:rPr>
            </w:pPr>
            <w:r>
              <w:rPr>
                <w:rFonts w:hint="eastAsia"/>
                <w:sz w:val="21"/>
                <w:szCs w:val="21"/>
                <w:lang w:val="en-US" w:eastAsia="zh-CN"/>
              </w:rPr>
              <w:t>0.01154</w:t>
            </w:r>
            <w:r>
              <w:rPr>
                <w:sz w:val="21"/>
                <w:szCs w:val="21"/>
              </w:rPr>
              <w:t>t/a</w:t>
            </w:r>
          </w:p>
        </w:tc>
        <w:tc>
          <w:tcPr>
            <w:tcW w:w="1759" w:type="dxa"/>
            <w:noWrap w:val="0"/>
            <w:vAlign w:val="center"/>
          </w:tcPr>
          <w:p w14:paraId="5FFB33D2">
            <w:pPr>
              <w:snapToGrid w:val="0"/>
              <w:jc w:val="center"/>
              <w:rPr>
                <w:rFonts w:hint="eastAsia"/>
                <w:bCs/>
                <w:sz w:val="21"/>
                <w:szCs w:val="21"/>
              </w:rPr>
            </w:pPr>
          </w:p>
        </w:tc>
        <w:tc>
          <w:tcPr>
            <w:tcW w:w="1957" w:type="dxa"/>
            <w:noWrap w:val="0"/>
            <w:vAlign w:val="center"/>
          </w:tcPr>
          <w:p w14:paraId="60A37539">
            <w:pPr>
              <w:jc w:val="center"/>
              <w:rPr>
                <w:rFonts w:hint="eastAsia"/>
                <w:sz w:val="21"/>
                <w:szCs w:val="21"/>
                <w:lang w:eastAsia="zh-CN"/>
              </w:rPr>
            </w:pPr>
            <w:r>
              <w:rPr>
                <w:rFonts w:hint="eastAsia"/>
                <w:sz w:val="21"/>
                <w:szCs w:val="21"/>
                <w:lang w:val="en-US" w:eastAsia="zh-CN"/>
              </w:rPr>
              <w:t>0.01154</w:t>
            </w:r>
            <w:r>
              <w:rPr>
                <w:sz w:val="21"/>
                <w:szCs w:val="21"/>
              </w:rPr>
              <w:t>t/a</w:t>
            </w:r>
          </w:p>
        </w:tc>
        <w:tc>
          <w:tcPr>
            <w:tcW w:w="1280" w:type="dxa"/>
            <w:noWrap w:val="0"/>
            <w:vAlign w:val="center"/>
          </w:tcPr>
          <w:p w14:paraId="605FBBA8">
            <w:pPr>
              <w:jc w:val="center"/>
              <w:rPr>
                <w:rFonts w:hint="eastAsia"/>
                <w:sz w:val="21"/>
                <w:szCs w:val="21"/>
              </w:rPr>
            </w:pPr>
            <w:r>
              <w:rPr>
                <w:rFonts w:hint="eastAsia"/>
                <w:sz w:val="21"/>
                <w:szCs w:val="21"/>
              </w:rPr>
              <w:t>+</w:t>
            </w:r>
            <w:r>
              <w:rPr>
                <w:rFonts w:hint="eastAsia"/>
                <w:sz w:val="21"/>
                <w:szCs w:val="21"/>
                <w:lang w:val="en-US" w:eastAsia="zh-CN"/>
              </w:rPr>
              <w:t>0.01154</w:t>
            </w:r>
            <w:r>
              <w:rPr>
                <w:sz w:val="21"/>
                <w:szCs w:val="21"/>
              </w:rPr>
              <w:t>t/a</w:t>
            </w:r>
          </w:p>
        </w:tc>
      </w:tr>
      <w:tr w14:paraId="7AC50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87" w:type="dxa"/>
            <w:vMerge w:val="restart"/>
            <w:noWrap w:val="0"/>
            <w:vAlign w:val="center"/>
          </w:tcPr>
          <w:p w14:paraId="33B0E75A">
            <w:pPr>
              <w:pStyle w:val="57"/>
              <w:spacing w:beforeLines="0" w:afterLines="0" w:line="240" w:lineRule="auto"/>
              <w:rPr>
                <w:rFonts w:hAnsi="宋体" w:cs="宋体"/>
                <w:snapToGrid w:val="0"/>
                <w:kern w:val="21"/>
                <w:sz w:val="21"/>
                <w:szCs w:val="21"/>
              </w:rPr>
            </w:pPr>
            <w:r>
              <w:rPr>
                <w:rFonts w:hint="eastAsia" w:hAnsi="宋体" w:cs="宋体"/>
                <w:snapToGrid w:val="0"/>
                <w:kern w:val="21"/>
                <w:sz w:val="21"/>
                <w:szCs w:val="21"/>
              </w:rPr>
              <w:t>废水</w:t>
            </w:r>
          </w:p>
        </w:tc>
        <w:tc>
          <w:tcPr>
            <w:tcW w:w="1416" w:type="dxa"/>
            <w:noWrap w:val="0"/>
            <w:vAlign w:val="center"/>
          </w:tcPr>
          <w:p w14:paraId="584A9AF8">
            <w:pPr>
              <w:snapToGrid w:val="0"/>
              <w:jc w:val="center"/>
              <w:rPr>
                <w:bCs/>
                <w:sz w:val="21"/>
                <w:szCs w:val="21"/>
              </w:rPr>
            </w:pPr>
            <w:r>
              <w:rPr>
                <w:bCs/>
                <w:sz w:val="21"/>
                <w:szCs w:val="21"/>
              </w:rPr>
              <w:t>COD</w:t>
            </w:r>
          </w:p>
        </w:tc>
        <w:tc>
          <w:tcPr>
            <w:tcW w:w="1699" w:type="dxa"/>
            <w:noWrap w:val="0"/>
            <w:vAlign w:val="center"/>
          </w:tcPr>
          <w:p w14:paraId="1877B3C9">
            <w:pPr>
              <w:widowControl/>
              <w:adjustRightInd w:val="0"/>
              <w:snapToGrid w:val="0"/>
              <w:jc w:val="center"/>
              <w:rPr>
                <w:rFonts w:hint="eastAsia"/>
                <w:bCs/>
                <w:sz w:val="21"/>
                <w:szCs w:val="21"/>
              </w:rPr>
            </w:pPr>
            <w:r>
              <w:rPr>
                <w:rFonts w:hint="eastAsia"/>
                <w:bCs/>
                <w:sz w:val="21"/>
                <w:szCs w:val="21"/>
              </w:rPr>
              <w:t>/</w:t>
            </w:r>
          </w:p>
        </w:tc>
        <w:tc>
          <w:tcPr>
            <w:tcW w:w="1274" w:type="dxa"/>
            <w:noWrap w:val="0"/>
            <w:vAlign w:val="center"/>
          </w:tcPr>
          <w:p w14:paraId="4FC78EB9">
            <w:pPr>
              <w:widowControl/>
              <w:adjustRightInd w:val="0"/>
              <w:snapToGrid w:val="0"/>
              <w:jc w:val="center"/>
              <w:rPr>
                <w:bCs/>
                <w:sz w:val="21"/>
                <w:szCs w:val="21"/>
              </w:rPr>
            </w:pPr>
            <w:r>
              <w:rPr>
                <w:rFonts w:hint="eastAsia"/>
                <w:sz w:val="21"/>
                <w:szCs w:val="21"/>
              </w:rPr>
              <w:t>/</w:t>
            </w:r>
          </w:p>
        </w:tc>
        <w:tc>
          <w:tcPr>
            <w:tcW w:w="1699" w:type="dxa"/>
            <w:noWrap w:val="0"/>
            <w:vAlign w:val="center"/>
          </w:tcPr>
          <w:p w14:paraId="7F284830">
            <w:pPr>
              <w:pStyle w:val="57"/>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14:paraId="0C97FD6B">
            <w:pPr>
              <w:jc w:val="center"/>
              <w:rPr>
                <w:rFonts w:hint="eastAsia" w:eastAsia="宋体"/>
                <w:sz w:val="21"/>
                <w:szCs w:val="21"/>
                <w:lang w:eastAsia="zh-CN"/>
              </w:rPr>
            </w:pPr>
            <w:r>
              <w:rPr>
                <w:rFonts w:hint="eastAsia"/>
                <w:sz w:val="21"/>
                <w:szCs w:val="21"/>
                <w:lang w:val="en-US" w:eastAsia="zh-CN"/>
              </w:rPr>
              <w:t>0</w:t>
            </w:r>
          </w:p>
        </w:tc>
        <w:tc>
          <w:tcPr>
            <w:tcW w:w="1759" w:type="dxa"/>
            <w:noWrap w:val="0"/>
            <w:vAlign w:val="center"/>
          </w:tcPr>
          <w:p w14:paraId="5C0023F7">
            <w:pPr>
              <w:jc w:val="center"/>
              <w:rPr>
                <w:sz w:val="21"/>
                <w:szCs w:val="21"/>
              </w:rPr>
            </w:pPr>
            <w:r>
              <w:rPr>
                <w:rFonts w:hint="eastAsia"/>
                <w:bCs/>
                <w:sz w:val="21"/>
                <w:szCs w:val="21"/>
              </w:rPr>
              <w:t>/</w:t>
            </w:r>
          </w:p>
        </w:tc>
        <w:tc>
          <w:tcPr>
            <w:tcW w:w="1957" w:type="dxa"/>
            <w:noWrap w:val="0"/>
            <w:vAlign w:val="center"/>
          </w:tcPr>
          <w:p w14:paraId="0392E0C2">
            <w:pPr>
              <w:jc w:val="center"/>
              <w:rPr>
                <w:sz w:val="21"/>
                <w:szCs w:val="21"/>
              </w:rPr>
            </w:pPr>
            <w:r>
              <w:rPr>
                <w:rFonts w:hint="eastAsia"/>
                <w:sz w:val="21"/>
                <w:szCs w:val="21"/>
                <w:lang w:val="en-US" w:eastAsia="zh-CN"/>
              </w:rPr>
              <w:t>0</w:t>
            </w:r>
          </w:p>
        </w:tc>
        <w:tc>
          <w:tcPr>
            <w:tcW w:w="1280" w:type="dxa"/>
            <w:noWrap w:val="0"/>
            <w:vAlign w:val="center"/>
          </w:tcPr>
          <w:p w14:paraId="79E23426">
            <w:pPr>
              <w:jc w:val="center"/>
              <w:rPr>
                <w:rFonts w:hint="eastAsia"/>
                <w:b/>
                <w:bCs/>
                <w:sz w:val="21"/>
                <w:szCs w:val="21"/>
              </w:rPr>
            </w:pPr>
            <w:r>
              <w:rPr>
                <w:rFonts w:hint="eastAsia"/>
                <w:sz w:val="21"/>
                <w:szCs w:val="21"/>
                <w:lang w:val="en-US" w:eastAsia="zh-CN"/>
              </w:rPr>
              <w:t>0</w:t>
            </w:r>
          </w:p>
        </w:tc>
      </w:tr>
      <w:tr w14:paraId="0ADC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87" w:type="dxa"/>
            <w:vMerge w:val="continue"/>
            <w:noWrap w:val="0"/>
            <w:vAlign w:val="center"/>
          </w:tcPr>
          <w:p w14:paraId="61769299">
            <w:pPr>
              <w:pStyle w:val="57"/>
              <w:spacing w:beforeLines="0" w:afterLines="0" w:line="240" w:lineRule="auto"/>
              <w:rPr>
                <w:rFonts w:hint="eastAsia" w:hAnsi="宋体" w:cs="宋体"/>
                <w:snapToGrid w:val="0"/>
                <w:kern w:val="21"/>
                <w:sz w:val="21"/>
                <w:szCs w:val="21"/>
              </w:rPr>
            </w:pPr>
          </w:p>
        </w:tc>
        <w:tc>
          <w:tcPr>
            <w:tcW w:w="1416" w:type="dxa"/>
            <w:noWrap w:val="0"/>
            <w:vAlign w:val="center"/>
          </w:tcPr>
          <w:p w14:paraId="271D2055">
            <w:pPr>
              <w:snapToGrid w:val="0"/>
              <w:jc w:val="center"/>
              <w:rPr>
                <w:bCs/>
                <w:sz w:val="21"/>
                <w:szCs w:val="21"/>
              </w:rPr>
            </w:pPr>
            <w:r>
              <w:rPr>
                <w:rFonts w:hint="eastAsia"/>
                <w:bCs/>
                <w:sz w:val="21"/>
                <w:szCs w:val="21"/>
              </w:rPr>
              <w:t>SS</w:t>
            </w:r>
          </w:p>
        </w:tc>
        <w:tc>
          <w:tcPr>
            <w:tcW w:w="1699" w:type="dxa"/>
            <w:noWrap w:val="0"/>
            <w:vAlign w:val="center"/>
          </w:tcPr>
          <w:p w14:paraId="453C4339">
            <w:pPr>
              <w:widowControl/>
              <w:adjustRightInd w:val="0"/>
              <w:snapToGrid w:val="0"/>
              <w:jc w:val="center"/>
              <w:rPr>
                <w:rFonts w:hint="eastAsia"/>
                <w:bCs/>
                <w:sz w:val="21"/>
                <w:szCs w:val="21"/>
              </w:rPr>
            </w:pPr>
            <w:r>
              <w:rPr>
                <w:rFonts w:hint="eastAsia"/>
                <w:bCs/>
                <w:sz w:val="21"/>
                <w:szCs w:val="21"/>
              </w:rPr>
              <w:t>/</w:t>
            </w:r>
          </w:p>
        </w:tc>
        <w:tc>
          <w:tcPr>
            <w:tcW w:w="1274" w:type="dxa"/>
            <w:noWrap w:val="0"/>
            <w:vAlign w:val="center"/>
          </w:tcPr>
          <w:p w14:paraId="0B70A497">
            <w:pPr>
              <w:widowControl/>
              <w:adjustRightInd w:val="0"/>
              <w:snapToGrid w:val="0"/>
              <w:jc w:val="center"/>
              <w:rPr>
                <w:rFonts w:hint="eastAsia"/>
                <w:sz w:val="21"/>
                <w:szCs w:val="21"/>
              </w:rPr>
            </w:pPr>
            <w:r>
              <w:rPr>
                <w:rFonts w:hint="eastAsia"/>
                <w:bCs/>
                <w:sz w:val="21"/>
                <w:szCs w:val="21"/>
              </w:rPr>
              <w:t>/</w:t>
            </w:r>
          </w:p>
        </w:tc>
        <w:tc>
          <w:tcPr>
            <w:tcW w:w="1699" w:type="dxa"/>
            <w:noWrap w:val="0"/>
            <w:vAlign w:val="center"/>
          </w:tcPr>
          <w:p w14:paraId="3BBD0D24">
            <w:pPr>
              <w:jc w:val="center"/>
              <w:rPr>
                <w:snapToGrid w:val="0"/>
                <w:kern w:val="21"/>
                <w:sz w:val="21"/>
                <w:szCs w:val="21"/>
              </w:rPr>
            </w:pPr>
            <w:r>
              <w:rPr>
                <w:rFonts w:hint="eastAsia"/>
                <w:bCs/>
                <w:sz w:val="21"/>
                <w:szCs w:val="21"/>
              </w:rPr>
              <w:t>/</w:t>
            </w:r>
          </w:p>
        </w:tc>
        <w:tc>
          <w:tcPr>
            <w:tcW w:w="1558" w:type="dxa"/>
            <w:noWrap w:val="0"/>
            <w:vAlign w:val="center"/>
          </w:tcPr>
          <w:p w14:paraId="0808DDA1">
            <w:pPr>
              <w:jc w:val="center"/>
              <w:rPr>
                <w:rFonts w:hint="eastAsia" w:eastAsia="宋体"/>
                <w:sz w:val="21"/>
                <w:szCs w:val="21"/>
                <w:lang w:eastAsia="zh-CN"/>
              </w:rPr>
            </w:pPr>
            <w:r>
              <w:rPr>
                <w:rFonts w:hint="eastAsia"/>
                <w:sz w:val="21"/>
                <w:szCs w:val="21"/>
                <w:lang w:val="en-US" w:eastAsia="zh-CN"/>
              </w:rPr>
              <w:t>0</w:t>
            </w:r>
          </w:p>
        </w:tc>
        <w:tc>
          <w:tcPr>
            <w:tcW w:w="1759" w:type="dxa"/>
            <w:noWrap w:val="0"/>
            <w:vAlign w:val="center"/>
          </w:tcPr>
          <w:p w14:paraId="349FA353">
            <w:pPr>
              <w:jc w:val="center"/>
              <w:rPr>
                <w:rFonts w:hint="eastAsia"/>
                <w:bCs/>
                <w:sz w:val="21"/>
                <w:szCs w:val="21"/>
              </w:rPr>
            </w:pPr>
            <w:r>
              <w:rPr>
                <w:rFonts w:hint="eastAsia"/>
                <w:bCs/>
                <w:sz w:val="21"/>
                <w:szCs w:val="21"/>
              </w:rPr>
              <w:t>/</w:t>
            </w:r>
          </w:p>
        </w:tc>
        <w:tc>
          <w:tcPr>
            <w:tcW w:w="1957" w:type="dxa"/>
            <w:noWrap w:val="0"/>
            <w:vAlign w:val="center"/>
          </w:tcPr>
          <w:p w14:paraId="5B248CA4">
            <w:pPr>
              <w:jc w:val="center"/>
              <w:rPr>
                <w:rFonts w:hint="eastAsia"/>
                <w:sz w:val="21"/>
                <w:szCs w:val="21"/>
              </w:rPr>
            </w:pPr>
            <w:r>
              <w:rPr>
                <w:rFonts w:hint="eastAsia"/>
                <w:sz w:val="21"/>
                <w:szCs w:val="21"/>
                <w:lang w:val="en-US" w:eastAsia="zh-CN"/>
              </w:rPr>
              <w:t>0</w:t>
            </w:r>
          </w:p>
        </w:tc>
        <w:tc>
          <w:tcPr>
            <w:tcW w:w="1280" w:type="dxa"/>
            <w:noWrap w:val="0"/>
            <w:vAlign w:val="center"/>
          </w:tcPr>
          <w:p w14:paraId="2EBB30C6">
            <w:pPr>
              <w:jc w:val="center"/>
              <w:rPr>
                <w:rFonts w:hint="eastAsia"/>
                <w:b/>
                <w:bCs/>
                <w:sz w:val="21"/>
                <w:szCs w:val="21"/>
              </w:rPr>
            </w:pPr>
            <w:r>
              <w:rPr>
                <w:rFonts w:hint="eastAsia"/>
                <w:sz w:val="21"/>
                <w:szCs w:val="21"/>
                <w:lang w:val="en-US" w:eastAsia="zh-CN"/>
              </w:rPr>
              <w:t>0</w:t>
            </w:r>
          </w:p>
        </w:tc>
      </w:tr>
      <w:tr w14:paraId="5A83B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87" w:type="dxa"/>
            <w:vMerge w:val="continue"/>
            <w:noWrap w:val="0"/>
            <w:vAlign w:val="center"/>
          </w:tcPr>
          <w:p w14:paraId="5234B998">
            <w:pPr>
              <w:pStyle w:val="57"/>
              <w:spacing w:beforeLines="0" w:afterLines="0" w:line="240" w:lineRule="auto"/>
              <w:rPr>
                <w:rFonts w:hAnsi="宋体" w:cs="宋体"/>
                <w:snapToGrid w:val="0"/>
                <w:kern w:val="21"/>
                <w:sz w:val="21"/>
                <w:szCs w:val="21"/>
              </w:rPr>
            </w:pPr>
          </w:p>
        </w:tc>
        <w:tc>
          <w:tcPr>
            <w:tcW w:w="1416" w:type="dxa"/>
            <w:noWrap w:val="0"/>
            <w:vAlign w:val="center"/>
          </w:tcPr>
          <w:p w14:paraId="5BB4741E">
            <w:pPr>
              <w:snapToGrid w:val="0"/>
              <w:jc w:val="center"/>
              <w:rPr>
                <w:bCs/>
                <w:sz w:val="21"/>
                <w:szCs w:val="21"/>
              </w:rPr>
            </w:pPr>
            <w:r>
              <w:rPr>
                <w:bCs/>
                <w:sz w:val="21"/>
                <w:szCs w:val="21"/>
              </w:rPr>
              <w:t>氨氮</w:t>
            </w:r>
          </w:p>
        </w:tc>
        <w:tc>
          <w:tcPr>
            <w:tcW w:w="1699" w:type="dxa"/>
            <w:noWrap w:val="0"/>
            <w:vAlign w:val="center"/>
          </w:tcPr>
          <w:p w14:paraId="6534C481">
            <w:pPr>
              <w:widowControl/>
              <w:adjustRightInd w:val="0"/>
              <w:snapToGrid w:val="0"/>
              <w:jc w:val="center"/>
              <w:rPr>
                <w:rFonts w:hint="eastAsia"/>
                <w:bCs/>
                <w:sz w:val="21"/>
                <w:szCs w:val="21"/>
              </w:rPr>
            </w:pPr>
            <w:r>
              <w:rPr>
                <w:rFonts w:hint="eastAsia"/>
                <w:bCs/>
                <w:sz w:val="21"/>
                <w:szCs w:val="21"/>
              </w:rPr>
              <w:t>/</w:t>
            </w:r>
          </w:p>
        </w:tc>
        <w:tc>
          <w:tcPr>
            <w:tcW w:w="1274" w:type="dxa"/>
            <w:noWrap w:val="0"/>
            <w:vAlign w:val="center"/>
          </w:tcPr>
          <w:p w14:paraId="0B728309">
            <w:pPr>
              <w:widowControl/>
              <w:adjustRightInd w:val="0"/>
              <w:snapToGrid w:val="0"/>
              <w:jc w:val="center"/>
              <w:rPr>
                <w:bCs/>
                <w:sz w:val="21"/>
                <w:szCs w:val="21"/>
              </w:rPr>
            </w:pPr>
            <w:r>
              <w:rPr>
                <w:rFonts w:hint="eastAsia"/>
                <w:sz w:val="21"/>
                <w:szCs w:val="21"/>
              </w:rPr>
              <w:t>/</w:t>
            </w:r>
          </w:p>
        </w:tc>
        <w:tc>
          <w:tcPr>
            <w:tcW w:w="1699" w:type="dxa"/>
            <w:noWrap w:val="0"/>
            <w:vAlign w:val="center"/>
          </w:tcPr>
          <w:p w14:paraId="171C9698">
            <w:pPr>
              <w:pStyle w:val="57"/>
              <w:spacing w:beforeLines="0" w:afterLines="0" w:line="240" w:lineRule="auto"/>
              <w:rPr>
                <w:rFonts w:ascii="Times New Roman"/>
                <w:snapToGrid w:val="0"/>
                <w:kern w:val="21"/>
                <w:sz w:val="21"/>
                <w:szCs w:val="21"/>
              </w:rPr>
            </w:pPr>
            <w:r>
              <w:rPr>
                <w:rFonts w:ascii="Times New Roman"/>
                <w:snapToGrid w:val="0"/>
                <w:kern w:val="21"/>
                <w:sz w:val="21"/>
                <w:szCs w:val="21"/>
              </w:rPr>
              <w:t>/</w:t>
            </w:r>
          </w:p>
        </w:tc>
        <w:tc>
          <w:tcPr>
            <w:tcW w:w="1558" w:type="dxa"/>
            <w:noWrap w:val="0"/>
            <w:vAlign w:val="center"/>
          </w:tcPr>
          <w:p w14:paraId="2177C48C">
            <w:pPr>
              <w:jc w:val="center"/>
              <w:rPr>
                <w:rFonts w:hint="eastAsia" w:eastAsia="宋体"/>
                <w:sz w:val="21"/>
                <w:szCs w:val="21"/>
                <w:lang w:eastAsia="zh-CN"/>
              </w:rPr>
            </w:pPr>
            <w:r>
              <w:rPr>
                <w:rFonts w:hint="eastAsia"/>
                <w:sz w:val="21"/>
                <w:szCs w:val="21"/>
                <w:lang w:val="en-US" w:eastAsia="zh-CN"/>
              </w:rPr>
              <w:t>0</w:t>
            </w:r>
          </w:p>
        </w:tc>
        <w:tc>
          <w:tcPr>
            <w:tcW w:w="1759" w:type="dxa"/>
            <w:noWrap w:val="0"/>
            <w:vAlign w:val="center"/>
          </w:tcPr>
          <w:p w14:paraId="5EFC5F74">
            <w:pPr>
              <w:jc w:val="center"/>
              <w:rPr>
                <w:sz w:val="21"/>
                <w:szCs w:val="21"/>
              </w:rPr>
            </w:pPr>
            <w:r>
              <w:rPr>
                <w:rFonts w:hint="eastAsia"/>
                <w:bCs/>
                <w:sz w:val="21"/>
                <w:szCs w:val="21"/>
              </w:rPr>
              <w:t>/</w:t>
            </w:r>
          </w:p>
        </w:tc>
        <w:tc>
          <w:tcPr>
            <w:tcW w:w="1957" w:type="dxa"/>
            <w:noWrap w:val="0"/>
            <w:vAlign w:val="center"/>
          </w:tcPr>
          <w:p w14:paraId="4A3F33F5">
            <w:pPr>
              <w:jc w:val="center"/>
              <w:rPr>
                <w:rFonts w:hint="eastAsia"/>
                <w:sz w:val="21"/>
                <w:szCs w:val="21"/>
              </w:rPr>
            </w:pPr>
            <w:r>
              <w:rPr>
                <w:rFonts w:hint="eastAsia"/>
                <w:sz w:val="21"/>
                <w:szCs w:val="21"/>
                <w:lang w:val="en-US" w:eastAsia="zh-CN"/>
              </w:rPr>
              <w:t>0</w:t>
            </w:r>
          </w:p>
        </w:tc>
        <w:tc>
          <w:tcPr>
            <w:tcW w:w="1280" w:type="dxa"/>
            <w:noWrap w:val="0"/>
            <w:vAlign w:val="center"/>
          </w:tcPr>
          <w:p w14:paraId="200D9B0B">
            <w:pPr>
              <w:jc w:val="center"/>
              <w:rPr>
                <w:rFonts w:hint="eastAsia"/>
                <w:b/>
                <w:bCs/>
                <w:sz w:val="21"/>
                <w:szCs w:val="21"/>
              </w:rPr>
            </w:pPr>
            <w:r>
              <w:rPr>
                <w:rFonts w:hint="eastAsia"/>
                <w:sz w:val="21"/>
                <w:szCs w:val="21"/>
                <w:lang w:val="en-US" w:eastAsia="zh-CN"/>
              </w:rPr>
              <w:t>0</w:t>
            </w:r>
          </w:p>
        </w:tc>
      </w:tr>
      <w:tr w14:paraId="3D24C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587" w:type="dxa"/>
            <w:vMerge w:val="restart"/>
            <w:noWrap w:val="0"/>
            <w:vAlign w:val="center"/>
          </w:tcPr>
          <w:p w14:paraId="4E2A519B">
            <w:pPr>
              <w:pStyle w:val="57"/>
              <w:spacing w:beforeLines="0" w:afterLines="0" w:line="240" w:lineRule="auto"/>
              <w:rPr>
                <w:rFonts w:hint="eastAsia" w:hAnsi="宋体" w:cs="宋体"/>
                <w:snapToGrid w:val="0"/>
                <w:kern w:val="21"/>
                <w:sz w:val="21"/>
                <w:szCs w:val="21"/>
              </w:rPr>
            </w:pPr>
            <w:r>
              <w:rPr>
                <w:rFonts w:hint="eastAsia" w:hAnsi="宋体" w:cs="宋体"/>
                <w:snapToGrid w:val="0"/>
                <w:kern w:val="21"/>
                <w:sz w:val="21"/>
                <w:szCs w:val="21"/>
              </w:rPr>
              <w:t>一般工业</w:t>
            </w:r>
          </w:p>
          <w:p w14:paraId="37C5FD0B">
            <w:pPr>
              <w:pStyle w:val="57"/>
              <w:spacing w:beforeLines="0" w:afterLines="0" w:line="240" w:lineRule="auto"/>
              <w:rPr>
                <w:rFonts w:hAnsi="宋体" w:cs="宋体"/>
                <w:snapToGrid w:val="0"/>
                <w:kern w:val="21"/>
                <w:sz w:val="21"/>
                <w:szCs w:val="21"/>
              </w:rPr>
            </w:pPr>
            <w:r>
              <w:rPr>
                <w:rFonts w:hint="eastAsia" w:hAnsi="宋体" w:cs="宋体"/>
                <w:snapToGrid w:val="0"/>
                <w:kern w:val="21"/>
                <w:sz w:val="21"/>
                <w:szCs w:val="21"/>
              </w:rPr>
              <w:t>固体废物</w:t>
            </w:r>
          </w:p>
        </w:tc>
        <w:tc>
          <w:tcPr>
            <w:tcW w:w="1416" w:type="dxa"/>
            <w:noWrap w:val="0"/>
            <w:vAlign w:val="center"/>
          </w:tcPr>
          <w:p w14:paraId="0C3085CA">
            <w:pPr>
              <w:snapToGrid w:val="0"/>
              <w:spacing w:line="240" w:lineRule="atLeast"/>
              <w:jc w:val="center"/>
              <w:rPr>
                <w:rFonts w:hint="default"/>
                <w:bCs/>
                <w:sz w:val="21"/>
                <w:szCs w:val="21"/>
                <w:lang w:val="en-US"/>
              </w:rPr>
            </w:pPr>
            <w:r>
              <w:rPr>
                <w:rFonts w:hint="eastAsia"/>
                <w:bCs/>
                <w:sz w:val="21"/>
                <w:szCs w:val="21"/>
                <w:lang w:val="en-US" w:eastAsia="zh-CN"/>
              </w:rPr>
              <w:t>尾砂底泥</w:t>
            </w:r>
          </w:p>
        </w:tc>
        <w:tc>
          <w:tcPr>
            <w:tcW w:w="1699" w:type="dxa"/>
            <w:noWrap w:val="0"/>
            <w:vAlign w:val="center"/>
          </w:tcPr>
          <w:p w14:paraId="50656075">
            <w:pPr>
              <w:widowControl/>
              <w:adjustRightInd w:val="0"/>
              <w:snapToGrid w:val="0"/>
              <w:jc w:val="center"/>
              <w:rPr>
                <w:rFonts w:hint="eastAsia"/>
                <w:sz w:val="21"/>
                <w:szCs w:val="21"/>
              </w:rPr>
            </w:pPr>
            <w:r>
              <w:rPr>
                <w:rFonts w:hint="eastAsia"/>
                <w:bCs/>
                <w:sz w:val="21"/>
                <w:szCs w:val="21"/>
              </w:rPr>
              <w:t>/</w:t>
            </w:r>
          </w:p>
        </w:tc>
        <w:tc>
          <w:tcPr>
            <w:tcW w:w="1274" w:type="dxa"/>
            <w:noWrap w:val="0"/>
            <w:vAlign w:val="center"/>
          </w:tcPr>
          <w:p w14:paraId="78830D26">
            <w:pPr>
              <w:widowControl/>
              <w:adjustRightInd w:val="0"/>
              <w:snapToGrid w:val="0"/>
              <w:jc w:val="center"/>
              <w:rPr>
                <w:sz w:val="21"/>
                <w:szCs w:val="21"/>
              </w:rPr>
            </w:pPr>
            <w:r>
              <w:rPr>
                <w:rFonts w:hint="eastAsia"/>
                <w:sz w:val="21"/>
                <w:szCs w:val="21"/>
              </w:rPr>
              <w:t>/</w:t>
            </w:r>
          </w:p>
        </w:tc>
        <w:tc>
          <w:tcPr>
            <w:tcW w:w="1699" w:type="dxa"/>
            <w:noWrap w:val="0"/>
            <w:vAlign w:val="center"/>
          </w:tcPr>
          <w:p w14:paraId="723543DC">
            <w:pPr>
              <w:pStyle w:val="57"/>
              <w:spacing w:beforeLines="0" w:afterLines="0" w:line="240" w:lineRule="auto"/>
              <w:rPr>
                <w:rFonts w:ascii="Times New Roman"/>
                <w:sz w:val="21"/>
                <w:szCs w:val="21"/>
              </w:rPr>
            </w:pPr>
            <w:r>
              <w:rPr>
                <w:rFonts w:ascii="Times New Roman"/>
                <w:snapToGrid w:val="0"/>
                <w:kern w:val="21"/>
                <w:sz w:val="21"/>
                <w:szCs w:val="21"/>
              </w:rPr>
              <w:t>/</w:t>
            </w:r>
          </w:p>
        </w:tc>
        <w:tc>
          <w:tcPr>
            <w:tcW w:w="1558" w:type="dxa"/>
            <w:noWrap w:val="0"/>
            <w:vAlign w:val="center"/>
          </w:tcPr>
          <w:p w14:paraId="17222122">
            <w:pPr>
              <w:pStyle w:val="2"/>
              <w:spacing w:before="0" w:after="0" w:line="240" w:lineRule="auto"/>
              <w:ind w:left="0" w:firstLine="0"/>
              <w:jc w:val="center"/>
              <w:rPr>
                <w:rFonts w:hint="eastAsia" w:eastAsia="宋体"/>
                <w:bCs w:val="0"/>
                <w:color w:val="auto"/>
                <w:sz w:val="21"/>
                <w:szCs w:val="21"/>
              </w:rPr>
            </w:pPr>
            <w:r>
              <w:rPr>
                <w:rFonts w:hint="eastAsia"/>
                <w:b w:val="0"/>
                <w:bCs w:val="0"/>
                <w:color w:val="auto"/>
                <w:sz w:val="21"/>
                <w:szCs w:val="21"/>
                <w:lang w:val="en-US" w:eastAsia="zh-CN"/>
              </w:rPr>
              <w:t>0.7</w:t>
            </w:r>
            <w:r>
              <w:rPr>
                <w:b w:val="0"/>
                <w:bCs w:val="0"/>
                <w:color w:val="auto"/>
                <w:sz w:val="21"/>
                <w:szCs w:val="21"/>
              </w:rPr>
              <w:t>t/a</w:t>
            </w:r>
          </w:p>
        </w:tc>
        <w:tc>
          <w:tcPr>
            <w:tcW w:w="1759" w:type="dxa"/>
            <w:noWrap w:val="0"/>
            <w:vAlign w:val="center"/>
          </w:tcPr>
          <w:p w14:paraId="7DA12BD9">
            <w:pPr>
              <w:jc w:val="center"/>
              <w:rPr>
                <w:sz w:val="21"/>
                <w:szCs w:val="21"/>
              </w:rPr>
            </w:pPr>
            <w:r>
              <w:rPr>
                <w:rFonts w:hint="eastAsia"/>
                <w:bCs/>
                <w:sz w:val="21"/>
                <w:szCs w:val="21"/>
              </w:rPr>
              <w:t>/</w:t>
            </w:r>
          </w:p>
        </w:tc>
        <w:tc>
          <w:tcPr>
            <w:tcW w:w="1957" w:type="dxa"/>
            <w:noWrap w:val="0"/>
            <w:vAlign w:val="center"/>
          </w:tcPr>
          <w:p w14:paraId="6104CFF4">
            <w:pPr>
              <w:pStyle w:val="2"/>
              <w:spacing w:before="0" w:after="0" w:line="240" w:lineRule="auto"/>
              <w:ind w:left="0" w:firstLine="0"/>
              <w:jc w:val="center"/>
              <w:rPr>
                <w:bCs w:val="0"/>
                <w:color w:val="auto"/>
                <w:sz w:val="21"/>
                <w:szCs w:val="21"/>
              </w:rPr>
            </w:pPr>
            <w:r>
              <w:rPr>
                <w:rFonts w:hint="eastAsia"/>
                <w:b w:val="0"/>
                <w:bCs w:val="0"/>
                <w:color w:val="auto"/>
                <w:sz w:val="21"/>
                <w:szCs w:val="21"/>
                <w:lang w:val="en-US" w:eastAsia="zh-CN"/>
              </w:rPr>
              <w:t>0.7</w:t>
            </w:r>
            <w:r>
              <w:rPr>
                <w:b w:val="0"/>
                <w:bCs w:val="0"/>
                <w:color w:val="auto"/>
                <w:sz w:val="21"/>
                <w:szCs w:val="21"/>
              </w:rPr>
              <w:t>t/a</w:t>
            </w:r>
          </w:p>
        </w:tc>
        <w:tc>
          <w:tcPr>
            <w:tcW w:w="1280" w:type="dxa"/>
            <w:noWrap w:val="0"/>
            <w:vAlign w:val="center"/>
          </w:tcPr>
          <w:p w14:paraId="765EE9FF">
            <w:pPr>
              <w:pStyle w:val="2"/>
              <w:spacing w:before="0" w:after="0" w:line="240" w:lineRule="auto"/>
              <w:ind w:left="0" w:firstLine="0"/>
              <w:jc w:val="center"/>
              <w:rPr>
                <w:bCs w:val="0"/>
                <w:color w:val="auto"/>
                <w:sz w:val="21"/>
                <w:szCs w:val="21"/>
              </w:rPr>
            </w:pPr>
            <w:r>
              <w:rPr>
                <w:rFonts w:hint="eastAsia" w:eastAsia="宋体"/>
                <w:b w:val="0"/>
                <w:bCs w:val="0"/>
                <w:color w:val="auto"/>
                <w:sz w:val="21"/>
                <w:szCs w:val="21"/>
              </w:rPr>
              <w:t>+</w:t>
            </w:r>
            <w:r>
              <w:rPr>
                <w:rFonts w:hint="eastAsia" w:eastAsia="宋体"/>
                <w:b w:val="0"/>
                <w:bCs w:val="0"/>
                <w:color w:val="auto"/>
                <w:sz w:val="21"/>
                <w:szCs w:val="21"/>
                <w:lang w:val="en-US" w:eastAsia="zh-CN"/>
              </w:rPr>
              <w:t>0.7</w:t>
            </w:r>
            <w:r>
              <w:rPr>
                <w:b w:val="0"/>
                <w:bCs w:val="0"/>
                <w:color w:val="auto"/>
                <w:sz w:val="21"/>
                <w:szCs w:val="21"/>
              </w:rPr>
              <w:t>t/a</w:t>
            </w:r>
          </w:p>
        </w:tc>
      </w:tr>
      <w:tr w14:paraId="65A3F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7" w:type="dxa"/>
            <w:vMerge w:val="continue"/>
            <w:noWrap w:val="0"/>
            <w:vAlign w:val="center"/>
          </w:tcPr>
          <w:p w14:paraId="0CC12972">
            <w:pPr>
              <w:pStyle w:val="57"/>
              <w:spacing w:beforeLines="0" w:afterLines="0" w:line="240" w:lineRule="auto"/>
              <w:rPr>
                <w:rFonts w:hint="eastAsia" w:hAnsi="宋体" w:cs="宋体"/>
                <w:snapToGrid w:val="0"/>
                <w:kern w:val="21"/>
                <w:sz w:val="21"/>
                <w:szCs w:val="21"/>
              </w:rPr>
            </w:pPr>
          </w:p>
        </w:tc>
        <w:tc>
          <w:tcPr>
            <w:tcW w:w="1416" w:type="dxa"/>
            <w:noWrap w:val="0"/>
            <w:vAlign w:val="center"/>
          </w:tcPr>
          <w:p w14:paraId="3D730951">
            <w:pPr>
              <w:snapToGrid w:val="0"/>
              <w:spacing w:line="240" w:lineRule="atLeast"/>
              <w:jc w:val="center"/>
              <w:rPr>
                <w:rFonts w:hint="eastAsia" w:eastAsia="宋体"/>
                <w:sz w:val="21"/>
                <w:szCs w:val="21"/>
                <w:lang w:eastAsia="zh-CN"/>
              </w:rPr>
            </w:pPr>
            <w:r>
              <w:rPr>
                <w:rFonts w:hint="eastAsia"/>
                <w:sz w:val="21"/>
                <w:szCs w:val="21"/>
              </w:rPr>
              <w:t>除尘</w:t>
            </w:r>
            <w:r>
              <w:rPr>
                <w:rFonts w:hint="eastAsia"/>
                <w:sz w:val="21"/>
                <w:szCs w:val="21"/>
                <w:lang w:eastAsia="zh-CN"/>
              </w:rPr>
              <w:t>灰</w:t>
            </w:r>
          </w:p>
        </w:tc>
        <w:tc>
          <w:tcPr>
            <w:tcW w:w="1699" w:type="dxa"/>
            <w:noWrap w:val="0"/>
            <w:vAlign w:val="center"/>
          </w:tcPr>
          <w:p w14:paraId="2C420371">
            <w:pPr>
              <w:widowControl/>
              <w:adjustRightInd w:val="0"/>
              <w:snapToGrid w:val="0"/>
              <w:jc w:val="center"/>
              <w:rPr>
                <w:bCs/>
                <w:sz w:val="21"/>
                <w:szCs w:val="21"/>
              </w:rPr>
            </w:pPr>
            <w:r>
              <w:rPr>
                <w:rFonts w:hint="eastAsia"/>
                <w:bCs/>
                <w:sz w:val="21"/>
                <w:szCs w:val="21"/>
              </w:rPr>
              <w:t>/</w:t>
            </w:r>
          </w:p>
        </w:tc>
        <w:tc>
          <w:tcPr>
            <w:tcW w:w="1274" w:type="dxa"/>
            <w:noWrap w:val="0"/>
            <w:vAlign w:val="center"/>
          </w:tcPr>
          <w:p w14:paraId="3FA8D94A">
            <w:pPr>
              <w:widowControl/>
              <w:adjustRightInd w:val="0"/>
              <w:snapToGrid w:val="0"/>
              <w:jc w:val="center"/>
              <w:rPr>
                <w:rFonts w:hint="eastAsia"/>
                <w:sz w:val="21"/>
                <w:szCs w:val="21"/>
              </w:rPr>
            </w:pPr>
            <w:r>
              <w:rPr>
                <w:rFonts w:hint="eastAsia"/>
                <w:sz w:val="21"/>
                <w:szCs w:val="21"/>
              </w:rPr>
              <w:t>/</w:t>
            </w:r>
          </w:p>
        </w:tc>
        <w:tc>
          <w:tcPr>
            <w:tcW w:w="1699" w:type="dxa"/>
            <w:noWrap w:val="0"/>
            <w:vAlign w:val="center"/>
          </w:tcPr>
          <w:p w14:paraId="4969330D">
            <w:pPr>
              <w:pStyle w:val="57"/>
              <w:spacing w:beforeLines="0" w:afterLines="0" w:line="240" w:lineRule="auto"/>
              <w:rPr>
                <w:rFonts w:ascii="Times New Roman"/>
                <w:snapToGrid w:val="0"/>
                <w:kern w:val="21"/>
                <w:sz w:val="21"/>
                <w:szCs w:val="21"/>
              </w:rPr>
            </w:pPr>
            <w:r>
              <w:rPr>
                <w:rFonts w:hint="eastAsia" w:ascii="Times New Roman"/>
                <w:snapToGrid w:val="0"/>
                <w:kern w:val="21"/>
                <w:sz w:val="21"/>
                <w:szCs w:val="21"/>
              </w:rPr>
              <w:t>/</w:t>
            </w:r>
          </w:p>
        </w:tc>
        <w:tc>
          <w:tcPr>
            <w:tcW w:w="1558" w:type="dxa"/>
            <w:noWrap w:val="0"/>
            <w:vAlign w:val="center"/>
          </w:tcPr>
          <w:p w14:paraId="383AA6CF">
            <w:pPr>
              <w:pStyle w:val="2"/>
              <w:spacing w:before="0" w:after="0" w:line="240" w:lineRule="auto"/>
              <w:ind w:left="0" w:firstLine="0"/>
              <w:jc w:val="center"/>
              <w:rPr>
                <w:rFonts w:hint="eastAsia" w:eastAsia="宋体"/>
                <w:b w:val="0"/>
                <w:bCs w:val="0"/>
                <w:color w:val="auto"/>
                <w:sz w:val="21"/>
                <w:szCs w:val="21"/>
              </w:rPr>
            </w:pPr>
            <w:r>
              <w:rPr>
                <w:rFonts w:hint="eastAsia"/>
                <w:b w:val="0"/>
                <w:bCs w:val="0"/>
                <w:color w:val="auto"/>
                <w:sz w:val="21"/>
                <w:szCs w:val="21"/>
                <w:lang w:val="en-US" w:eastAsia="zh-CN"/>
              </w:rPr>
              <w:t>2.87</w:t>
            </w:r>
            <w:r>
              <w:rPr>
                <w:b w:val="0"/>
                <w:bCs w:val="0"/>
                <w:color w:val="auto"/>
                <w:sz w:val="21"/>
                <w:szCs w:val="21"/>
              </w:rPr>
              <w:t>t/a</w:t>
            </w:r>
          </w:p>
        </w:tc>
        <w:tc>
          <w:tcPr>
            <w:tcW w:w="1759" w:type="dxa"/>
            <w:noWrap w:val="0"/>
            <w:vAlign w:val="center"/>
          </w:tcPr>
          <w:p w14:paraId="162DC674">
            <w:pPr>
              <w:jc w:val="center"/>
              <w:rPr>
                <w:bCs/>
                <w:sz w:val="21"/>
                <w:szCs w:val="21"/>
              </w:rPr>
            </w:pPr>
            <w:r>
              <w:rPr>
                <w:rFonts w:hint="eastAsia"/>
                <w:bCs/>
                <w:sz w:val="21"/>
                <w:szCs w:val="21"/>
              </w:rPr>
              <w:t>/</w:t>
            </w:r>
          </w:p>
        </w:tc>
        <w:tc>
          <w:tcPr>
            <w:tcW w:w="1957" w:type="dxa"/>
            <w:noWrap w:val="0"/>
            <w:vAlign w:val="center"/>
          </w:tcPr>
          <w:p w14:paraId="2C1FFD73">
            <w:pPr>
              <w:pStyle w:val="2"/>
              <w:spacing w:before="0" w:after="0" w:line="240" w:lineRule="auto"/>
              <w:ind w:left="0" w:firstLine="0"/>
              <w:jc w:val="center"/>
              <w:rPr>
                <w:rFonts w:hint="eastAsia" w:eastAsia="宋体"/>
                <w:b w:val="0"/>
                <w:bCs w:val="0"/>
                <w:color w:val="auto"/>
                <w:sz w:val="21"/>
                <w:szCs w:val="21"/>
              </w:rPr>
            </w:pPr>
            <w:r>
              <w:rPr>
                <w:rFonts w:hint="eastAsia"/>
                <w:b w:val="0"/>
                <w:bCs w:val="0"/>
                <w:color w:val="auto"/>
                <w:sz w:val="21"/>
                <w:szCs w:val="21"/>
                <w:lang w:val="en-US" w:eastAsia="zh-CN"/>
              </w:rPr>
              <w:t>2.87</w:t>
            </w:r>
            <w:r>
              <w:rPr>
                <w:b w:val="0"/>
                <w:bCs w:val="0"/>
                <w:color w:val="auto"/>
                <w:sz w:val="21"/>
                <w:szCs w:val="21"/>
              </w:rPr>
              <w:t>t/a</w:t>
            </w:r>
          </w:p>
        </w:tc>
        <w:tc>
          <w:tcPr>
            <w:tcW w:w="1280" w:type="dxa"/>
            <w:noWrap w:val="0"/>
            <w:vAlign w:val="center"/>
          </w:tcPr>
          <w:p w14:paraId="696F546E">
            <w:pPr>
              <w:pStyle w:val="2"/>
              <w:spacing w:before="0" w:after="0" w:line="240" w:lineRule="auto"/>
              <w:ind w:left="0" w:firstLine="0"/>
              <w:jc w:val="center"/>
              <w:rPr>
                <w:rFonts w:hint="eastAsia" w:eastAsia="宋体"/>
                <w:b w:val="0"/>
                <w:bCs w:val="0"/>
                <w:color w:val="auto"/>
                <w:sz w:val="21"/>
                <w:szCs w:val="21"/>
              </w:rPr>
            </w:pPr>
            <w:r>
              <w:rPr>
                <w:rFonts w:hint="eastAsia" w:eastAsia="宋体"/>
                <w:b w:val="0"/>
                <w:bCs w:val="0"/>
                <w:color w:val="auto"/>
                <w:sz w:val="21"/>
                <w:szCs w:val="21"/>
              </w:rPr>
              <w:t>+</w:t>
            </w:r>
            <w:r>
              <w:rPr>
                <w:rFonts w:hint="eastAsia" w:eastAsia="宋体"/>
                <w:b w:val="0"/>
                <w:bCs w:val="0"/>
                <w:color w:val="auto"/>
                <w:sz w:val="21"/>
                <w:szCs w:val="21"/>
                <w:lang w:val="en-US" w:eastAsia="zh-CN"/>
              </w:rPr>
              <w:t>2.87</w:t>
            </w:r>
            <w:r>
              <w:rPr>
                <w:b w:val="0"/>
                <w:bCs w:val="0"/>
                <w:color w:val="auto"/>
                <w:sz w:val="21"/>
                <w:szCs w:val="21"/>
              </w:rPr>
              <w:t>t/a</w:t>
            </w:r>
          </w:p>
        </w:tc>
      </w:tr>
      <w:tr w14:paraId="067A8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87" w:type="dxa"/>
            <w:noWrap w:val="0"/>
            <w:vAlign w:val="center"/>
          </w:tcPr>
          <w:p w14:paraId="2A11A450">
            <w:pPr>
              <w:pStyle w:val="57"/>
              <w:spacing w:beforeLines="0" w:afterLines="0" w:line="240" w:lineRule="auto"/>
              <w:rPr>
                <w:rFonts w:hint="eastAsia" w:hAnsi="宋体" w:eastAsia="宋体" w:cs="宋体"/>
                <w:snapToGrid w:val="0"/>
                <w:kern w:val="21"/>
                <w:sz w:val="21"/>
                <w:szCs w:val="21"/>
                <w:lang w:val="en-US" w:eastAsia="zh-CN"/>
              </w:rPr>
            </w:pPr>
            <w:r>
              <w:rPr>
                <w:rFonts w:hint="eastAsia" w:hAnsi="宋体" w:cs="宋体"/>
                <w:snapToGrid w:val="0"/>
                <w:kern w:val="21"/>
                <w:sz w:val="21"/>
                <w:szCs w:val="21"/>
                <w:lang w:val="en-US" w:eastAsia="zh-CN"/>
              </w:rPr>
              <w:t>生活垃圾</w:t>
            </w:r>
          </w:p>
        </w:tc>
        <w:tc>
          <w:tcPr>
            <w:tcW w:w="1416" w:type="dxa"/>
            <w:noWrap w:val="0"/>
            <w:vAlign w:val="center"/>
          </w:tcPr>
          <w:p w14:paraId="15810091">
            <w:pPr>
              <w:snapToGrid w:val="0"/>
              <w:spacing w:line="240" w:lineRule="atLeast"/>
              <w:jc w:val="center"/>
              <w:rPr>
                <w:rFonts w:hint="default"/>
                <w:sz w:val="21"/>
                <w:szCs w:val="21"/>
                <w:lang w:val="en-US" w:eastAsia="zh-CN"/>
              </w:rPr>
            </w:pPr>
            <w:r>
              <w:rPr>
                <w:rFonts w:hint="eastAsia"/>
                <w:sz w:val="21"/>
                <w:szCs w:val="21"/>
                <w:lang w:val="en-US" w:eastAsia="zh-CN"/>
              </w:rPr>
              <w:t>生活垃圾</w:t>
            </w:r>
          </w:p>
        </w:tc>
        <w:tc>
          <w:tcPr>
            <w:tcW w:w="1699" w:type="dxa"/>
            <w:noWrap w:val="0"/>
            <w:vAlign w:val="center"/>
          </w:tcPr>
          <w:p w14:paraId="0C935B96">
            <w:pPr>
              <w:snapToGrid w:val="0"/>
              <w:jc w:val="center"/>
              <w:rPr>
                <w:rFonts w:hint="eastAsia" w:eastAsia="宋体"/>
                <w:bCs/>
                <w:sz w:val="21"/>
                <w:szCs w:val="21"/>
                <w:lang w:val="en-US" w:eastAsia="zh-CN"/>
              </w:rPr>
            </w:pPr>
            <w:r>
              <w:rPr>
                <w:rFonts w:hint="eastAsia"/>
                <w:bCs/>
                <w:sz w:val="21"/>
                <w:szCs w:val="21"/>
                <w:lang w:val="en-US" w:eastAsia="zh-CN"/>
              </w:rPr>
              <w:t>/</w:t>
            </w:r>
          </w:p>
        </w:tc>
        <w:tc>
          <w:tcPr>
            <w:tcW w:w="1274" w:type="dxa"/>
            <w:noWrap w:val="0"/>
            <w:vAlign w:val="center"/>
          </w:tcPr>
          <w:p w14:paraId="66E6C15D">
            <w:pPr>
              <w:snapToGrid w:val="0"/>
              <w:jc w:val="center"/>
              <w:rPr>
                <w:rFonts w:hint="eastAsia" w:eastAsia="宋体"/>
                <w:bCs/>
                <w:sz w:val="21"/>
                <w:szCs w:val="21"/>
                <w:lang w:val="en-US" w:eastAsia="zh-CN"/>
              </w:rPr>
            </w:pPr>
            <w:r>
              <w:rPr>
                <w:rFonts w:hint="eastAsia"/>
                <w:bCs/>
                <w:sz w:val="21"/>
                <w:szCs w:val="21"/>
                <w:lang w:val="en-US" w:eastAsia="zh-CN"/>
              </w:rPr>
              <w:t>/</w:t>
            </w:r>
          </w:p>
        </w:tc>
        <w:tc>
          <w:tcPr>
            <w:tcW w:w="1699" w:type="dxa"/>
            <w:noWrap w:val="0"/>
            <w:vAlign w:val="center"/>
          </w:tcPr>
          <w:p w14:paraId="697F9FAB">
            <w:pPr>
              <w:pStyle w:val="57"/>
              <w:spacing w:beforeLines="0" w:afterLines="0" w:line="240" w:lineRule="auto"/>
              <w:rPr>
                <w:rFonts w:hint="eastAsia" w:ascii="Times New Roman" w:eastAsia="宋体"/>
                <w:snapToGrid w:val="0"/>
                <w:kern w:val="21"/>
                <w:sz w:val="21"/>
                <w:szCs w:val="21"/>
                <w:lang w:val="en-US" w:eastAsia="zh-CN"/>
              </w:rPr>
            </w:pPr>
            <w:r>
              <w:rPr>
                <w:rFonts w:hint="eastAsia" w:ascii="Times New Roman"/>
                <w:snapToGrid w:val="0"/>
                <w:kern w:val="21"/>
                <w:sz w:val="21"/>
                <w:szCs w:val="21"/>
                <w:lang w:val="en-US" w:eastAsia="zh-CN"/>
              </w:rPr>
              <w:t>/</w:t>
            </w:r>
          </w:p>
        </w:tc>
        <w:tc>
          <w:tcPr>
            <w:tcW w:w="1558" w:type="dxa"/>
            <w:noWrap w:val="0"/>
            <w:vAlign w:val="center"/>
          </w:tcPr>
          <w:p w14:paraId="4C25F196">
            <w:pPr>
              <w:pStyle w:val="2"/>
              <w:spacing w:before="0" w:after="0" w:line="240" w:lineRule="auto"/>
              <w:ind w:left="0" w:leftChars="0" w:firstLine="0" w:firstLineChars="0"/>
              <w:jc w:val="center"/>
              <w:rPr>
                <w:rFonts w:hint="default"/>
                <w:b w:val="0"/>
                <w:bCs w:val="0"/>
                <w:color w:val="auto"/>
                <w:sz w:val="21"/>
                <w:szCs w:val="21"/>
                <w:lang w:val="en-US" w:eastAsia="zh-CN"/>
              </w:rPr>
            </w:pPr>
            <w:r>
              <w:rPr>
                <w:rFonts w:hint="eastAsia"/>
                <w:b w:val="0"/>
                <w:bCs w:val="0"/>
                <w:color w:val="auto"/>
                <w:sz w:val="21"/>
                <w:szCs w:val="21"/>
                <w:lang w:val="en-US" w:eastAsia="zh-CN"/>
              </w:rPr>
              <w:t>2.25</w:t>
            </w:r>
            <w:r>
              <w:rPr>
                <w:b w:val="0"/>
                <w:bCs w:val="0"/>
                <w:color w:val="auto"/>
                <w:sz w:val="21"/>
                <w:szCs w:val="21"/>
              </w:rPr>
              <w:t>t/a</w:t>
            </w:r>
          </w:p>
        </w:tc>
        <w:tc>
          <w:tcPr>
            <w:tcW w:w="1759" w:type="dxa"/>
            <w:noWrap w:val="0"/>
            <w:vAlign w:val="center"/>
          </w:tcPr>
          <w:p w14:paraId="04153D93">
            <w:pPr>
              <w:jc w:val="center"/>
              <w:rPr>
                <w:rFonts w:hint="default"/>
                <w:bCs/>
                <w:sz w:val="21"/>
                <w:szCs w:val="21"/>
                <w:lang w:val="en-US" w:eastAsia="zh-CN"/>
              </w:rPr>
            </w:pPr>
            <w:r>
              <w:rPr>
                <w:rFonts w:hint="eastAsia"/>
                <w:bCs/>
                <w:sz w:val="21"/>
                <w:szCs w:val="21"/>
                <w:lang w:val="en-US" w:eastAsia="zh-CN"/>
              </w:rPr>
              <w:t>/</w:t>
            </w:r>
          </w:p>
        </w:tc>
        <w:tc>
          <w:tcPr>
            <w:tcW w:w="1957" w:type="dxa"/>
            <w:noWrap w:val="0"/>
            <w:vAlign w:val="center"/>
          </w:tcPr>
          <w:p w14:paraId="5A15EE4B">
            <w:pPr>
              <w:snapToGrid w:val="0"/>
              <w:jc w:val="center"/>
              <w:rPr>
                <w:rFonts w:hint="eastAsia"/>
                <w:b w:val="0"/>
                <w:bCs w:val="0"/>
                <w:color w:val="auto"/>
                <w:sz w:val="21"/>
                <w:szCs w:val="21"/>
                <w:lang w:val="en-US" w:eastAsia="zh-CN"/>
              </w:rPr>
            </w:pPr>
            <w:r>
              <w:rPr>
                <w:rFonts w:hint="eastAsia"/>
                <w:b w:val="0"/>
                <w:bCs w:val="0"/>
                <w:color w:val="auto"/>
                <w:sz w:val="21"/>
                <w:szCs w:val="21"/>
                <w:lang w:val="en-US" w:eastAsia="zh-CN"/>
              </w:rPr>
              <w:t>2.25</w:t>
            </w:r>
            <w:r>
              <w:rPr>
                <w:b w:val="0"/>
                <w:bCs w:val="0"/>
                <w:color w:val="auto"/>
                <w:sz w:val="21"/>
                <w:szCs w:val="21"/>
              </w:rPr>
              <w:t>t/a</w:t>
            </w:r>
          </w:p>
        </w:tc>
        <w:tc>
          <w:tcPr>
            <w:tcW w:w="1280" w:type="dxa"/>
            <w:noWrap w:val="0"/>
            <w:vAlign w:val="center"/>
          </w:tcPr>
          <w:p w14:paraId="190FDCCD">
            <w:pPr>
              <w:snapToGrid w:val="0"/>
              <w:jc w:val="center"/>
              <w:rPr>
                <w:rFonts w:hint="default"/>
                <w:sz w:val="21"/>
                <w:szCs w:val="21"/>
                <w:lang w:val="en-US" w:eastAsia="zh-CN"/>
              </w:rPr>
            </w:pPr>
            <w:r>
              <w:rPr>
                <w:rFonts w:hint="eastAsia"/>
                <w:sz w:val="21"/>
                <w:szCs w:val="21"/>
                <w:lang w:val="en-US" w:eastAsia="zh-CN"/>
              </w:rPr>
              <w:t>+</w:t>
            </w:r>
            <w:r>
              <w:rPr>
                <w:rFonts w:hint="eastAsia"/>
                <w:b w:val="0"/>
                <w:bCs w:val="0"/>
                <w:color w:val="auto"/>
                <w:sz w:val="21"/>
                <w:szCs w:val="21"/>
                <w:lang w:val="en-US" w:eastAsia="zh-CN"/>
              </w:rPr>
              <w:t>2.25</w:t>
            </w:r>
            <w:r>
              <w:rPr>
                <w:b w:val="0"/>
                <w:bCs w:val="0"/>
                <w:color w:val="auto"/>
                <w:sz w:val="21"/>
                <w:szCs w:val="21"/>
              </w:rPr>
              <w:t>t/a</w:t>
            </w:r>
          </w:p>
        </w:tc>
      </w:tr>
    </w:tbl>
    <w:p w14:paraId="6D72A827">
      <w:pPr>
        <w:pStyle w:val="57"/>
        <w:spacing w:before="192" w:beforeLines="80" w:after="24"/>
        <w:jc w:val="left"/>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p>
    <w:p w14:paraId="03960968">
      <w:pPr>
        <w:rPr>
          <w:rFonts w:hint="default" w:ascii="Times New Roman" w:hAnsi="Times New Roman" w:eastAsia="宋体" w:cs="Times New Roman"/>
          <w:snapToGrid w:val="0"/>
          <w:color w:val="000000"/>
          <w:spacing w:val="-6"/>
          <w:kern w:val="21"/>
          <w:szCs w:val="21"/>
        </w:rPr>
      </w:pPr>
    </w:p>
    <w:p w14:paraId="374AE277">
      <w:pPr>
        <w:rPr>
          <w:rFonts w:hint="default" w:ascii="Times New Roman" w:hAnsi="Times New Roman" w:eastAsia="宋体" w:cs="Times New Roman"/>
          <w:snapToGrid w:val="0"/>
          <w:color w:val="000000"/>
          <w:spacing w:val="-6"/>
          <w:kern w:val="21"/>
          <w:szCs w:val="21"/>
        </w:rPr>
      </w:pPr>
    </w:p>
    <w:p w14:paraId="5852D7EE">
      <w:pPr>
        <w:rPr>
          <w:rFonts w:hint="default" w:ascii="Times New Roman" w:hAnsi="Times New Roman" w:eastAsia="宋体" w:cs="Times New Roman"/>
          <w:snapToGrid w:val="0"/>
          <w:color w:val="000000"/>
          <w:spacing w:val="-6"/>
          <w:kern w:val="21"/>
          <w:szCs w:val="21"/>
        </w:rPr>
      </w:pPr>
    </w:p>
    <w:p w14:paraId="07916767">
      <w:pPr>
        <w:rPr>
          <w:rFonts w:hint="default" w:ascii="Times New Roman" w:hAnsi="Times New Roman" w:eastAsia="宋体" w:cs="Times New Roman"/>
          <w:snapToGrid w:val="0"/>
          <w:color w:val="000000"/>
          <w:spacing w:val="-6"/>
          <w:kern w:val="21"/>
          <w:szCs w:val="21"/>
        </w:rPr>
      </w:pPr>
    </w:p>
    <w:p w14:paraId="439E793E">
      <w:pPr>
        <w:rPr>
          <w:rFonts w:hint="default" w:ascii="Times New Roman" w:hAnsi="Times New Roman" w:eastAsia="宋体" w:cs="Times New Roman"/>
          <w:snapToGrid w:val="0"/>
          <w:color w:val="000000"/>
          <w:spacing w:val="-6"/>
          <w:kern w:val="21"/>
          <w:szCs w:val="21"/>
        </w:rPr>
      </w:pPr>
    </w:p>
    <w:p w14:paraId="59D9CAD9">
      <w:pPr>
        <w:rPr>
          <w:rFonts w:hint="default" w:ascii="Times New Roman" w:hAnsi="Times New Roman" w:eastAsia="宋体" w:cs="Times New Roman"/>
          <w:snapToGrid w:val="0"/>
          <w:color w:val="000000"/>
          <w:spacing w:val="-6"/>
          <w:kern w:val="21"/>
          <w:szCs w:val="21"/>
        </w:rPr>
      </w:pPr>
    </w:p>
    <w:p w14:paraId="5D6F153B">
      <w:pPr>
        <w:keepNext w:val="0"/>
        <w:keepLines w:val="0"/>
        <w:pageBreakBefore w:val="0"/>
        <w:widowControl w:val="0"/>
        <w:kinsoku/>
        <w:wordWrap/>
        <w:overflowPunct/>
        <w:topLinePunct w:val="0"/>
        <w:autoSpaceDE/>
        <w:autoSpaceDN/>
        <w:bidi w:val="0"/>
        <w:adjustRightInd w:val="0"/>
        <w:snapToGrid w:val="0"/>
        <w:spacing w:before="100" w:beforeAutospacing="1" w:line="360" w:lineRule="auto"/>
        <w:jc w:val="both"/>
        <w:textAlignment w:val="auto"/>
        <w:rPr>
          <w:rFonts w:hint="eastAsia"/>
          <w:lang w:eastAsia="zh-CN"/>
        </w:rPr>
        <w:sectPr>
          <w:headerReference r:id="rId6" w:type="default"/>
          <w:footerReference r:id="rId7"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bookmarkStart w:id="9" w:name="_GoBack"/>
      <w:bookmarkEnd w:id="9"/>
    </w:p>
    <w:p w14:paraId="525F35F9">
      <w:pPr>
        <w:rPr>
          <w:rFonts w:hint="eastAsia"/>
          <w:lang w:eastAsia="zh-CN"/>
        </w:rPr>
      </w:pPr>
    </w:p>
    <w:sectPr>
      <w:pgSz w:w="11906" w:h="16838"/>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F46E4">
    <w:pPr>
      <w:pStyle w:val="2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57B9">
    <w:pPr>
      <w:pStyle w:val="23"/>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AC3CC">
                          <w:pPr>
                            <w:pStyle w:val="23"/>
                            <w:rPr>
                              <w:rStyle w:val="35"/>
                              <w:rFonts w:ascii="宋体" w:hAnsi="宋体"/>
                              <w:sz w:val="28"/>
                              <w:szCs w:val="28"/>
                            </w:rPr>
                          </w:pPr>
                          <w:r>
                            <w:rPr>
                              <w:rStyle w:val="35"/>
                              <w:rFonts w:ascii="宋体" w:hAnsi="宋体"/>
                              <w:sz w:val="28"/>
                              <w:szCs w:val="28"/>
                            </w:rPr>
                            <w:t xml:space="preserve">— </w:t>
                          </w:r>
                          <w:r>
                            <w:rPr>
                              <w:rStyle w:val="35"/>
                              <w:rFonts w:ascii="宋体" w:hAnsi="宋体"/>
                              <w:sz w:val="21"/>
                              <w:szCs w:val="21"/>
                            </w:rPr>
                            <w:fldChar w:fldCharType="begin"/>
                          </w:r>
                          <w:r>
                            <w:rPr>
                              <w:rStyle w:val="35"/>
                              <w:rFonts w:ascii="宋体" w:hAnsi="宋体"/>
                              <w:sz w:val="21"/>
                              <w:szCs w:val="21"/>
                            </w:rPr>
                            <w:instrText xml:space="preserve"> PAGE  \* MERGEFORMAT </w:instrText>
                          </w:r>
                          <w:r>
                            <w:rPr>
                              <w:rStyle w:val="35"/>
                              <w:rFonts w:ascii="宋体" w:hAnsi="宋体"/>
                              <w:sz w:val="21"/>
                              <w:szCs w:val="21"/>
                            </w:rPr>
                            <w:fldChar w:fldCharType="separate"/>
                          </w:r>
                          <w:r>
                            <w:rPr>
                              <w:rStyle w:val="35"/>
                              <w:rFonts w:ascii="宋体" w:hAnsi="宋体"/>
                              <w:sz w:val="21"/>
                              <w:szCs w:val="21"/>
                            </w:rPr>
                            <w:t>1</w:t>
                          </w:r>
                          <w:r>
                            <w:rPr>
                              <w:rStyle w:val="35"/>
                              <w:rFonts w:ascii="宋体" w:hAnsi="宋体"/>
                              <w:sz w:val="21"/>
                              <w:szCs w:val="21"/>
                            </w:rPr>
                            <w:fldChar w:fldCharType="end"/>
                          </w:r>
                          <w:r>
                            <w:rPr>
                              <w:rStyle w:val="35"/>
                              <w:rFonts w:ascii="宋体" w:hAnsi="宋体"/>
                              <w:sz w:val="21"/>
                              <w:szCs w:val="21"/>
                            </w:rPr>
                            <w:t xml:space="preserve"> </w:t>
                          </w:r>
                          <w:r>
                            <w:rPr>
                              <w:rStyle w:val="35"/>
                              <w:rFonts w:ascii="宋体" w:hAnsi="宋体"/>
                              <w:sz w:val="28"/>
                              <w:szCs w:val="2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NTQckBAACa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5J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E1NByQEAAJoDAAAOAAAAAAAAAAEAIAAAAB4BAABkcnMvZTJvRG9j&#10;LnhtbFBLBQYAAAAABgAGAFkBAABZBQAAAAA=&#10;">
              <v:fill on="f" focussize="0,0"/>
              <v:stroke on="f"/>
              <v:imagedata o:title=""/>
              <o:lock v:ext="edit" aspectratio="f"/>
              <v:textbox inset="0mm,0mm,0mm,0mm" style="mso-fit-shape-to-text:t;">
                <w:txbxContent>
                  <w:p w14:paraId="084AC3CC">
                    <w:pPr>
                      <w:pStyle w:val="23"/>
                      <w:rPr>
                        <w:rStyle w:val="35"/>
                        <w:rFonts w:ascii="宋体" w:hAnsi="宋体"/>
                        <w:sz w:val="28"/>
                        <w:szCs w:val="28"/>
                      </w:rPr>
                    </w:pPr>
                    <w:r>
                      <w:rPr>
                        <w:rStyle w:val="35"/>
                        <w:rFonts w:ascii="宋体" w:hAnsi="宋体"/>
                        <w:sz w:val="28"/>
                        <w:szCs w:val="28"/>
                      </w:rPr>
                      <w:t xml:space="preserve">— </w:t>
                    </w:r>
                    <w:r>
                      <w:rPr>
                        <w:rStyle w:val="35"/>
                        <w:rFonts w:ascii="宋体" w:hAnsi="宋体"/>
                        <w:sz w:val="21"/>
                        <w:szCs w:val="21"/>
                      </w:rPr>
                      <w:fldChar w:fldCharType="begin"/>
                    </w:r>
                    <w:r>
                      <w:rPr>
                        <w:rStyle w:val="35"/>
                        <w:rFonts w:ascii="宋体" w:hAnsi="宋体"/>
                        <w:sz w:val="21"/>
                        <w:szCs w:val="21"/>
                      </w:rPr>
                      <w:instrText xml:space="preserve"> PAGE  \* MERGEFORMAT </w:instrText>
                    </w:r>
                    <w:r>
                      <w:rPr>
                        <w:rStyle w:val="35"/>
                        <w:rFonts w:ascii="宋体" w:hAnsi="宋体"/>
                        <w:sz w:val="21"/>
                        <w:szCs w:val="21"/>
                      </w:rPr>
                      <w:fldChar w:fldCharType="separate"/>
                    </w:r>
                    <w:r>
                      <w:rPr>
                        <w:rStyle w:val="35"/>
                        <w:rFonts w:ascii="宋体" w:hAnsi="宋体"/>
                        <w:sz w:val="21"/>
                        <w:szCs w:val="21"/>
                      </w:rPr>
                      <w:t>1</w:t>
                    </w:r>
                    <w:r>
                      <w:rPr>
                        <w:rStyle w:val="35"/>
                        <w:rFonts w:ascii="宋体" w:hAnsi="宋体"/>
                        <w:sz w:val="21"/>
                        <w:szCs w:val="21"/>
                      </w:rPr>
                      <w:fldChar w:fldCharType="end"/>
                    </w:r>
                    <w:r>
                      <w:rPr>
                        <w:rStyle w:val="35"/>
                        <w:rFonts w:ascii="宋体" w:hAnsi="宋体"/>
                        <w:sz w:val="21"/>
                        <w:szCs w:val="21"/>
                      </w:rPr>
                      <w:t xml:space="preserve"> </w:t>
                    </w:r>
                    <w:r>
                      <w:rPr>
                        <w:rStyle w:val="35"/>
                        <w:rFonts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B0A0">
    <w:pPr>
      <w:pStyle w:val="2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E9126">
                          <w:pPr>
                            <w:pStyle w:val="23"/>
                          </w:pPr>
                          <w:r>
                            <w:t xml:space="preserve">— </w:t>
                          </w:r>
                          <w:r>
                            <w:fldChar w:fldCharType="begin"/>
                          </w:r>
                          <w:r>
                            <w:instrText xml:space="preserve"> PAGE  \* MERGEFORMAT </w:instrText>
                          </w:r>
                          <w:r>
                            <w:fldChar w:fldCharType="separate"/>
                          </w:r>
                          <w:r>
                            <w:t>38</w:t>
                          </w:r>
                          <w:r>
                            <w:fldChar w:fldCharType="end"/>
                          </w:r>
                          <w: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41FE9126">
                    <w:pPr>
                      <w:pStyle w:val="23"/>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E6D4">
    <w:pPr>
      <w:pStyle w:val="2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01B6">
    <w:pPr>
      <w:pStyle w:val="2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0DAC"/>
    <w:multiLevelType w:val="singleLevel"/>
    <w:tmpl w:val="808D0DAC"/>
    <w:lvl w:ilvl="0" w:tentative="0">
      <w:start w:val="3"/>
      <w:numFmt w:val="decimal"/>
      <w:suff w:val="nothing"/>
      <w:lvlText w:val="%1、"/>
      <w:lvlJc w:val="left"/>
    </w:lvl>
  </w:abstractNum>
  <w:abstractNum w:abstractNumId="1">
    <w:nsid w:val="910B5831"/>
    <w:multiLevelType w:val="singleLevel"/>
    <w:tmpl w:val="910B5831"/>
    <w:lvl w:ilvl="0" w:tentative="0">
      <w:start w:val="1"/>
      <w:numFmt w:val="decimal"/>
      <w:suff w:val="nothing"/>
      <w:lvlText w:val="（%1）"/>
      <w:lvlJc w:val="left"/>
    </w:lvl>
  </w:abstractNum>
  <w:abstractNum w:abstractNumId="2">
    <w:nsid w:val="913FAA1A"/>
    <w:multiLevelType w:val="singleLevel"/>
    <w:tmpl w:val="913FAA1A"/>
    <w:lvl w:ilvl="0" w:tentative="0">
      <w:start w:val="1"/>
      <w:numFmt w:val="decimal"/>
      <w:suff w:val="nothing"/>
      <w:lvlText w:val="（%1）"/>
      <w:lvlJc w:val="left"/>
    </w:lvl>
  </w:abstractNum>
  <w:abstractNum w:abstractNumId="3">
    <w:nsid w:val="ACC23527"/>
    <w:multiLevelType w:val="singleLevel"/>
    <w:tmpl w:val="ACC23527"/>
    <w:lvl w:ilvl="0" w:tentative="0">
      <w:start w:val="1"/>
      <w:numFmt w:val="chineseCounting"/>
      <w:suff w:val="nothing"/>
      <w:lvlText w:val="%1、"/>
      <w:lvlJc w:val="left"/>
      <w:rPr>
        <w:rFonts w:hint="eastAsia"/>
      </w:rPr>
    </w:lvl>
  </w:abstractNum>
  <w:abstractNum w:abstractNumId="4">
    <w:nsid w:val="AE9E26BC"/>
    <w:multiLevelType w:val="multilevel"/>
    <w:tmpl w:val="AE9E26B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C0294745"/>
    <w:multiLevelType w:val="singleLevel"/>
    <w:tmpl w:val="C0294745"/>
    <w:lvl w:ilvl="0" w:tentative="0">
      <w:start w:val="2"/>
      <w:numFmt w:val="decimal"/>
      <w:suff w:val="nothing"/>
      <w:lvlText w:val="%1、"/>
      <w:lvlJc w:val="left"/>
    </w:lvl>
  </w:abstractNum>
  <w:abstractNum w:abstractNumId="6">
    <w:nsid w:val="CF4F8BEC"/>
    <w:multiLevelType w:val="singleLevel"/>
    <w:tmpl w:val="CF4F8BEC"/>
    <w:lvl w:ilvl="0" w:tentative="0">
      <w:start w:val="3"/>
      <w:numFmt w:val="decimal"/>
      <w:lvlText w:val="%1."/>
      <w:lvlJc w:val="left"/>
      <w:pPr>
        <w:tabs>
          <w:tab w:val="left" w:pos="312"/>
        </w:tabs>
      </w:pPr>
    </w:lvl>
  </w:abstractNum>
  <w:abstractNum w:abstractNumId="7">
    <w:nsid w:val="DAEC44AB"/>
    <w:multiLevelType w:val="singleLevel"/>
    <w:tmpl w:val="DAEC44AB"/>
    <w:lvl w:ilvl="0" w:tentative="0">
      <w:start w:val="1"/>
      <w:numFmt w:val="decimal"/>
      <w:suff w:val="nothing"/>
      <w:lvlText w:val="（%1）"/>
      <w:lvlJc w:val="left"/>
    </w:lvl>
  </w:abstractNum>
  <w:abstractNum w:abstractNumId="8">
    <w:nsid w:val="DCED9BB5"/>
    <w:multiLevelType w:val="singleLevel"/>
    <w:tmpl w:val="DCED9BB5"/>
    <w:lvl w:ilvl="0" w:tentative="0">
      <w:start w:val="1"/>
      <w:numFmt w:val="decimal"/>
      <w:suff w:val="nothing"/>
      <w:lvlText w:val="（%1）"/>
      <w:lvlJc w:val="left"/>
    </w:lvl>
  </w:abstractNum>
  <w:abstractNum w:abstractNumId="9">
    <w:nsid w:val="FA5834E2"/>
    <w:multiLevelType w:val="singleLevel"/>
    <w:tmpl w:val="FA5834E2"/>
    <w:lvl w:ilvl="0" w:tentative="0">
      <w:start w:val="1"/>
      <w:numFmt w:val="decimal"/>
      <w:suff w:val="nothing"/>
      <w:lvlText w:val="（%1）"/>
      <w:lvlJc w:val="left"/>
    </w:lvl>
  </w:abstractNum>
  <w:abstractNum w:abstractNumId="10">
    <w:nsid w:val="FCFAD3A1"/>
    <w:multiLevelType w:val="singleLevel"/>
    <w:tmpl w:val="FCFAD3A1"/>
    <w:lvl w:ilvl="0" w:tentative="0">
      <w:start w:val="6"/>
      <w:numFmt w:val="decimal"/>
      <w:lvlText w:val="%1."/>
      <w:lvlJc w:val="left"/>
      <w:pPr>
        <w:tabs>
          <w:tab w:val="left" w:pos="312"/>
        </w:tabs>
      </w:pPr>
    </w:lvl>
  </w:abstractNum>
  <w:abstractNum w:abstractNumId="11">
    <w:nsid w:val="047C57E5"/>
    <w:multiLevelType w:val="singleLevel"/>
    <w:tmpl w:val="047C57E5"/>
    <w:lvl w:ilvl="0" w:tentative="0">
      <w:start w:val="1"/>
      <w:numFmt w:val="decimal"/>
      <w:suff w:val="nothing"/>
      <w:lvlText w:val="%1、"/>
      <w:lvlJc w:val="left"/>
    </w:lvl>
  </w:abstractNum>
  <w:abstractNum w:abstractNumId="12">
    <w:nsid w:val="151B6FEA"/>
    <w:multiLevelType w:val="multilevel"/>
    <w:tmpl w:val="151B6FEA"/>
    <w:lvl w:ilvl="0" w:tentative="0">
      <w:start w:val="1"/>
      <w:numFmt w:val="decimal"/>
      <w:pStyle w:val="119"/>
      <w:lvlText w:val="表%1"/>
      <w:lvlJc w:val="left"/>
      <w:pPr>
        <w:ind w:left="407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205A4F56"/>
    <w:multiLevelType w:val="multilevel"/>
    <w:tmpl w:val="205A4F56"/>
    <w:lvl w:ilvl="0" w:tentative="0">
      <w:start w:val="0"/>
      <w:numFmt w:val="decimal"/>
      <w:suff w:val="space"/>
      <w:lvlText w:val="%1"/>
      <w:lvlJc w:val="left"/>
      <w:pPr>
        <w:ind w:left="0" w:firstLine="0"/>
      </w:pPr>
      <w:rPr>
        <w:rFonts w:hint="default" w:ascii="Times New Roman" w:hAnsi="Times New Roman"/>
        <w:b/>
        <w:i w:val="0"/>
        <w:sz w:val="24"/>
        <w:szCs w:val="24"/>
      </w:rPr>
    </w:lvl>
    <w:lvl w:ilvl="1" w:tentative="0">
      <w:start w:val="1"/>
      <w:numFmt w:val="decimal"/>
      <w:suff w:val="space"/>
      <w:lvlText w:val="%1.%2"/>
      <w:lvlJc w:val="left"/>
      <w:pPr>
        <w:ind w:left="0" w:firstLine="0"/>
      </w:pPr>
      <w:rPr>
        <w:rFonts w:hint="default" w:ascii="Times New Roman" w:hAnsi="Times New Roman"/>
        <w:b/>
        <w:i w:val="0"/>
        <w:sz w:val="24"/>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outline w:val="0"/>
        <w:shadow w:val="0"/>
        <w:emboss w:val="0"/>
        <w:imprint w:val="0"/>
        <w:snapToGrid w:val="0"/>
        <w:vanish w:val="0"/>
        <w:color w:val="auto"/>
        <w:kern w:val="0"/>
        <w:sz w:val="24"/>
        <w:szCs w:val="24"/>
        <w:u w:val="none"/>
        <w:vertAlign w:val="baseline"/>
      </w:rPr>
    </w:lvl>
    <w:lvl w:ilvl="3" w:tentative="0">
      <w:start w:val="1"/>
      <w:numFmt w:val="decimal"/>
      <w:pStyle w:val="4"/>
      <w:lvlText w:val="%1.%2.%3.%4"/>
      <w:lvlJc w:val="left"/>
      <w:pPr>
        <w:tabs>
          <w:tab w:val="left" w:pos="851"/>
        </w:tabs>
        <w:ind w:left="851" w:hanging="851"/>
      </w:pPr>
      <w:rPr>
        <w:rFonts w:hint="default" w:ascii="Times New Roman" w:hAnsi="Times New Roman"/>
        <w:b w:val="0"/>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2585E7BA"/>
    <w:multiLevelType w:val="singleLevel"/>
    <w:tmpl w:val="2585E7BA"/>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15">
    <w:nsid w:val="3DCF6CC2"/>
    <w:multiLevelType w:val="singleLevel"/>
    <w:tmpl w:val="3DCF6CC2"/>
    <w:lvl w:ilvl="0" w:tentative="0">
      <w:start w:val="1"/>
      <w:numFmt w:val="decimal"/>
      <w:pStyle w:val="5"/>
      <w:lvlText w:val="表%1"/>
      <w:lvlJc w:val="left"/>
      <w:pPr>
        <w:tabs>
          <w:tab w:val="left" w:pos="420"/>
        </w:tabs>
        <w:ind w:left="266" w:hanging="425"/>
      </w:pPr>
      <w:rPr>
        <w:rFonts w:hint="default"/>
        <w:b/>
        <w:sz w:val="24"/>
      </w:rPr>
    </w:lvl>
  </w:abstractNum>
  <w:abstractNum w:abstractNumId="16">
    <w:nsid w:val="45FE4361"/>
    <w:multiLevelType w:val="singleLevel"/>
    <w:tmpl w:val="45FE4361"/>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7">
    <w:nsid w:val="6C086C2C"/>
    <w:multiLevelType w:val="singleLevel"/>
    <w:tmpl w:val="6C086C2C"/>
    <w:lvl w:ilvl="0" w:tentative="0">
      <w:start w:val="2"/>
      <w:numFmt w:val="decimal"/>
      <w:lvlText w:val="%1."/>
      <w:lvlJc w:val="left"/>
      <w:pPr>
        <w:tabs>
          <w:tab w:val="left" w:pos="312"/>
        </w:tabs>
      </w:pPr>
    </w:lvl>
  </w:abstractNum>
  <w:abstractNum w:abstractNumId="18">
    <w:nsid w:val="7AFA4A44"/>
    <w:multiLevelType w:val="singleLevel"/>
    <w:tmpl w:val="7AFA4A44"/>
    <w:lvl w:ilvl="0" w:tentative="0">
      <w:start w:val="4"/>
      <w:numFmt w:val="chineseCounting"/>
      <w:suff w:val="nothing"/>
      <w:lvlText w:val="（%1）"/>
      <w:lvlJc w:val="left"/>
      <w:rPr>
        <w:rFonts w:hint="eastAsia"/>
      </w:rPr>
    </w:lvl>
  </w:abstractNum>
  <w:num w:numId="1">
    <w:abstractNumId w:val="13"/>
  </w:num>
  <w:num w:numId="2">
    <w:abstractNumId w:val="15"/>
  </w:num>
  <w:num w:numId="3">
    <w:abstractNumId w:val="16"/>
  </w:num>
  <w:num w:numId="4">
    <w:abstractNumId w:val="14"/>
  </w:num>
  <w:num w:numId="5">
    <w:abstractNumId w:val="12"/>
  </w:num>
  <w:num w:numId="6">
    <w:abstractNumId w:val="3"/>
  </w:num>
  <w:num w:numId="7">
    <w:abstractNumId w:val="4"/>
  </w:num>
  <w:num w:numId="8">
    <w:abstractNumId w:val="2"/>
  </w:num>
  <w:num w:numId="9">
    <w:abstractNumId w:val="5"/>
  </w:num>
  <w:num w:numId="10">
    <w:abstractNumId w:val="18"/>
  </w:num>
  <w:num w:numId="11">
    <w:abstractNumId w:val="6"/>
  </w:num>
  <w:num w:numId="12">
    <w:abstractNumId w:val="10"/>
  </w:num>
  <w:num w:numId="13">
    <w:abstractNumId w:val="7"/>
  </w:num>
  <w:num w:numId="14">
    <w:abstractNumId w:val="17"/>
  </w:num>
  <w:num w:numId="15">
    <w:abstractNumId w:val="1"/>
  </w:num>
  <w:num w:numId="16">
    <w:abstractNumId w:val="0"/>
  </w:num>
  <w:num w:numId="17">
    <w:abstractNumId w:val="1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MGMyNDJlZjdjZWY3YWFiODYwZWU0ZDY5ZjQ4NzcifQ=="/>
  </w:docVars>
  <w:rsids>
    <w:rsidRoot w:val="00A14947"/>
    <w:rsid w:val="000060B3"/>
    <w:rsid w:val="0004364B"/>
    <w:rsid w:val="00061B1F"/>
    <w:rsid w:val="000733C4"/>
    <w:rsid w:val="00074783"/>
    <w:rsid w:val="0008070B"/>
    <w:rsid w:val="000810AC"/>
    <w:rsid w:val="00081654"/>
    <w:rsid w:val="00081A02"/>
    <w:rsid w:val="00082231"/>
    <w:rsid w:val="00092D38"/>
    <w:rsid w:val="0009377B"/>
    <w:rsid w:val="000A20C9"/>
    <w:rsid w:val="000B058F"/>
    <w:rsid w:val="000B4467"/>
    <w:rsid w:val="000B4DB9"/>
    <w:rsid w:val="000C09AC"/>
    <w:rsid w:val="000C767F"/>
    <w:rsid w:val="000D5A44"/>
    <w:rsid w:val="000E3ED2"/>
    <w:rsid w:val="00130FA0"/>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070F"/>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B5094"/>
    <w:rsid w:val="003C6C16"/>
    <w:rsid w:val="003D794D"/>
    <w:rsid w:val="003E3058"/>
    <w:rsid w:val="003E76A9"/>
    <w:rsid w:val="003F0809"/>
    <w:rsid w:val="003F6A8C"/>
    <w:rsid w:val="003F755C"/>
    <w:rsid w:val="00406F01"/>
    <w:rsid w:val="00416D50"/>
    <w:rsid w:val="00416FD5"/>
    <w:rsid w:val="00417772"/>
    <w:rsid w:val="00420E6A"/>
    <w:rsid w:val="004254AB"/>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83F09"/>
    <w:rsid w:val="00D94A7C"/>
    <w:rsid w:val="00D95896"/>
    <w:rsid w:val="00DB2983"/>
    <w:rsid w:val="00DC1257"/>
    <w:rsid w:val="00DC3DC0"/>
    <w:rsid w:val="00DC5B2B"/>
    <w:rsid w:val="00DD317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71238"/>
    <w:rsid w:val="010828BE"/>
    <w:rsid w:val="01290F7E"/>
    <w:rsid w:val="0140551C"/>
    <w:rsid w:val="014D4E27"/>
    <w:rsid w:val="01521C8D"/>
    <w:rsid w:val="015D1E09"/>
    <w:rsid w:val="017A2550"/>
    <w:rsid w:val="01B33423"/>
    <w:rsid w:val="023613C7"/>
    <w:rsid w:val="02697903"/>
    <w:rsid w:val="02971351"/>
    <w:rsid w:val="02F96569"/>
    <w:rsid w:val="03256A0E"/>
    <w:rsid w:val="0332754E"/>
    <w:rsid w:val="03327ECA"/>
    <w:rsid w:val="033605F6"/>
    <w:rsid w:val="037B52A0"/>
    <w:rsid w:val="03A21407"/>
    <w:rsid w:val="03E017D2"/>
    <w:rsid w:val="03EA7B21"/>
    <w:rsid w:val="040F2402"/>
    <w:rsid w:val="04163DC3"/>
    <w:rsid w:val="04276844"/>
    <w:rsid w:val="04602B3A"/>
    <w:rsid w:val="04705F4D"/>
    <w:rsid w:val="04750610"/>
    <w:rsid w:val="04791B4B"/>
    <w:rsid w:val="04815AB4"/>
    <w:rsid w:val="049E1F31"/>
    <w:rsid w:val="04BE5FB8"/>
    <w:rsid w:val="04FE65E6"/>
    <w:rsid w:val="05041AE1"/>
    <w:rsid w:val="053E3F9F"/>
    <w:rsid w:val="05667110"/>
    <w:rsid w:val="05BB761C"/>
    <w:rsid w:val="05BD323D"/>
    <w:rsid w:val="05C128CE"/>
    <w:rsid w:val="05C313E2"/>
    <w:rsid w:val="05C50DB3"/>
    <w:rsid w:val="05C91175"/>
    <w:rsid w:val="05EC7289"/>
    <w:rsid w:val="05F36381"/>
    <w:rsid w:val="05F83EAE"/>
    <w:rsid w:val="061B70A1"/>
    <w:rsid w:val="061F7361"/>
    <w:rsid w:val="063E5612"/>
    <w:rsid w:val="063E7D85"/>
    <w:rsid w:val="065E4623"/>
    <w:rsid w:val="06AB13E1"/>
    <w:rsid w:val="06AC1E40"/>
    <w:rsid w:val="06CF04CF"/>
    <w:rsid w:val="06EA552E"/>
    <w:rsid w:val="06EF3008"/>
    <w:rsid w:val="06F51A39"/>
    <w:rsid w:val="07293586"/>
    <w:rsid w:val="07295285"/>
    <w:rsid w:val="073765D4"/>
    <w:rsid w:val="07382205"/>
    <w:rsid w:val="07464042"/>
    <w:rsid w:val="07636392"/>
    <w:rsid w:val="076F41ED"/>
    <w:rsid w:val="07770C56"/>
    <w:rsid w:val="07A93D67"/>
    <w:rsid w:val="07B172B0"/>
    <w:rsid w:val="07B51E2E"/>
    <w:rsid w:val="07D854F4"/>
    <w:rsid w:val="07F11409"/>
    <w:rsid w:val="08291B70"/>
    <w:rsid w:val="08685AF8"/>
    <w:rsid w:val="08865F13"/>
    <w:rsid w:val="08AB479D"/>
    <w:rsid w:val="08BB6A93"/>
    <w:rsid w:val="08D062B9"/>
    <w:rsid w:val="08DD3EE9"/>
    <w:rsid w:val="092217DD"/>
    <w:rsid w:val="09302681"/>
    <w:rsid w:val="093A7294"/>
    <w:rsid w:val="094C214E"/>
    <w:rsid w:val="09CD0A4B"/>
    <w:rsid w:val="0A24681C"/>
    <w:rsid w:val="0A263993"/>
    <w:rsid w:val="0A2D3AC2"/>
    <w:rsid w:val="0A733500"/>
    <w:rsid w:val="0A7A7FC8"/>
    <w:rsid w:val="0A9E7914"/>
    <w:rsid w:val="0AA755DF"/>
    <w:rsid w:val="0B120D44"/>
    <w:rsid w:val="0B2D4462"/>
    <w:rsid w:val="0B415DC0"/>
    <w:rsid w:val="0B45008E"/>
    <w:rsid w:val="0BAE6C59"/>
    <w:rsid w:val="0BD27BF6"/>
    <w:rsid w:val="0BF7145A"/>
    <w:rsid w:val="0BFF25BC"/>
    <w:rsid w:val="0C3B3C7D"/>
    <w:rsid w:val="0C59496A"/>
    <w:rsid w:val="0C765FF6"/>
    <w:rsid w:val="0C8E4D5A"/>
    <w:rsid w:val="0CA30DEC"/>
    <w:rsid w:val="0CAB2EAE"/>
    <w:rsid w:val="0CAD32C5"/>
    <w:rsid w:val="0CF71378"/>
    <w:rsid w:val="0D3061B1"/>
    <w:rsid w:val="0D621C7D"/>
    <w:rsid w:val="0D660F9A"/>
    <w:rsid w:val="0DA519AF"/>
    <w:rsid w:val="0DA73361"/>
    <w:rsid w:val="0DBC0824"/>
    <w:rsid w:val="0E437705"/>
    <w:rsid w:val="0E6255D4"/>
    <w:rsid w:val="0E73034D"/>
    <w:rsid w:val="0E770F85"/>
    <w:rsid w:val="0EA43FF7"/>
    <w:rsid w:val="0EB94C71"/>
    <w:rsid w:val="0ED92450"/>
    <w:rsid w:val="0EE31547"/>
    <w:rsid w:val="0EF61DB9"/>
    <w:rsid w:val="0F13775A"/>
    <w:rsid w:val="0F4606AC"/>
    <w:rsid w:val="0F5F45FE"/>
    <w:rsid w:val="0F9A112B"/>
    <w:rsid w:val="0FDE2595"/>
    <w:rsid w:val="0FE87A18"/>
    <w:rsid w:val="10006FC2"/>
    <w:rsid w:val="102862F2"/>
    <w:rsid w:val="10645C77"/>
    <w:rsid w:val="106D2F64"/>
    <w:rsid w:val="10906FF9"/>
    <w:rsid w:val="10A35351"/>
    <w:rsid w:val="10B63710"/>
    <w:rsid w:val="10CD6A2A"/>
    <w:rsid w:val="10D41CDF"/>
    <w:rsid w:val="10F10820"/>
    <w:rsid w:val="111B134F"/>
    <w:rsid w:val="111C2F7A"/>
    <w:rsid w:val="11665CA1"/>
    <w:rsid w:val="118A71F4"/>
    <w:rsid w:val="11993269"/>
    <w:rsid w:val="11BA5F58"/>
    <w:rsid w:val="121A1EFF"/>
    <w:rsid w:val="12821E3F"/>
    <w:rsid w:val="12F379B2"/>
    <w:rsid w:val="13053004"/>
    <w:rsid w:val="13423D8A"/>
    <w:rsid w:val="13431A4F"/>
    <w:rsid w:val="138A176A"/>
    <w:rsid w:val="138B02FC"/>
    <w:rsid w:val="13904F26"/>
    <w:rsid w:val="13951726"/>
    <w:rsid w:val="13AB3BAB"/>
    <w:rsid w:val="13D32467"/>
    <w:rsid w:val="14396509"/>
    <w:rsid w:val="14520D96"/>
    <w:rsid w:val="147E7967"/>
    <w:rsid w:val="14D64C58"/>
    <w:rsid w:val="14D72C60"/>
    <w:rsid w:val="14DD2C3C"/>
    <w:rsid w:val="159E1F9E"/>
    <w:rsid w:val="15A06CAE"/>
    <w:rsid w:val="15EF6E43"/>
    <w:rsid w:val="16087E1D"/>
    <w:rsid w:val="164926F8"/>
    <w:rsid w:val="16786407"/>
    <w:rsid w:val="167A1613"/>
    <w:rsid w:val="17134244"/>
    <w:rsid w:val="171D6872"/>
    <w:rsid w:val="171F7025"/>
    <w:rsid w:val="173D7210"/>
    <w:rsid w:val="175A77B8"/>
    <w:rsid w:val="17701D14"/>
    <w:rsid w:val="17735226"/>
    <w:rsid w:val="17774D5B"/>
    <w:rsid w:val="17C2674A"/>
    <w:rsid w:val="17DB033C"/>
    <w:rsid w:val="182D4F38"/>
    <w:rsid w:val="183A387B"/>
    <w:rsid w:val="18780F5A"/>
    <w:rsid w:val="18803CAD"/>
    <w:rsid w:val="189015C1"/>
    <w:rsid w:val="189F624C"/>
    <w:rsid w:val="18D05CA8"/>
    <w:rsid w:val="193A51C8"/>
    <w:rsid w:val="194E3C0F"/>
    <w:rsid w:val="194E7D96"/>
    <w:rsid w:val="195F0373"/>
    <w:rsid w:val="19C808E7"/>
    <w:rsid w:val="1A101B31"/>
    <w:rsid w:val="1A1C66C0"/>
    <w:rsid w:val="1A42393B"/>
    <w:rsid w:val="1A4C32C6"/>
    <w:rsid w:val="1A996BA6"/>
    <w:rsid w:val="1AAD45DE"/>
    <w:rsid w:val="1AF31ACB"/>
    <w:rsid w:val="1B046F80"/>
    <w:rsid w:val="1B3267B5"/>
    <w:rsid w:val="1B40161D"/>
    <w:rsid w:val="1B441859"/>
    <w:rsid w:val="1B6606B1"/>
    <w:rsid w:val="1B7900EB"/>
    <w:rsid w:val="1B8C6F40"/>
    <w:rsid w:val="1BCD5526"/>
    <w:rsid w:val="1BEB1DBB"/>
    <w:rsid w:val="1C4E77C9"/>
    <w:rsid w:val="1C5E7925"/>
    <w:rsid w:val="1C6C1052"/>
    <w:rsid w:val="1CD94CAA"/>
    <w:rsid w:val="1CFD070F"/>
    <w:rsid w:val="1CFE3A99"/>
    <w:rsid w:val="1D1F3C71"/>
    <w:rsid w:val="1D39006D"/>
    <w:rsid w:val="1D5F6196"/>
    <w:rsid w:val="1D6132A5"/>
    <w:rsid w:val="1D724E86"/>
    <w:rsid w:val="1D736B1A"/>
    <w:rsid w:val="1D7775BE"/>
    <w:rsid w:val="1D873106"/>
    <w:rsid w:val="1D8E56D5"/>
    <w:rsid w:val="1DD8676C"/>
    <w:rsid w:val="1DE41A3B"/>
    <w:rsid w:val="1E05198F"/>
    <w:rsid w:val="1E06794A"/>
    <w:rsid w:val="1E7A43DA"/>
    <w:rsid w:val="1E9B20C6"/>
    <w:rsid w:val="1EA04F19"/>
    <w:rsid w:val="1EC91910"/>
    <w:rsid w:val="1EE23DEF"/>
    <w:rsid w:val="1EFA3370"/>
    <w:rsid w:val="1F3856F9"/>
    <w:rsid w:val="1F450089"/>
    <w:rsid w:val="1F6B23CF"/>
    <w:rsid w:val="1FC6086C"/>
    <w:rsid w:val="1FD50FFB"/>
    <w:rsid w:val="1FDB28E0"/>
    <w:rsid w:val="1FE7539E"/>
    <w:rsid w:val="20192DE0"/>
    <w:rsid w:val="202F42B8"/>
    <w:rsid w:val="20411610"/>
    <w:rsid w:val="204C4020"/>
    <w:rsid w:val="205F2E5C"/>
    <w:rsid w:val="20671BE0"/>
    <w:rsid w:val="208F40FA"/>
    <w:rsid w:val="20963CB8"/>
    <w:rsid w:val="20A81A1B"/>
    <w:rsid w:val="20B07FB6"/>
    <w:rsid w:val="20B646FB"/>
    <w:rsid w:val="211238D5"/>
    <w:rsid w:val="21152105"/>
    <w:rsid w:val="211F7986"/>
    <w:rsid w:val="213B74B1"/>
    <w:rsid w:val="21556008"/>
    <w:rsid w:val="215A2310"/>
    <w:rsid w:val="218342E1"/>
    <w:rsid w:val="21AB746C"/>
    <w:rsid w:val="21B14881"/>
    <w:rsid w:val="21BE56CF"/>
    <w:rsid w:val="21DE318A"/>
    <w:rsid w:val="21EA4A48"/>
    <w:rsid w:val="21EF5B80"/>
    <w:rsid w:val="22183599"/>
    <w:rsid w:val="222F74D3"/>
    <w:rsid w:val="2253695F"/>
    <w:rsid w:val="22576990"/>
    <w:rsid w:val="22F47480"/>
    <w:rsid w:val="23173D04"/>
    <w:rsid w:val="23687EA7"/>
    <w:rsid w:val="23713BBD"/>
    <w:rsid w:val="23B1689B"/>
    <w:rsid w:val="23DE1C48"/>
    <w:rsid w:val="23E4668C"/>
    <w:rsid w:val="240210CD"/>
    <w:rsid w:val="249B37C8"/>
    <w:rsid w:val="24A45B19"/>
    <w:rsid w:val="24BF09F7"/>
    <w:rsid w:val="24D12EBC"/>
    <w:rsid w:val="24F12462"/>
    <w:rsid w:val="24FE1E74"/>
    <w:rsid w:val="25153DF0"/>
    <w:rsid w:val="252D53FE"/>
    <w:rsid w:val="252F0844"/>
    <w:rsid w:val="25496A86"/>
    <w:rsid w:val="257539AC"/>
    <w:rsid w:val="25A869D6"/>
    <w:rsid w:val="25BF288E"/>
    <w:rsid w:val="25EC2D81"/>
    <w:rsid w:val="263A2354"/>
    <w:rsid w:val="2648525A"/>
    <w:rsid w:val="265F7996"/>
    <w:rsid w:val="267F4161"/>
    <w:rsid w:val="270B4B67"/>
    <w:rsid w:val="270D7068"/>
    <w:rsid w:val="271433BD"/>
    <w:rsid w:val="277057A2"/>
    <w:rsid w:val="27B515B6"/>
    <w:rsid w:val="27C67ACD"/>
    <w:rsid w:val="27FA6EBE"/>
    <w:rsid w:val="2838132E"/>
    <w:rsid w:val="284C3970"/>
    <w:rsid w:val="28C457D9"/>
    <w:rsid w:val="28D36FBE"/>
    <w:rsid w:val="28F95878"/>
    <w:rsid w:val="29035DF6"/>
    <w:rsid w:val="29206EB8"/>
    <w:rsid w:val="29595666"/>
    <w:rsid w:val="29642727"/>
    <w:rsid w:val="29874881"/>
    <w:rsid w:val="29985006"/>
    <w:rsid w:val="29AF6E15"/>
    <w:rsid w:val="29E325E0"/>
    <w:rsid w:val="2A452503"/>
    <w:rsid w:val="2A4B528E"/>
    <w:rsid w:val="2A64511F"/>
    <w:rsid w:val="2AA92763"/>
    <w:rsid w:val="2AF459E0"/>
    <w:rsid w:val="2B6A7B0A"/>
    <w:rsid w:val="2BA936A8"/>
    <w:rsid w:val="2BFB1CB9"/>
    <w:rsid w:val="2C22032B"/>
    <w:rsid w:val="2C315A5A"/>
    <w:rsid w:val="2C4B1C25"/>
    <w:rsid w:val="2C52577A"/>
    <w:rsid w:val="2C634356"/>
    <w:rsid w:val="2C72524B"/>
    <w:rsid w:val="2CE226EE"/>
    <w:rsid w:val="2CF533B1"/>
    <w:rsid w:val="2D153CFD"/>
    <w:rsid w:val="2D3C3981"/>
    <w:rsid w:val="2D6B5B76"/>
    <w:rsid w:val="2D6C425E"/>
    <w:rsid w:val="2D956230"/>
    <w:rsid w:val="2D9E56F5"/>
    <w:rsid w:val="2DBB77A7"/>
    <w:rsid w:val="2DBF4DD6"/>
    <w:rsid w:val="2DE735DA"/>
    <w:rsid w:val="2E0B1B18"/>
    <w:rsid w:val="2E0E500A"/>
    <w:rsid w:val="2E2073AA"/>
    <w:rsid w:val="2E2E513F"/>
    <w:rsid w:val="2E337A29"/>
    <w:rsid w:val="2E4D0568"/>
    <w:rsid w:val="2E5A68D5"/>
    <w:rsid w:val="2E667F96"/>
    <w:rsid w:val="2E700A6A"/>
    <w:rsid w:val="2E8226AB"/>
    <w:rsid w:val="2E8550C8"/>
    <w:rsid w:val="2E9F7870"/>
    <w:rsid w:val="2EA43279"/>
    <w:rsid w:val="2EAF21D0"/>
    <w:rsid w:val="2F6475B3"/>
    <w:rsid w:val="2F7D79DC"/>
    <w:rsid w:val="2FA01A3E"/>
    <w:rsid w:val="2FBB2402"/>
    <w:rsid w:val="2FD065E6"/>
    <w:rsid w:val="2FD96870"/>
    <w:rsid w:val="30266711"/>
    <w:rsid w:val="30322514"/>
    <w:rsid w:val="30332E74"/>
    <w:rsid w:val="30580BC9"/>
    <w:rsid w:val="30661878"/>
    <w:rsid w:val="30FB31F0"/>
    <w:rsid w:val="311E2ED7"/>
    <w:rsid w:val="31247F13"/>
    <w:rsid w:val="312E69DE"/>
    <w:rsid w:val="314215FB"/>
    <w:rsid w:val="315114A6"/>
    <w:rsid w:val="315619EE"/>
    <w:rsid w:val="315C449C"/>
    <w:rsid w:val="315C7E3B"/>
    <w:rsid w:val="31603F91"/>
    <w:rsid w:val="31B82709"/>
    <w:rsid w:val="31C5044A"/>
    <w:rsid w:val="31CB1FAD"/>
    <w:rsid w:val="31D05482"/>
    <w:rsid w:val="31E22876"/>
    <w:rsid w:val="31FC380C"/>
    <w:rsid w:val="31FD161E"/>
    <w:rsid w:val="32200A34"/>
    <w:rsid w:val="32400B34"/>
    <w:rsid w:val="326B1F6B"/>
    <w:rsid w:val="329E6876"/>
    <w:rsid w:val="32FF4F22"/>
    <w:rsid w:val="332422E9"/>
    <w:rsid w:val="333015F2"/>
    <w:rsid w:val="334B6320"/>
    <w:rsid w:val="339E298D"/>
    <w:rsid w:val="33D934D4"/>
    <w:rsid w:val="33FA27BA"/>
    <w:rsid w:val="33FE2F6A"/>
    <w:rsid w:val="340E07E5"/>
    <w:rsid w:val="342310E4"/>
    <w:rsid w:val="34235BF7"/>
    <w:rsid w:val="34677809"/>
    <w:rsid w:val="346F11A1"/>
    <w:rsid w:val="348A14A1"/>
    <w:rsid w:val="34CD51D8"/>
    <w:rsid w:val="34D4418C"/>
    <w:rsid w:val="34DD4486"/>
    <w:rsid w:val="34E711B0"/>
    <w:rsid w:val="351153E0"/>
    <w:rsid w:val="353614CE"/>
    <w:rsid w:val="353B4944"/>
    <w:rsid w:val="35400E64"/>
    <w:rsid w:val="358C5FA8"/>
    <w:rsid w:val="35B72253"/>
    <w:rsid w:val="35C15DF1"/>
    <w:rsid w:val="35EF127D"/>
    <w:rsid w:val="36074A7F"/>
    <w:rsid w:val="36154A5C"/>
    <w:rsid w:val="362546F7"/>
    <w:rsid w:val="366120DF"/>
    <w:rsid w:val="366251C2"/>
    <w:rsid w:val="366A1524"/>
    <w:rsid w:val="3671269D"/>
    <w:rsid w:val="367B39F1"/>
    <w:rsid w:val="36923549"/>
    <w:rsid w:val="36A22794"/>
    <w:rsid w:val="36B41CB8"/>
    <w:rsid w:val="36B75FBF"/>
    <w:rsid w:val="36BD0C45"/>
    <w:rsid w:val="37076A9B"/>
    <w:rsid w:val="3709550A"/>
    <w:rsid w:val="37152F66"/>
    <w:rsid w:val="3721346A"/>
    <w:rsid w:val="37294C97"/>
    <w:rsid w:val="3735208D"/>
    <w:rsid w:val="375810A4"/>
    <w:rsid w:val="378217DC"/>
    <w:rsid w:val="37922808"/>
    <w:rsid w:val="37E00298"/>
    <w:rsid w:val="380577D8"/>
    <w:rsid w:val="381E26C5"/>
    <w:rsid w:val="386C209A"/>
    <w:rsid w:val="38812139"/>
    <w:rsid w:val="38B302F9"/>
    <w:rsid w:val="38DC74D7"/>
    <w:rsid w:val="38F12CD3"/>
    <w:rsid w:val="38F94775"/>
    <w:rsid w:val="392971ED"/>
    <w:rsid w:val="39325651"/>
    <w:rsid w:val="39596403"/>
    <w:rsid w:val="397B48B5"/>
    <w:rsid w:val="39A24859"/>
    <w:rsid w:val="39A33262"/>
    <w:rsid w:val="39B86D4D"/>
    <w:rsid w:val="39BA7DA0"/>
    <w:rsid w:val="3A0810B7"/>
    <w:rsid w:val="3A0D7537"/>
    <w:rsid w:val="3A872856"/>
    <w:rsid w:val="3A9837E3"/>
    <w:rsid w:val="3A9E35FC"/>
    <w:rsid w:val="3ABB3D27"/>
    <w:rsid w:val="3B0167FC"/>
    <w:rsid w:val="3B0B7F6D"/>
    <w:rsid w:val="3B1651A6"/>
    <w:rsid w:val="3B1B798C"/>
    <w:rsid w:val="3B3763D1"/>
    <w:rsid w:val="3B5B7C23"/>
    <w:rsid w:val="3B7058B4"/>
    <w:rsid w:val="3B9651F7"/>
    <w:rsid w:val="3BC2535F"/>
    <w:rsid w:val="3C2D0F7A"/>
    <w:rsid w:val="3C2F6E1E"/>
    <w:rsid w:val="3C4F64BA"/>
    <w:rsid w:val="3C584166"/>
    <w:rsid w:val="3C6A1D90"/>
    <w:rsid w:val="3CDA245A"/>
    <w:rsid w:val="3CE934A3"/>
    <w:rsid w:val="3CF661BD"/>
    <w:rsid w:val="3D1E06B7"/>
    <w:rsid w:val="3D763FC7"/>
    <w:rsid w:val="3DA64D75"/>
    <w:rsid w:val="3E077380"/>
    <w:rsid w:val="3E26442C"/>
    <w:rsid w:val="3E326B7D"/>
    <w:rsid w:val="3E453D67"/>
    <w:rsid w:val="3E5B363F"/>
    <w:rsid w:val="3E6C2295"/>
    <w:rsid w:val="3E726C3E"/>
    <w:rsid w:val="3E8E0E2A"/>
    <w:rsid w:val="3E8F48BF"/>
    <w:rsid w:val="3EC57A18"/>
    <w:rsid w:val="3EDA0523"/>
    <w:rsid w:val="3F5D2347"/>
    <w:rsid w:val="3F76656C"/>
    <w:rsid w:val="3FBE7F1D"/>
    <w:rsid w:val="3FD633C9"/>
    <w:rsid w:val="3FE63DF4"/>
    <w:rsid w:val="401E7FE9"/>
    <w:rsid w:val="40201858"/>
    <w:rsid w:val="403C5542"/>
    <w:rsid w:val="407A6407"/>
    <w:rsid w:val="40AC40E7"/>
    <w:rsid w:val="40C132F7"/>
    <w:rsid w:val="40D97773"/>
    <w:rsid w:val="40E01908"/>
    <w:rsid w:val="40F95E93"/>
    <w:rsid w:val="41054DA4"/>
    <w:rsid w:val="413660E3"/>
    <w:rsid w:val="41533B0A"/>
    <w:rsid w:val="41875CD9"/>
    <w:rsid w:val="41904C13"/>
    <w:rsid w:val="41EA0104"/>
    <w:rsid w:val="41FE1B7F"/>
    <w:rsid w:val="4200449D"/>
    <w:rsid w:val="423A3BCC"/>
    <w:rsid w:val="424830B0"/>
    <w:rsid w:val="424B0183"/>
    <w:rsid w:val="424E57D2"/>
    <w:rsid w:val="42713537"/>
    <w:rsid w:val="428504C6"/>
    <w:rsid w:val="42B26C49"/>
    <w:rsid w:val="433A6FE6"/>
    <w:rsid w:val="43480868"/>
    <w:rsid w:val="4350713C"/>
    <w:rsid w:val="43543EAA"/>
    <w:rsid w:val="436653E0"/>
    <w:rsid w:val="43AC4A68"/>
    <w:rsid w:val="43C34687"/>
    <w:rsid w:val="43C4431A"/>
    <w:rsid w:val="44101903"/>
    <w:rsid w:val="44141278"/>
    <w:rsid w:val="44245390"/>
    <w:rsid w:val="442874A4"/>
    <w:rsid w:val="44591B22"/>
    <w:rsid w:val="445C7829"/>
    <w:rsid w:val="44634A8F"/>
    <w:rsid w:val="448047DD"/>
    <w:rsid w:val="448D5606"/>
    <w:rsid w:val="44907041"/>
    <w:rsid w:val="44B951CC"/>
    <w:rsid w:val="44CD14E0"/>
    <w:rsid w:val="44F20B0B"/>
    <w:rsid w:val="45122EC6"/>
    <w:rsid w:val="452E5F4C"/>
    <w:rsid w:val="45612018"/>
    <w:rsid w:val="456C2804"/>
    <w:rsid w:val="4582269B"/>
    <w:rsid w:val="458946E9"/>
    <w:rsid w:val="45936E75"/>
    <w:rsid w:val="45A47C0E"/>
    <w:rsid w:val="45F14512"/>
    <w:rsid w:val="460D74FE"/>
    <w:rsid w:val="4619625D"/>
    <w:rsid w:val="46226C7C"/>
    <w:rsid w:val="46577FD6"/>
    <w:rsid w:val="466B0DF4"/>
    <w:rsid w:val="4696565B"/>
    <w:rsid w:val="46BC2444"/>
    <w:rsid w:val="46C8594C"/>
    <w:rsid w:val="46D955A7"/>
    <w:rsid w:val="4705173A"/>
    <w:rsid w:val="470F6989"/>
    <w:rsid w:val="471069C1"/>
    <w:rsid w:val="47133957"/>
    <w:rsid w:val="472004A5"/>
    <w:rsid w:val="4765017E"/>
    <w:rsid w:val="47A07E0C"/>
    <w:rsid w:val="47E31158"/>
    <w:rsid w:val="481C167F"/>
    <w:rsid w:val="48570EBF"/>
    <w:rsid w:val="4870272E"/>
    <w:rsid w:val="487E6BD4"/>
    <w:rsid w:val="48862E1C"/>
    <w:rsid w:val="48981928"/>
    <w:rsid w:val="48B73605"/>
    <w:rsid w:val="48FE3445"/>
    <w:rsid w:val="49010442"/>
    <w:rsid w:val="490177EE"/>
    <w:rsid w:val="49596680"/>
    <w:rsid w:val="495C70E7"/>
    <w:rsid w:val="49670F3D"/>
    <w:rsid w:val="498D2E30"/>
    <w:rsid w:val="499C2F68"/>
    <w:rsid w:val="49DC7715"/>
    <w:rsid w:val="49FB64DB"/>
    <w:rsid w:val="4A023139"/>
    <w:rsid w:val="4A047746"/>
    <w:rsid w:val="4A221F5D"/>
    <w:rsid w:val="4A66686F"/>
    <w:rsid w:val="4A7B576F"/>
    <w:rsid w:val="4AC44215"/>
    <w:rsid w:val="4ACB2E6A"/>
    <w:rsid w:val="4AF561A9"/>
    <w:rsid w:val="4B133927"/>
    <w:rsid w:val="4B3706C1"/>
    <w:rsid w:val="4B6568A0"/>
    <w:rsid w:val="4B674448"/>
    <w:rsid w:val="4B8223FB"/>
    <w:rsid w:val="4B997167"/>
    <w:rsid w:val="4B9A5798"/>
    <w:rsid w:val="4BE71E11"/>
    <w:rsid w:val="4BFA755E"/>
    <w:rsid w:val="4C014A44"/>
    <w:rsid w:val="4C0F5D7E"/>
    <w:rsid w:val="4C1A1F6D"/>
    <w:rsid w:val="4C2B1FF0"/>
    <w:rsid w:val="4C4A0649"/>
    <w:rsid w:val="4C7E5ECA"/>
    <w:rsid w:val="4C876AA5"/>
    <w:rsid w:val="4CA712B7"/>
    <w:rsid w:val="4CBC4717"/>
    <w:rsid w:val="4CF3744D"/>
    <w:rsid w:val="4CF463C9"/>
    <w:rsid w:val="4D057181"/>
    <w:rsid w:val="4D0E00FB"/>
    <w:rsid w:val="4D1742A9"/>
    <w:rsid w:val="4D176606"/>
    <w:rsid w:val="4D64034B"/>
    <w:rsid w:val="4D777A00"/>
    <w:rsid w:val="4DD34609"/>
    <w:rsid w:val="4DD730D2"/>
    <w:rsid w:val="4DEC4FB0"/>
    <w:rsid w:val="4DFB469E"/>
    <w:rsid w:val="4E075D8A"/>
    <w:rsid w:val="4E0D1309"/>
    <w:rsid w:val="4E70287E"/>
    <w:rsid w:val="4E994E01"/>
    <w:rsid w:val="4EAD3592"/>
    <w:rsid w:val="4EC00FAD"/>
    <w:rsid w:val="4ECF35D2"/>
    <w:rsid w:val="4EE53610"/>
    <w:rsid w:val="4F094E4F"/>
    <w:rsid w:val="4F36336D"/>
    <w:rsid w:val="4F9843DC"/>
    <w:rsid w:val="4FA15715"/>
    <w:rsid w:val="4FC357E8"/>
    <w:rsid w:val="4FC450D1"/>
    <w:rsid w:val="4FC62A8C"/>
    <w:rsid w:val="4FC96949"/>
    <w:rsid w:val="4FDA44A3"/>
    <w:rsid w:val="4FE20F0D"/>
    <w:rsid w:val="4FE51552"/>
    <w:rsid w:val="50092B01"/>
    <w:rsid w:val="504D0092"/>
    <w:rsid w:val="50504C4B"/>
    <w:rsid w:val="507624DE"/>
    <w:rsid w:val="508C04A2"/>
    <w:rsid w:val="509C6E7C"/>
    <w:rsid w:val="50D2381E"/>
    <w:rsid w:val="5162104E"/>
    <w:rsid w:val="51AD13AD"/>
    <w:rsid w:val="51C67537"/>
    <w:rsid w:val="521F35FC"/>
    <w:rsid w:val="52642B9B"/>
    <w:rsid w:val="52DF776B"/>
    <w:rsid w:val="52E8648C"/>
    <w:rsid w:val="530833BA"/>
    <w:rsid w:val="533E4B1C"/>
    <w:rsid w:val="535F0D52"/>
    <w:rsid w:val="53A039CC"/>
    <w:rsid w:val="53A1505A"/>
    <w:rsid w:val="53ED1C72"/>
    <w:rsid w:val="54004D75"/>
    <w:rsid w:val="54063E08"/>
    <w:rsid w:val="540C5D72"/>
    <w:rsid w:val="543437E8"/>
    <w:rsid w:val="546000A4"/>
    <w:rsid w:val="546046BB"/>
    <w:rsid w:val="54947207"/>
    <w:rsid w:val="54A13910"/>
    <w:rsid w:val="54B63603"/>
    <w:rsid w:val="54D05D78"/>
    <w:rsid w:val="54F73313"/>
    <w:rsid w:val="54F75908"/>
    <w:rsid w:val="54F80955"/>
    <w:rsid w:val="54F93B76"/>
    <w:rsid w:val="551A5045"/>
    <w:rsid w:val="554923E8"/>
    <w:rsid w:val="555170A7"/>
    <w:rsid w:val="555C4412"/>
    <w:rsid w:val="55620BF0"/>
    <w:rsid w:val="5563174F"/>
    <w:rsid w:val="5587536D"/>
    <w:rsid w:val="559B174B"/>
    <w:rsid w:val="55B70828"/>
    <w:rsid w:val="55CE0CF4"/>
    <w:rsid w:val="55DC16AB"/>
    <w:rsid w:val="55FD2822"/>
    <w:rsid w:val="563E1C4F"/>
    <w:rsid w:val="56B22A9C"/>
    <w:rsid w:val="56BF2C24"/>
    <w:rsid w:val="56C97F4C"/>
    <w:rsid w:val="56DC71A4"/>
    <w:rsid w:val="574C50DC"/>
    <w:rsid w:val="575B3360"/>
    <w:rsid w:val="57924966"/>
    <w:rsid w:val="57A56E38"/>
    <w:rsid w:val="57B72A76"/>
    <w:rsid w:val="57BC3131"/>
    <w:rsid w:val="57C3426C"/>
    <w:rsid w:val="57CE1F93"/>
    <w:rsid w:val="58107F17"/>
    <w:rsid w:val="58732232"/>
    <w:rsid w:val="587E22A2"/>
    <w:rsid w:val="588332E4"/>
    <w:rsid w:val="588743D1"/>
    <w:rsid w:val="5887701A"/>
    <w:rsid w:val="589A10C5"/>
    <w:rsid w:val="58D474F0"/>
    <w:rsid w:val="58EB3C89"/>
    <w:rsid w:val="595953A4"/>
    <w:rsid w:val="599C1189"/>
    <w:rsid w:val="59A2782E"/>
    <w:rsid w:val="59B8562B"/>
    <w:rsid w:val="59C0439F"/>
    <w:rsid w:val="59C27320"/>
    <w:rsid w:val="59C76D2A"/>
    <w:rsid w:val="59E94913"/>
    <w:rsid w:val="5A8950E2"/>
    <w:rsid w:val="5A8E79A0"/>
    <w:rsid w:val="5AA50BC4"/>
    <w:rsid w:val="5AB00FB0"/>
    <w:rsid w:val="5ABE2233"/>
    <w:rsid w:val="5B052245"/>
    <w:rsid w:val="5B33178C"/>
    <w:rsid w:val="5BB54B45"/>
    <w:rsid w:val="5BC86423"/>
    <w:rsid w:val="5BDF5D95"/>
    <w:rsid w:val="5BEC0CF4"/>
    <w:rsid w:val="5BFE7528"/>
    <w:rsid w:val="5C243DA6"/>
    <w:rsid w:val="5C26437A"/>
    <w:rsid w:val="5C3D6937"/>
    <w:rsid w:val="5C6806B8"/>
    <w:rsid w:val="5C6E1AD7"/>
    <w:rsid w:val="5CA644DC"/>
    <w:rsid w:val="5CED210B"/>
    <w:rsid w:val="5D5932FD"/>
    <w:rsid w:val="5D903139"/>
    <w:rsid w:val="5DD11AB6"/>
    <w:rsid w:val="5DEE3BA9"/>
    <w:rsid w:val="5E126324"/>
    <w:rsid w:val="5E2467F1"/>
    <w:rsid w:val="5E2B291B"/>
    <w:rsid w:val="5E3E2AFB"/>
    <w:rsid w:val="5E476F68"/>
    <w:rsid w:val="5E756968"/>
    <w:rsid w:val="5E770EF9"/>
    <w:rsid w:val="5E7D3645"/>
    <w:rsid w:val="5EC029DF"/>
    <w:rsid w:val="5F0B4C17"/>
    <w:rsid w:val="5F1A2B43"/>
    <w:rsid w:val="5F743C83"/>
    <w:rsid w:val="5F8F32D6"/>
    <w:rsid w:val="5F9E3AAC"/>
    <w:rsid w:val="5FAC4BE4"/>
    <w:rsid w:val="5FB837BB"/>
    <w:rsid w:val="5FD2383A"/>
    <w:rsid w:val="5FEB1EC2"/>
    <w:rsid w:val="5FF0277B"/>
    <w:rsid w:val="603512EB"/>
    <w:rsid w:val="6037146C"/>
    <w:rsid w:val="603F23F6"/>
    <w:rsid w:val="60562B7D"/>
    <w:rsid w:val="60924A0D"/>
    <w:rsid w:val="60CC405A"/>
    <w:rsid w:val="60E05A48"/>
    <w:rsid w:val="616842D1"/>
    <w:rsid w:val="619548F0"/>
    <w:rsid w:val="61A24411"/>
    <w:rsid w:val="61DC0835"/>
    <w:rsid w:val="61E215D8"/>
    <w:rsid w:val="620F0A19"/>
    <w:rsid w:val="621475C6"/>
    <w:rsid w:val="621B0081"/>
    <w:rsid w:val="621B3775"/>
    <w:rsid w:val="62364782"/>
    <w:rsid w:val="62AD10B2"/>
    <w:rsid w:val="62B97F6E"/>
    <w:rsid w:val="62DD050A"/>
    <w:rsid w:val="62EE595D"/>
    <w:rsid w:val="62F03D58"/>
    <w:rsid w:val="62FB6784"/>
    <w:rsid w:val="6309447C"/>
    <w:rsid w:val="63591982"/>
    <w:rsid w:val="637303D8"/>
    <w:rsid w:val="637A318E"/>
    <w:rsid w:val="6394356A"/>
    <w:rsid w:val="63B5447B"/>
    <w:rsid w:val="63C61B2C"/>
    <w:rsid w:val="63D11E71"/>
    <w:rsid w:val="63D40BE9"/>
    <w:rsid w:val="64102431"/>
    <w:rsid w:val="647010EB"/>
    <w:rsid w:val="64720DC1"/>
    <w:rsid w:val="64A5243A"/>
    <w:rsid w:val="64D507F3"/>
    <w:rsid w:val="64EF4547"/>
    <w:rsid w:val="64F24911"/>
    <w:rsid w:val="64F531DE"/>
    <w:rsid w:val="65055124"/>
    <w:rsid w:val="65057579"/>
    <w:rsid w:val="6533000A"/>
    <w:rsid w:val="653624C0"/>
    <w:rsid w:val="65373578"/>
    <w:rsid w:val="658F04C3"/>
    <w:rsid w:val="65B10D0B"/>
    <w:rsid w:val="65DC0EA9"/>
    <w:rsid w:val="66590F27"/>
    <w:rsid w:val="668D04BB"/>
    <w:rsid w:val="66C537B1"/>
    <w:rsid w:val="66D04289"/>
    <w:rsid w:val="671F124A"/>
    <w:rsid w:val="67220C03"/>
    <w:rsid w:val="675C0EC8"/>
    <w:rsid w:val="676901DC"/>
    <w:rsid w:val="677A33C6"/>
    <w:rsid w:val="67FA7A13"/>
    <w:rsid w:val="67FB3C03"/>
    <w:rsid w:val="681F6961"/>
    <w:rsid w:val="685427BA"/>
    <w:rsid w:val="68610A2F"/>
    <w:rsid w:val="68743394"/>
    <w:rsid w:val="68805514"/>
    <w:rsid w:val="68890714"/>
    <w:rsid w:val="68B52689"/>
    <w:rsid w:val="68CA50AF"/>
    <w:rsid w:val="68D45152"/>
    <w:rsid w:val="68EC6A9B"/>
    <w:rsid w:val="69316E2F"/>
    <w:rsid w:val="693F0B86"/>
    <w:rsid w:val="694E2071"/>
    <w:rsid w:val="696A706C"/>
    <w:rsid w:val="69766163"/>
    <w:rsid w:val="69777432"/>
    <w:rsid w:val="697A3B33"/>
    <w:rsid w:val="69D44760"/>
    <w:rsid w:val="69D73DD8"/>
    <w:rsid w:val="69DF3AD8"/>
    <w:rsid w:val="6A1D643E"/>
    <w:rsid w:val="6A3446C5"/>
    <w:rsid w:val="6A520EC7"/>
    <w:rsid w:val="6A8315E1"/>
    <w:rsid w:val="6AC27EAE"/>
    <w:rsid w:val="6AE3368E"/>
    <w:rsid w:val="6AF42ACD"/>
    <w:rsid w:val="6AF87E20"/>
    <w:rsid w:val="6B020980"/>
    <w:rsid w:val="6B0D74F6"/>
    <w:rsid w:val="6B321290"/>
    <w:rsid w:val="6B322639"/>
    <w:rsid w:val="6B573948"/>
    <w:rsid w:val="6B9628DF"/>
    <w:rsid w:val="6B9E428C"/>
    <w:rsid w:val="6C0134DD"/>
    <w:rsid w:val="6C1C2DAE"/>
    <w:rsid w:val="6C1F1AB4"/>
    <w:rsid w:val="6C22241E"/>
    <w:rsid w:val="6C47110C"/>
    <w:rsid w:val="6C5E6652"/>
    <w:rsid w:val="6C636C38"/>
    <w:rsid w:val="6C9F4AA4"/>
    <w:rsid w:val="6CAD42C4"/>
    <w:rsid w:val="6CD356B6"/>
    <w:rsid w:val="6CF2154D"/>
    <w:rsid w:val="6CFD13EC"/>
    <w:rsid w:val="6D082FE8"/>
    <w:rsid w:val="6D6D4573"/>
    <w:rsid w:val="6D9540E8"/>
    <w:rsid w:val="6D9644B1"/>
    <w:rsid w:val="6DB34098"/>
    <w:rsid w:val="6DB545B6"/>
    <w:rsid w:val="6DC50302"/>
    <w:rsid w:val="6DE02FB4"/>
    <w:rsid w:val="6E27182F"/>
    <w:rsid w:val="6E4B4EE4"/>
    <w:rsid w:val="6E514CED"/>
    <w:rsid w:val="6E977E89"/>
    <w:rsid w:val="6EA418C3"/>
    <w:rsid w:val="6EB000D4"/>
    <w:rsid w:val="6EB563D5"/>
    <w:rsid w:val="6ED92677"/>
    <w:rsid w:val="6EE85B5B"/>
    <w:rsid w:val="6F2076CA"/>
    <w:rsid w:val="6F225983"/>
    <w:rsid w:val="6F3A69E3"/>
    <w:rsid w:val="6F3F3729"/>
    <w:rsid w:val="6F616041"/>
    <w:rsid w:val="6F743FC6"/>
    <w:rsid w:val="6F946C15"/>
    <w:rsid w:val="6F9A4D31"/>
    <w:rsid w:val="6FE337EF"/>
    <w:rsid w:val="6FFC5590"/>
    <w:rsid w:val="700C30F9"/>
    <w:rsid w:val="706D1DD0"/>
    <w:rsid w:val="70856B87"/>
    <w:rsid w:val="70A30309"/>
    <w:rsid w:val="70AD25A5"/>
    <w:rsid w:val="70D20225"/>
    <w:rsid w:val="70D527EE"/>
    <w:rsid w:val="70FC24C5"/>
    <w:rsid w:val="71235C9B"/>
    <w:rsid w:val="71496F6A"/>
    <w:rsid w:val="715B5300"/>
    <w:rsid w:val="718F2402"/>
    <w:rsid w:val="71A71502"/>
    <w:rsid w:val="71CA2F28"/>
    <w:rsid w:val="71CB5EF3"/>
    <w:rsid w:val="71D13ED4"/>
    <w:rsid w:val="71D27F8A"/>
    <w:rsid w:val="71DC77DD"/>
    <w:rsid w:val="71E30CAD"/>
    <w:rsid w:val="71FB41E2"/>
    <w:rsid w:val="72085BC5"/>
    <w:rsid w:val="721A69BD"/>
    <w:rsid w:val="723320D7"/>
    <w:rsid w:val="72553024"/>
    <w:rsid w:val="72A84C84"/>
    <w:rsid w:val="72BA12FD"/>
    <w:rsid w:val="73122968"/>
    <w:rsid w:val="731F5D5E"/>
    <w:rsid w:val="733C077B"/>
    <w:rsid w:val="734D4C55"/>
    <w:rsid w:val="7361190F"/>
    <w:rsid w:val="73BD017F"/>
    <w:rsid w:val="73C51AD5"/>
    <w:rsid w:val="73F23D2F"/>
    <w:rsid w:val="73F44A0D"/>
    <w:rsid w:val="73FC7E69"/>
    <w:rsid w:val="74043589"/>
    <w:rsid w:val="741714DE"/>
    <w:rsid w:val="741E793C"/>
    <w:rsid w:val="744E4573"/>
    <w:rsid w:val="745E3944"/>
    <w:rsid w:val="747A3A85"/>
    <w:rsid w:val="747C0CE1"/>
    <w:rsid w:val="74892B7E"/>
    <w:rsid w:val="74A554D7"/>
    <w:rsid w:val="74AA3D92"/>
    <w:rsid w:val="74BD2D40"/>
    <w:rsid w:val="74D0301C"/>
    <w:rsid w:val="74EE3366"/>
    <w:rsid w:val="74FD0933"/>
    <w:rsid w:val="755373E3"/>
    <w:rsid w:val="756267C9"/>
    <w:rsid w:val="75DF2A82"/>
    <w:rsid w:val="761A6413"/>
    <w:rsid w:val="76282787"/>
    <w:rsid w:val="7629449B"/>
    <w:rsid w:val="7635099D"/>
    <w:rsid w:val="765B265C"/>
    <w:rsid w:val="76B00A9C"/>
    <w:rsid w:val="772207AC"/>
    <w:rsid w:val="77393381"/>
    <w:rsid w:val="773951D1"/>
    <w:rsid w:val="775111A9"/>
    <w:rsid w:val="77675F0A"/>
    <w:rsid w:val="77706699"/>
    <w:rsid w:val="77762421"/>
    <w:rsid w:val="77A66A1D"/>
    <w:rsid w:val="77A91A3E"/>
    <w:rsid w:val="77AB4D9C"/>
    <w:rsid w:val="77B56B1F"/>
    <w:rsid w:val="780F09F4"/>
    <w:rsid w:val="78106988"/>
    <w:rsid w:val="78116641"/>
    <w:rsid w:val="78A078C1"/>
    <w:rsid w:val="78A90480"/>
    <w:rsid w:val="78AB4A41"/>
    <w:rsid w:val="78BF64C1"/>
    <w:rsid w:val="78F00C0D"/>
    <w:rsid w:val="78FA44D7"/>
    <w:rsid w:val="7934254B"/>
    <w:rsid w:val="797D048C"/>
    <w:rsid w:val="79A272C8"/>
    <w:rsid w:val="79E47F9A"/>
    <w:rsid w:val="79E819D8"/>
    <w:rsid w:val="7A2D0140"/>
    <w:rsid w:val="7A364017"/>
    <w:rsid w:val="7A4E6609"/>
    <w:rsid w:val="7A6743B8"/>
    <w:rsid w:val="7A717339"/>
    <w:rsid w:val="7A8265E1"/>
    <w:rsid w:val="7AAF2356"/>
    <w:rsid w:val="7B0D6371"/>
    <w:rsid w:val="7B1E3841"/>
    <w:rsid w:val="7B324D1A"/>
    <w:rsid w:val="7B686D42"/>
    <w:rsid w:val="7B6E390B"/>
    <w:rsid w:val="7B841746"/>
    <w:rsid w:val="7B8F3362"/>
    <w:rsid w:val="7BC84606"/>
    <w:rsid w:val="7BE55F42"/>
    <w:rsid w:val="7C067F9F"/>
    <w:rsid w:val="7C5853F5"/>
    <w:rsid w:val="7C6C5AC7"/>
    <w:rsid w:val="7CC6544B"/>
    <w:rsid w:val="7CDE5CAC"/>
    <w:rsid w:val="7CE271F0"/>
    <w:rsid w:val="7CF71966"/>
    <w:rsid w:val="7D000106"/>
    <w:rsid w:val="7D0239FF"/>
    <w:rsid w:val="7D304D71"/>
    <w:rsid w:val="7D485EA0"/>
    <w:rsid w:val="7D5E40CD"/>
    <w:rsid w:val="7D9F70F9"/>
    <w:rsid w:val="7DC424A5"/>
    <w:rsid w:val="7DCD56F2"/>
    <w:rsid w:val="7DE520F5"/>
    <w:rsid w:val="7DE7375F"/>
    <w:rsid w:val="7DF80DA8"/>
    <w:rsid w:val="7E71317F"/>
    <w:rsid w:val="7EFE38AC"/>
    <w:rsid w:val="7F001CE7"/>
    <w:rsid w:val="7F7270AD"/>
    <w:rsid w:val="7FA657C3"/>
    <w:rsid w:val="7FD028F8"/>
    <w:rsid w:val="7FE47E50"/>
    <w:rsid w:val="7FE74340"/>
    <w:rsid w:val="7FFC4E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qFormat="1" w:uiPriority="99"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locked/>
    <w:uiPriority w:val="0"/>
    <w:pPr>
      <w:keepNext/>
      <w:keepLines/>
      <w:spacing w:before="260" w:after="260" w:line="416" w:lineRule="auto"/>
      <w:outlineLvl w:val="2"/>
    </w:pPr>
    <w:rPr>
      <w:b/>
      <w:bCs/>
      <w:sz w:val="32"/>
      <w:szCs w:val="32"/>
    </w:rPr>
  </w:style>
  <w:style w:type="paragraph" w:styleId="4">
    <w:name w:val="heading 4"/>
    <w:basedOn w:val="1"/>
    <w:next w:val="5"/>
    <w:qFormat/>
    <w:locked/>
    <w:uiPriority w:val="9"/>
    <w:pPr>
      <w:numPr>
        <w:ilvl w:val="3"/>
        <w:numId w:val="1"/>
      </w:numPr>
      <w:ind w:firstLineChars="0"/>
      <w:jc w:val="left"/>
      <w:outlineLvl w:val="3"/>
    </w:pPr>
    <w:rPr>
      <w:bCs/>
      <w:szCs w:val="26"/>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locked/>
    <w:uiPriority w:val="0"/>
    <w:pPr>
      <w:numPr>
        <w:ilvl w:val="0"/>
        <w:numId w:val="2"/>
      </w:numPr>
      <w:spacing w:line="460" w:lineRule="exact"/>
      <w:ind w:left="0" w:firstLine="1360" w:firstLineChars="200"/>
    </w:pPr>
    <w:rPr>
      <w:rFonts w:ascii="Times New Roman" w:hAnsi="Times New Roman"/>
      <w:b/>
      <w:sz w:val="24"/>
      <w:szCs w:val="20"/>
    </w:rPr>
  </w:style>
  <w:style w:type="paragraph" w:styleId="6">
    <w:name w:val="E-mail Signature"/>
    <w:basedOn w:val="1"/>
    <w:next w:val="7"/>
    <w:unhideWhenUsed/>
    <w:qFormat/>
    <w:locked/>
    <w:uiPriority w:val="99"/>
    <w:pPr>
      <w:spacing w:line="460" w:lineRule="exact"/>
      <w:ind w:firstLine="200"/>
    </w:pPr>
    <w:rPr>
      <w:rFonts w:hint="eastAsia" w:eastAsia="Times New Roman"/>
    </w:rPr>
  </w:style>
  <w:style w:type="paragraph" w:customStyle="1" w:styleId="7">
    <w:name w:val="文章"/>
    <w:basedOn w:val="8"/>
    <w:next w:val="11"/>
    <w:unhideWhenUsed/>
    <w:qFormat/>
    <w:uiPriority w:val="0"/>
    <w:pPr>
      <w:ind w:firstLine="480"/>
      <w:jc w:val="center"/>
    </w:pPr>
    <w:rPr>
      <w:kern w:val="2"/>
      <w:sz w:val="26"/>
    </w:rPr>
  </w:style>
  <w:style w:type="paragraph" w:styleId="8">
    <w:name w:val="Body Text Indent"/>
    <w:basedOn w:val="1"/>
    <w:next w:val="9"/>
    <w:link w:val="47"/>
    <w:qFormat/>
    <w:uiPriority w:val="0"/>
    <w:pPr>
      <w:spacing w:after="120"/>
      <w:ind w:left="420" w:leftChars="200"/>
    </w:pPr>
    <w:rPr>
      <w:kern w:val="0"/>
      <w:sz w:val="24"/>
      <w:szCs w:val="20"/>
    </w:rPr>
  </w:style>
  <w:style w:type="paragraph" w:styleId="9">
    <w:name w:val="Body Text"/>
    <w:basedOn w:val="1"/>
    <w:next w:val="10"/>
    <w:link w:val="46"/>
    <w:qFormat/>
    <w:uiPriority w:val="0"/>
    <w:pPr>
      <w:widowControl/>
      <w:snapToGrid w:val="0"/>
      <w:spacing w:before="60" w:after="160" w:line="259" w:lineRule="auto"/>
      <w:ind w:right="113"/>
    </w:pPr>
    <w:rPr>
      <w:kern w:val="0"/>
      <w:sz w:val="18"/>
      <w:szCs w:val="20"/>
    </w:rPr>
  </w:style>
  <w:style w:type="paragraph" w:styleId="10">
    <w:name w:val="Body Text First Indent 2"/>
    <w:basedOn w:val="1"/>
    <w:next w:val="1"/>
    <w:unhideWhenUsed/>
    <w:qFormat/>
    <w:locked/>
    <w:uiPriority w:val="99"/>
    <w:pPr>
      <w:ind w:firstLine="420" w:firstLineChars="200"/>
    </w:pPr>
    <w:rPr>
      <w:szCs w:val="20"/>
    </w:rPr>
  </w:style>
  <w:style w:type="paragraph" w:styleId="11">
    <w:name w:val="List"/>
    <w:basedOn w:val="1"/>
    <w:next w:val="12"/>
    <w:qFormat/>
    <w:locked/>
    <w:uiPriority w:val="99"/>
    <w:pPr>
      <w:ind w:left="200" w:hanging="200" w:hangingChars="200"/>
    </w:pPr>
  </w:style>
  <w:style w:type="paragraph" w:styleId="12">
    <w:name w:val="List Bullet 2"/>
    <w:basedOn w:val="1"/>
    <w:next w:val="13"/>
    <w:qFormat/>
    <w:locked/>
    <w:uiPriority w:val="0"/>
    <w:pPr>
      <w:numPr>
        <w:ilvl w:val="0"/>
        <w:numId w:val="3"/>
      </w:numPr>
    </w:pPr>
  </w:style>
  <w:style w:type="paragraph" w:customStyle="1" w:styleId="13">
    <w:name w:val="xl70"/>
    <w:basedOn w:val="1"/>
    <w:next w:val="14"/>
    <w:qFormat/>
    <w:uiPriority w:val="0"/>
    <w:pPr>
      <w:spacing w:before="280" w:after="280"/>
    </w:pPr>
    <w:rPr>
      <w:rFonts w:ascii="宋体" w:hAnsi="宋体" w:cs="宋体"/>
      <w:szCs w:val="21"/>
    </w:rPr>
  </w:style>
  <w:style w:type="paragraph" w:customStyle="1" w:styleId="14">
    <w:name w:val="正文缩进1"/>
    <w:basedOn w:val="1"/>
    <w:next w:val="15"/>
    <w:qFormat/>
    <w:uiPriority w:val="0"/>
    <w:pPr>
      <w:ind w:firstLine="420"/>
    </w:pPr>
    <w:rPr>
      <w:szCs w:val="21"/>
    </w:rPr>
  </w:style>
  <w:style w:type="paragraph" w:customStyle="1" w:styleId="15">
    <w:name w:val="td1"/>
    <w:basedOn w:val="1"/>
    <w:next w:val="1"/>
    <w:qFormat/>
    <w:uiPriority w:val="0"/>
    <w:pPr>
      <w:spacing w:before="280" w:after="280" w:line="300" w:lineRule="atLeast"/>
      <w:ind w:firstLine="200"/>
    </w:pPr>
    <w:rPr>
      <w:color w:val="000000"/>
      <w:sz w:val="18"/>
      <w:szCs w:val="18"/>
    </w:rPr>
  </w:style>
  <w:style w:type="paragraph" w:styleId="16">
    <w:name w:val="caption"/>
    <w:basedOn w:val="1"/>
    <w:next w:val="1"/>
    <w:qFormat/>
    <w:locked/>
    <w:uiPriority w:val="0"/>
    <w:pPr>
      <w:keepNext/>
      <w:spacing w:line="360" w:lineRule="auto"/>
      <w:ind w:firstLine="200" w:firstLineChars="200"/>
      <w:jc w:val="center"/>
    </w:pPr>
    <w:rPr>
      <w:rFonts w:ascii="Cambria" w:hAnsi="Cambria" w:eastAsia="黑体"/>
      <w:sz w:val="24"/>
      <w:szCs w:val="20"/>
    </w:rPr>
  </w:style>
  <w:style w:type="paragraph" w:styleId="17">
    <w:name w:val="annotation text"/>
    <w:basedOn w:val="1"/>
    <w:link w:val="45"/>
    <w:semiHidden/>
    <w:qFormat/>
    <w:uiPriority w:val="0"/>
    <w:pPr>
      <w:jc w:val="left"/>
    </w:pPr>
    <w:rPr>
      <w:kern w:val="0"/>
      <w:sz w:val="24"/>
      <w:szCs w:val="20"/>
    </w:rPr>
  </w:style>
  <w:style w:type="paragraph" w:styleId="18">
    <w:name w:val="Block Text"/>
    <w:basedOn w:val="1"/>
    <w:next w:val="1"/>
    <w:qFormat/>
    <w:locked/>
    <w:uiPriority w:val="0"/>
    <w:pPr>
      <w:widowControl/>
      <w:spacing w:line="440" w:lineRule="exact"/>
      <w:ind w:left="113" w:right="113" w:firstLine="567"/>
    </w:pPr>
    <w:rPr>
      <w:rFonts w:ascii="仿宋_GB2312" w:eastAsia="仿宋_GB2312"/>
      <w:kern w:val="0"/>
      <w:sz w:val="28"/>
      <w:szCs w:val="20"/>
    </w:rPr>
  </w:style>
  <w:style w:type="paragraph" w:styleId="19">
    <w:name w:val="Plain Text"/>
    <w:basedOn w:val="1"/>
    <w:qFormat/>
    <w:locked/>
    <w:uiPriority w:val="0"/>
    <w:rPr>
      <w:rFonts w:ascii="宋体" w:hAnsi="Courier New"/>
    </w:rPr>
  </w:style>
  <w:style w:type="paragraph" w:styleId="20">
    <w:name w:val="List Bullet 5"/>
    <w:basedOn w:val="1"/>
    <w:qFormat/>
    <w:locked/>
    <w:uiPriority w:val="0"/>
    <w:pPr>
      <w:numPr>
        <w:ilvl w:val="0"/>
        <w:numId w:val="4"/>
      </w:numPr>
    </w:pPr>
  </w:style>
  <w:style w:type="paragraph" w:styleId="21">
    <w:name w:val="Date"/>
    <w:basedOn w:val="1"/>
    <w:next w:val="1"/>
    <w:link w:val="48"/>
    <w:qFormat/>
    <w:uiPriority w:val="0"/>
    <w:pPr>
      <w:ind w:left="100" w:leftChars="2500"/>
    </w:pPr>
    <w:rPr>
      <w:kern w:val="0"/>
      <w:sz w:val="24"/>
      <w:szCs w:val="20"/>
    </w:rPr>
  </w:style>
  <w:style w:type="paragraph" w:styleId="22">
    <w:name w:val="Balloon Text"/>
    <w:basedOn w:val="1"/>
    <w:link w:val="49"/>
    <w:semiHidden/>
    <w:qFormat/>
    <w:uiPriority w:val="0"/>
    <w:rPr>
      <w:kern w:val="0"/>
      <w:sz w:val="18"/>
      <w:szCs w:val="20"/>
    </w:rPr>
  </w:style>
  <w:style w:type="paragraph" w:styleId="23">
    <w:name w:val="footer"/>
    <w:basedOn w:val="1"/>
    <w:link w:val="50"/>
    <w:qFormat/>
    <w:uiPriority w:val="99"/>
    <w:pPr>
      <w:tabs>
        <w:tab w:val="center" w:pos="4153"/>
        <w:tab w:val="right" w:pos="8306"/>
      </w:tabs>
      <w:snapToGrid w:val="0"/>
      <w:jc w:val="left"/>
    </w:pPr>
    <w:rPr>
      <w:kern w:val="0"/>
      <w:sz w:val="18"/>
      <w:szCs w:val="20"/>
    </w:rPr>
  </w:style>
  <w:style w:type="paragraph" w:styleId="24">
    <w:name w:val="header"/>
    <w:basedOn w:val="1"/>
    <w:next w:val="1"/>
    <w:link w:val="51"/>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toc 2"/>
    <w:basedOn w:val="1"/>
    <w:next w:val="6"/>
    <w:unhideWhenUsed/>
    <w:qFormat/>
    <w:locked/>
    <w:uiPriority w:val="0"/>
    <w:pPr>
      <w:tabs>
        <w:tab w:val="right" w:leader="dot" w:pos="9060"/>
      </w:tabs>
      <w:ind w:left="420" w:leftChars="200"/>
    </w:pPr>
  </w:style>
  <w:style w:type="paragraph" w:styleId="26">
    <w:name w:val="Body Text 2"/>
    <w:basedOn w:val="1"/>
    <w:qFormat/>
    <w:locked/>
    <w:uiPriority w:val="0"/>
    <w:pPr>
      <w:spacing w:line="360" w:lineRule="auto"/>
      <w:jc w:val="left"/>
    </w:pPr>
    <w:rPr>
      <w:sz w:val="24"/>
    </w:rPr>
  </w:style>
  <w:style w:type="paragraph" w:styleId="2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link w:val="52"/>
    <w:qFormat/>
    <w:uiPriority w:val="0"/>
    <w:pPr>
      <w:widowControl/>
      <w:spacing w:before="100" w:beforeAutospacing="1" w:after="100" w:afterAutospacing="1"/>
      <w:jc w:val="left"/>
    </w:pPr>
    <w:rPr>
      <w:rFonts w:ascii="宋体" w:hAnsi="宋体"/>
      <w:kern w:val="0"/>
      <w:sz w:val="24"/>
      <w:szCs w:val="20"/>
    </w:rPr>
  </w:style>
  <w:style w:type="paragraph" w:styleId="29">
    <w:name w:val="annotation subject"/>
    <w:basedOn w:val="17"/>
    <w:next w:val="17"/>
    <w:link w:val="53"/>
    <w:semiHidden/>
    <w:qFormat/>
    <w:uiPriority w:val="0"/>
    <w:rPr>
      <w:b/>
      <w:sz w:val="24"/>
      <w:szCs w:val="20"/>
    </w:rPr>
  </w:style>
  <w:style w:type="paragraph" w:styleId="30">
    <w:name w:val="Body Text First Indent"/>
    <w:basedOn w:val="9"/>
    <w:qFormat/>
    <w:locked/>
    <w:uiPriority w:val="0"/>
    <w:pPr>
      <w:ind w:firstLine="420" w:firstLineChars="100"/>
    </w:pPr>
  </w:style>
  <w:style w:type="table" w:styleId="32">
    <w:name w:val="Table Grid"/>
    <w:basedOn w:val="3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0"/>
    <w:rPr>
      <w:b/>
    </w:rPr>
  </w:style>
  <w:style w:type="character" w:styleId="35">
    <w:name w:val="page number"/>
    <w:basedOn w:val="33"/>
    <w:qFormat/>
    <w:locked/>
    <w:uiPriority w:val="0"/>
  </w:style>
  <w:style w:type="character" w:styleId="36">
    <w:name w:val="FollowedHyperlink"/>
    <w:basedOn w:val="33"/>
    <w:qFormat/>
    <w:locked/>
    <w:uiPriority w:val="0"/>
    <w:rPr>
      <w:color w:val="000000"/>
      <w:u w:val="none"/>
    </w:rPr>
  </w:style>
  <w:style w:type="character" w:styleId="37">
    <w:name w:val="Emphasis"/>
    <w:basedOn w:val="33"/>
    <w:qFormat/>
    <w:locked/>
    <w:uiPriority w:val="0"/>
  </w:style>
  <w:style w:type="character" w:styleId="38">
    <w:name w:val="Hyperlink"/>
    <w:basedOn w:val="33"/>
    <w:qFormat/>
    <w:locked/>
    <w:uiPriority w:val="0"/>
    <w:rPr>
      <w:color w:val="000000"/>
      <w:u w:val="none"/>
    </w:rPr>
  </w:style>
  <w:style w:type="character" w:styleId="39">
    <w:name w:val="annotation reference"/>
    <w:semiHidden/>
    <w:qFormat/>
    <w:uiPriority w:val="0"/>
    <w:rPr>
      <w:sz w:val="21"/>
    </w:rPr>
  </w:style>
  <w:style w:type="paragraph" w:customStyle="1" w:styleId="40">
    <w:name w:val="样式 样式 样式 四号 左侧:  1.53 厘米 + 首行缩进:  2 字符 + 居中 左侧:  2 字符 首行缩进:  2..."/>
    <w:basedOn w:val="41"/>
    <w:qFormat/>
    <w:uiPriority w:val="0"/>
    <w:pPr>
      <w:ind w:firstLine="0" w:firstLineChars="0"/>
      <w:jc w:val="center"/>
    </w:pPr>
  </w:style>
  <w:style w:type="paragraph" w:customStyle="1" w:styleId="41">
    <w:name w:val="样式 样式 四号 左侧:  1.53 厘米 + 首行缩进:  2 字符"/>
    <w:basedOn w:val="42"/>
    <w:qFormat/>
    <w:uiPriority w:val="0"/>
    <w:pPr>
      <w:ind w:left="200" w:leftChars="200"/>
    </w:pPr>
    <w:rPr>
      <w:szCs w:val="20"/>
    </w:rPr>
  </w:style>
  <w:style w:type="paragraph" w:customStyle="1" w:styleId="42">
    <w:name w:val="样式 四号 左侧:  1.53 厘米"/>
    <w:basedOn w:val="1"/>
    <w:qFormat/>
    <w:uiPriority w:val="0"/>
    <w:pPr>
      <w:adjustRightInd w:val="0"/>
    </w:pPr>
    <w:rPr>
      <w:w w:val="90"/>
      <w:sz w:val="28"/>
      <w:szCs w:val="28"/>
    </w:rPr>
  </w:style>
  <w:style w:type="paragraph" w:customStyle="1" w:styleId="43">
    <w:name w:val="样式 正文缩进正文（首行缩进两字） + 宋体 行距: 1.5 倍行距"/>
    <w:basedOn w:val="5"/>
    <w:qFormat/>
    <w:uiPriority w:val="0"/>
    <w:pPr>
      <w:adjustRightInd w:val="0"/>
      <w:spacing w:line="300" w:lineRule="auto"/>
      <w:ind w:firstLine="482"/>
      <w:jc w:val="left"/>
      <w:textAlignment w:val="baseline"/>
    </w:pPr>
    <w:rPr>
      <w:rFonts w:ascii="宋体" w:hAnsi="宋体"/>
      <w:sz w:val="24"/>
    </w:rPr>
  </w:style>
  <w:style w:type="paragraph" w:customStyle="1" w:styleId="4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45">
    <w:name w:val="批注文字 Char"/>
    <w:link w:val="17"/>
    <w:qFormat/>
    <w:locked/>
    <w:uiPriority w:val="0"/>
    <w:rPr>
      <w:rFonts w:ascii="Times New Roman" w:hAnsi="Times New Roman" w:eastAsia="宋体"/>
      <w:sz w:val="24"/>
    </w:rPr>
  </w:style>
  <w:style w:type="character" w:customStyle="1" w:styleId="46">
    <w:name w:val="正文文本 Char"/>
    <w:link w:val="9"/>
    <w:qFormat/>
    <w:locked/>
    <w:uiPriority w:val="0"/>
    <w:rPr>
      <w:sz w:val="18"/>
    </w:rPr>
  </w:style>
  <w:style w:type="character" w:customStyle="1" w:styleId="47">
    <w:name w:val="正文文本缩进 Char"/>
    <w:link w:val="8"/>
    <w:semiHidden/>
    <w:qFormat/>
    <w:locked/>
    <w:uiPriority w:val="0"/>
    <w:rPr>
      <w:rFonts w:ascii="Times New Roman" w:hAnsi="Times New Roman" w:eastAsia="宋体"/>
      <w:sz w:val="24"/>
    </w:rPr>
  </w:style>
  <w:style w:type="character" w:customStyle="1" w:styleId="48">
    <w:name w:val="日期 Char"/>
    <w:link w:val="21"/>
    <w:qFormat/>
    <w:locked/>
    <w:uiPriority w:val="0"/>
    <w:rPr>
      <w:rFonts w:ascii="Times New Roman" w:hAnsi="Times New Roman" w:eastAsia="宋体"/>
      <w:sz w:val="24"/>
    </w:rPr>
  </w:style>
  <w:style w:type="character" w:customStyle="1" w:styleId="49">
    <w:name w:val="批注框文本 Char"/>
    <w:link w:val="22"/>
    <w:semiHidden/>
    <w:qFormat/>
    <w:locked/>
    <w:uiPriority w:val="0"/>
    <w:rPr>
      <w:rFonts w:ascii="Times New Roman" w:hAnsi="Times New Roman" w:eastAsia="宋体"/>
      <w:sz w:val="18"/>
    </w:rPr>
  </w:style>
  <w:style w:type="character" w:customStyle="1" w:styleId="50">
    <w:name w:val="页脚 Char"/>
    <w:link w:val="23"/>
    <w:qFormat/>
    <w:locked/>
    <w:uiPriority w:val="99"/>
    <w:rPr>
      <w:sz w:val="18"/>
    </w:rPr>
  </w:style>
  <w:style w:type="character" w:customStyle="1" w:styleId="51">
    <w:name w:val="页眉 Char"/>
    <w:link w:val="24"/>
    <w:qFormat/>
    <w:locked/>
    <w:uiPriority w:val="0"/>
    <w:rPr>
      <w:sz w:val="18"/>
    </w:rPr>
  </w:style>
  <w:style w:type="character" w:customStyle="1" w:styleId="52">
    <w:name w:val="普通(网站) Char"/>
    <w:link w:val="28"/>
    <w:qFormat/>
    <w:locked/>
    <w:uiPriority w:val="0"/>
    <w:rPr>
      <w:rFonts w:ascii="宋体" w:hAnsi="宋体" w:eastAsia="宋体"/>
      <w:sz w:val="24"/>
    </w:rPr>
  </w:style>
  <w:style w:type="character" w:customStyle="1" w:styleId="53">
    <w:name w:val="批注主题 Char"/>
    <w:link w:val="29"/>
    <w:semiHidden/>
    <w:qFormat/>
    <w:locked/>
    <w:uiPriority w:val="0"/>
    <w:rPr>
      <w:rFonts w:ascii="Times New Roman" w:hAnsi="Times New Roman" w:eastAsia="宋体"/>
      <w:b/>
      <w:kern w:val="2"/>
      <w:sz w:val="24"/>
    </w:rPr>
  </w:style>
  <w:style w:type="character" w:customStyle="1" w:styleId="54">
    <w:name w:val="fontstyle31"/>
    <w:basedOn w:val="33"/>
    <w:qFormat/>
    <w:uiPriority w:val="0"/>
    <w:rPr>
      <w:rFonts w:ascii="TimesNewRomanPSMT" w:hAnsi="TimesNewRomanPSMT" w:eastAsia="TimesNewRomanPSMT" w:cs="TimesNewRomanPSMT"/>
      <w:color w:val="000000"/>
      <w:sz w:val="22"/>
      <w:szCs w:val="22"/>
    </w:rPr>
  </w:style>
  <w:style w:type="character" w:customStyle="1" w:styleId="55">
    <w:name w:val="fontstyle11"/>
    <w:basedOn w:val="33"/>
    <w:qFormat/>
    <w:uiPriority w:val="0"/>
    <w:rPr>
      <w:rFonts w:ascii="宋体" w:hAnsi="宋体" w:eastAsia="宋体" w:cs="宋体"/>
      <w:color w:val="000000"/>
      <w:sz w:val="22"/>
      <w:szCs w:val="22"/>
    </w:rPr>
  </w:style>
  <w:style w:type="character" w:customStyle="1" w:styleId="56">
    <w:name w:val="表格 Char"/>
    <w:link w:val="57"/>
    <w:qFormat/>
    <w:locked/>
    <w:uiPriority w:val="0"/>
    <w:rPr>
      <w:rFonts w:ascii="宋体"/>
      <w:sz w:val="21"/>
    </w:rPr>
  </w:style>
  <w:style w:type="paragraph" w:customStyle="1" w:styleId="57">
    <w:name w:val="表格"/>
    <w:basedOn w:val="1"/>
    <w:next w:val="1"/>
    <w:link w:val="56"/>
    <w:qFormat/>
    <w:uiPriority w:val="0"/>
    <w:pPr>
      <w:adjustRightInd w:val="0"/>
      <w:snapToGrid w:val="0"/>
      <w:spacing w:beforeLines="10" w:afterLines="10" w:line="259" w:lineRule="auto"/>
      <w:jc w:val="center"/>
    </w:pPr>
    <w:rPr>
      <w:rFonts w:ascii="宋体"/>
      <w:kern w:val="0"/>
      <w:szCs w:val="20"/>
    </w:rPr>
  </w:style>
  <w:style w:type="character" w:customStyle="1" w:styleId="58">
    <w:name w:val="页脚 字符"/>
    <w:basedOn w:val="33"/>
    <w:qFormat/>
    <w:uiPriority w:val="99"/>
  </w:style>
  <w:style w:type="character" w:customStyle="1" w:styleId="59">
    <w:name w:val="表内 定 Char"/>
    <w:basedOn w:val="33"/>
    <w:link w:val="60"/>
    <w:qFormat/>
    <w:uiPriority w:val="0"/>
    <w:rPr>
      <w:rFonts w:eastAsia="仿宋"/>
      <w:snapToGrid w:val="0"/>
      <w:color w:val="000000"/>
      <w:kern w:val="0"/>
      <w:sz w:val="20"/>
      <w:szCs w:val="22"/>
    </w:rPr>
  </w:style>
  <w:style w:type="paragraph" w:customStyle="1" w:styleId="60">
    <w:name w:val="表内 定"/>
    <w:basedOn w:val="1"/>
    <w:link w:val="59"/>
    <w:qFormat/>
    <w:uiPriority w:val="0"/>
    <w:pPr>
      <w:jc w:val="left"/>
    </w:pPr>
    <w:rPr>
      <w:rFonts w:eastAsia="仿宋"/>
      <w:snapToGrid w:val="0"/>
      <w:color w:val="000000"/>
      <w:kern w:val="0"/>
      <w:sz w:val="20"/>
      <w:szCs w:val="22"/>
    </w:rPr>
  </w:style>
  <w:style w:type="character" w:customStyle="1" w:styleId="61">
    <w:name w:val="qowt-font1-timesnewroman"/>
    <w:basedOn w:val="33"/>
    <w:qFormat/>
    <w:uiPriority w:val="0"/>
  </w:style>
  <w:style w:type="character" w:customStyle="1" w:styleId="62">
    <w:name w:val="5正文 Char"/>
    <w:basedOn w:val="33"/>
    <w:link w:val="63"/>
    <w:qFormat/>
    <w:uiPriority w:val="0"/>
    <w:rPr>
      <w:rFonts w:ascii="Times New Roman" w:hAnsi="Times New Roman" w:eastAsia="宋体" w:cs="Times New Roman"/>
      <w:kern w:val="2"/>
      <w:sz w:val="24"/>
      <w:szCs w:val="24"/>
      <w:lang w:val="en-US" w:eastAsia="zh-CN" w:bidi="ar-SA"/>
    </w:rPr>
  </w:style>
  <w:style w:type="paragraph" w:customStyle="1" w:styleId="63">
    <w:name w:val="5正文"/>
    <w:link w:val="62"/>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64">
    <w:name w:val="qowt-font2"/>
    <w:basedOn w:val="33"/>
    <w:qFormat/>
    <w:uiPriority w:val="0"/>
  </w:style>
  <w:style w:type="character" w:customStyle="1" w:styleId="65">
    <w:name w:val="fontstyle21"/>
    <w:basedOn w:val="33"/>
    <w:qFormat/>
    <w:uiPriority w:val="0"/>
    <w:rPr>
      <w:rFonts w:ascii="TimesNewRomanPSMT" w:hAnsi="TimesNewRomanPSMT" w:eastAsia="TimesNewRomanPSMT" w:cs="TimesNewRomanPSMT"/>
      <w:color w:val="000000"/>
      <w:sz w:val="22"/>
      <w:szCs w:val="22"/>
    </w:rPr>
  </w:style>
  <w:style w:type="character" w:customStyle="1" w:styleId="66">
    <w:name w:val="批注文字 字符1"/>
    <w:semiHidden/>
    <w:qFormat/>
    <w:uiPriority w:val="0"/>
    <w:rPr>
      <w:rFonts w:ascii="Times New Roman" w:hAnsi="Times New Roman" w:eastAsia="宋体"/>
      <w:sz w:val="24"/>
    </w:rPr>
  </w:style>
  <w:style w:type="character" w:customStyle="1" w:styleId="67">
    <w:name w:val="日期 字符"/>
    <w:semiHidden/>
    <w:qFormat/>
    <w:uiPriority w:val="0"/>
    <w:rPr>
      <w:rFonts w:ascii="Times New Roman" w:hAnsi="Times New Roman" w:eastAsia="宋体"/>
      <w:sz w:val="24"/>
    </w:rPr>
  </w:style>
  <w:style w:type="character" w:customStyle="1" w:styleId="68">
    <w:name w:val="4正文 Char"/>
    <w:link w:val="69"/>
    <w:qFormat/>
    <w:uiPriority w:val="0"/>
    <w:rPr>
      <w:rFonts w:ascii="Times New Roman" w:hAnsi="Times New Roman" w:eastAsia="宋体" w:cs="Times New Roman"/>
      <w:kern w:val="2"/>
      <w:sz w:val="24"/>
      <w:szCs w:val="22"/>
      <w:lang w:val="en-US" w:eastAsia="zh-CN" w:bidi="ar-SA"/>
    </w:rPr>
  </w:style>
  <w:style w:type="paragraph" w:customStyle="1" w:styleId="69">
    <w:name w:val="4正文"/>
    <w:link w:val="68"/>
    <w:qFormat/>
    <w:uiPriority w:val="0"/>
    <w:pPr>
      <w:widowControl w:val="0"/>
      <w:spacing w:line="520" w:lineRule="exact"/>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70">
    <w:name w:val="铭洁 右对齐表头"/>
    <w:qFormat/>
    <w:uiPriority w:val="0"/>
    <w:rPr>
      <w:rFonts w:ascii="Times New Roman" w:hAnsi="Times New Roman" w:eastAsia="黑体"/>
      <w:color w:val="FF00FF"/>
      <w:sz w:val="24"/>
      <w:szCs w:val="24"/>
    </w:rPr>
  </w:style>
  <w:style w:type="character" w:customStyle="1" w:styleId="71">
    <w:name w:val="正文文本 字符1"/>
    <w:semiHidden/>
    <w:qFormat/>
    <w:uiPriority w:val="0"/>
    <w:rPr>
      <w:rFonts w:ascii="Times New Roman" w:hAnsi="Times New Roman" w:eastAsia="宋体"/>
      <w:sz w:val="24"/>
    </w:rPr>
  </w:style>
  <w:style w:type="character" w:customStyle="1" w:styleId="72">
    <w:name w:val="fontstyle01"/>
    <w:basedOn w:val="33"/>
    <w:qFormat/>
    <w:uiPriority w:val="0"/>
    <w:rPr>
      <w:rFonts w:ascii="宋体" w:hAnsi="宋体" w:eastAsia="宋体" w:cs="宋体"/>
      <w:color w:val="000000"/>
      <w:sz w:val="22"/>
      <w:szCs w:val="22"/>
    </w:rPr>
  </w:style>
  <w:style w:type="paragraph" w:customStyle="1" w:styleId="7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02二级标题"/>
    <w:basedOn w:val="1"/>
    <w:qFormat/>
    <w:uiPriority w:val="0"/>
    <w:pPr>
      <w:adjustRightInd w:val="0"/>
      <w:snapToGrid w:val="0"/>
      <w:spacing w:line="520" w:lineRule="exact"/>
      <w:outlineLvl w:val="1"/>
    </w:pPr>
    <w:rPr>
      <w:b/>
      <w:color w:val="000000"/>
      <w:sz w:val="24"/>
    </w:rPr>
  </w:style>
  <w:style w:type="paragraph" w:customStyle="1" w:styleId="75">
    <w:name w:val="正文内容"/>
    <w:basedOn w:val="1"/>
    <w:qFormat/>
    <w:uiPriority w:val="0"/>
    <w:pPr>
      <w:spacing w:line="360" w:lineRule="auto"/>
      <w:ind w:firstLine="200" w:firstLineChars="200"/>
    </w:pPr>
    <w:rPr>
      <w:rFonts w:ascii="宋体"/>
      <w:sz w:val="24"/>
    </w:rPr>
  </w:style>
  <w:style w:type="paragraph" w:customStyle="1" w:styleId="76">
    <w:name w:val="表格文字"/>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77">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szCs w:val="22"/>
      <w:lang w:val="zh-CN" w:eastAsia="zh-CN" w:bidi="ar-SA"/>
    </w:rPr>
  </w:style>
  <w:style w:type="paragraph" w:customStyle="1" w:styleId="79">
    <w:name w:val="样式 小四 行距: 固定值 24 磅"/>
    <w:basedOn w:val="1"/>
    <w:qFormat/>
    <w:uiPriority w:val="0"/>
    <w:pPr>
      <w:adjustRightInd w:val="0"/>
      <w:snapToGrid w:val="0"/>
      <w:spacing w:line="360" w:lineRule="auto"/>
      <w:ind w:firstLine="200" w:firstLineChars="200"/>
    </w:pPr>
    <w:rPr>
      <w:rFonts w:cs="宋体"/>
      <w:sz w:val="24"/>
      <w:szCs w:val="20"/>
    </w:rPr>
  </w:style>
  <w:style w:type="paragraph" w:customStyle="1" w:styleId="80">
    <w:name w:val="05正文"/>
    <w:basedOn w:val="1"/>
    <w:qFormat/>
    <w:uiPriority w:val="0"/>
    <w:pPr>
      <w:spacing w:line="500" w:lineRule="exact"/>
      <w:ind w:firstLine="480" w:firstLineChars="200"/>
    </w:pPr>
    <w:rPr>
      <w:sz w:val="24"/>
    </w:rPr>
  </w:style>
  <w:style w:type="paragraph" w:customStyle="1" w:styleId="81">
    <w:name w:val="4表格内3级标题"/>
    <w:basedOn w:val="63"/>
    <w:next w:val="63"/>
    <w:qFormat/>
    <w:uiPriority w:val="0"/>
    <w:pPr>
      <w:ind w:firstLine="0" w:firstLineChars="0"/>
      <w:jc w:val="left"/>
    </w:pPr>
  </w:style>
  <w:style w:type="paragraph" w:customStyle="1" w:styleId="82">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83">
    <w:name w:val="表格内容"/>
    <w:basedOn w:val="84"/>
    <w:qFormat/>
    <w:uiPriority w:val="0"/>
    <w:pPr>
      <w:tabs>
        <w:tab w:val="left" w:pos="1415"/>
      </w:tabs>
      <w:spacing w:line="240" w:lineRule="auto"/>
      <w:ind w:firstLine="0" w:firstLineChars="0"/>
      <w:jc w:val="center"/>
    </w:pPr>
    <w:rPr>
      <w:spacing w:val="10"/>
      <w:sz w:val="24"/>
    </w:rPr>
  </w:style>
  <w:style w:type="paragraph" w:customStyle="1" w:styleId="84">
    <w:name w:val="段落"/>
    <w:basedOn w:val="19"/>
    <w:qFormat/>
    <w:uiPriority w:val="0"/>
    <w:pPr>
      <w:adjustRightInd w:val="0"/>
      <w:snapToGrid w:val="0"/>
      <w:spacing w:line="280" w:lineRule="exact"/>
      <w:textAlignment w:val="baseline"/>
    </w:pPr>
    <w:rPr>
      <w:kern w:val="0"/>
      <w:sz w:val="18"/>
      <w:szCs w:val="20"/>
    </w:rPr>
  </w:style>
  <w:style w:type="paragraph" w:customStyle="1" w:styleId="85">
    <w:name w:val="表头"/>
    <w:basedOn w:val="83"/>
    <w:qFormat/>
    <w:uiPriority w:val="0"/>
    <w:pPr>
      <w:autoSpaceDE w:val="0"/>
      <w:autoSpaceDN w:val="0"/>
      <w:spacing w:line="520" w:lineRule="exact"/>
      <w:ind w:left="168" w:firstLine="567"/>
    </w:pPr>
    <w:rPr>
      <w:rFonts w:ascii="Times New Roman" w:hAnsi="Times New Roman" w:eastAsia="黑体"/>
      <w:bCs/>
      <w:sz w:val="24"/>
      <w:szCs w:val="24"/>
    </w:rPr>
  </w:style>
  <w:style w:type="paragraph" w:styleId="86">
    <w:name w:val="List Paragraph"/>
    <w:basedOn w:val="1"/>
    <w:next w:val="1"/>
    <w:qFormat/>
    <w:uiPriority w:val="0"/>
    <w:pPr>
      <w:spacing w:line="200" w:lineRule="atLeast"/>
      <w:jc w:val="center"/>
    </w:pPr>
    <w:rPr>
      <w:szCs w:val="22"/>
    </w:rPr>
  </w:style>
  <w:style w:type="paragraph" w:customStyle="1" w:styleId="87">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88">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89">
    <w:name w:val="表格内容居中"/>
    <w:basedOn w:val="90"/>
    <w:qFormat/>
    <w:uiPriority w:val="0"/>
    <w:pPr>
      <w:adjustRightInd w:val="0"/>
      <w:snapToGrid w:val="0"/>
      <w:spacing w:line="360" w:lineRule="exact"/>
      <w:ind w:firstLine="0" w:firstLineChars="0"/>
      <w:jc w:val="center"/>
    </w:pPr>
    <w:rPr>
      <w:rFonts w:ascii="Times New Roman" w:hAnsi="Times New Roman" w:eastAsia="Times New Roman"/>
      <w:sz w:val="21"/>
      <w:szCs w:val="24"/>
    </w:rPr>
  </w:style>
  <w:style w:type="paragraph" w:customStyle="1" w:styleId="90">
    <w:name w:val="自设正文"/>
    <w:basedOn w:val="1"/>
    <w:qFormat/>
    <w:uiPriority w:val="0"/>
    <w:pPr>
      <w:spacing w:line="520" w:lineRule="exact"/>
      <w:ind w:firstLine="560"/>
    </w:pPr>
    <w:rPr>
      <w:rFonts w:cs="宋体"/>
      <w:sz w:val="28"/>
      <w:szCs w:val="20"/>
    </w:rPr>
  </w:style>
  <w:style w:type="paragraph" w:customStyle="1" w:styleId="91">
    <w:name w:val="报告书"/>
    <w:basedOn w:val="1"/>
    <w:qFormat/>
    <w:uiPriority w:val="0"/>
    <w:pPr>
      <w:adjustRightInd w:val="0"/>
      <w:snapToGrid w:val="0"/>
      <w:spacing w:line="440" w:lineRule="atLeast"/>
      <w:ind w:firstLine="482"/>
      <w:textAlignment w:val="baseline"/>
    </w:pPr>
    <w:rPr>
      <w:rFonts w:ascii="宋体"/>
      <w:kern w:val="24"/>
      <w:sz w:val="24"/>
      <w:szCs w:val="20"/>
    </w:rPr>
  </w:style>
  <w:style w:type="paragraph" w:customStyle="1" w:styleId="92">
    <w:name w:val="常用正文样式"/>
    <w:basedOn w:val="1"/>
    <w:qFormat/>
    <w:uiPriority w:val="0"/>
    <w:pPr>
      <w:spacing w:line="360" w:lineRule="auto"/>
      <w:ind w:firstLine="480" w:firstLineChars="200"/>
    </w:pPr>
    <w:rPr>
      <w:rFonts w:ascii="宋体" w:hAnsi="宋体" w:cs="宋体"/>
      <w:bCs/>
      <w:kern w:val="28"/>
      <w:sz w:val="24"/>
      <w:szCs w:val="20"/>
    </w:rPr>
  </w:style>
  <w:style w:type="paragraph" w:customStyle="1" w:styleId="93">
    <w:name w:val="表内字"/>
    <w:basedOn w:val="1"/>
    <w:qFormat/>
    <w:uiPriority w:val="0"/>
    <w:pPr>
      <w:spacing w:line="300" w:lineRule="exact"/>
      <w:jc w:val="center"/>
    </w:pPr>
    <w:rPr>
      <w:szCs w:val="21"/>
    </w:rPr>
  </w:style>
  <w:style w:type="paragraph" w:customStyle="1" w:styleId="94">
    <w:name w:val="Table Paragraph"/>
    <w:basedOn w:val="1"/>
    <w:qFormat/>
    <w:uiPriority w:val="1"/>
    <w:pPr>
      <w:jc w:val="center"/>
    </w:pPr>
    <w:rPr>
      <w:rFonts w:ascii="宋体" w:hAnsi="宋体" w:eastAsia="宋体" w:cs="宋体"/>
      <w:lang w:val="zh-CN" w:eastAsia="zh-CN" w:bidi="zh-CN"/>
    </w:rPr>
  </w:style>
  <w:style w:type="paragraph" w:customStyle="1" w:styleId="95">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9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97">
    <w:name w:val="Default"/>
    <w:basedOn w:val="98"/>
    <w:next w:val="10"/>
    <w:qFormat/>
    <w:uiPriority w:val="0"/>
    <w:pPr>
      <w:widowControl w:val="0"/>
      <w:autoSpaceDE w:val="0"/>
      <w:autoSpaceDN w:val="0"/>
      <w:adjustRightInd w:val="0"/>
      <w:spacing w:line="520" w:lineRule="exact"/>
      <w:ind w:firstLine="880" w:firstLineChars="200"/>
    </w:pPr>
    <w:rPr>
      <w:rFonts w:ascii="宋体" w:hAnsi="宋体" w:eastAsia="宋体" w:cs="宋体"/>
      <w:color w:val="000000"/>
      <w:sz w:val="24"/>
      <w:szCs w:val="24"/>
      <w:lang w:val="en-US" w:eastAsia="zh-CN" w:bidi="ar-SA"/>
    </w:rPr>
  </w:style>
  <w:style w:type="paragraph" w:customStyle="1" w:styleId="9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99">
    <w:name w:val="纯文本1"/>
    <w:basedOn w:val="1"/>
    <w:qFormat/>
    <w:uiPriority w:val="0"/>
    <w:rPr>
      <w:rFonts w:ascii="宋体" w:hAnsi="Courier New" w:cs="宋体"/>
      <w:b/>
      <w:sz w:val="24"/>
    </w:rPr>
  </w:style>
  <w:style w:type="paragraph" w:customStyle="1" w:styleId="100">
    <w:name w:val="样式35"/>
    <w:basedOn w:val="101"/>
    <w:next w:val="102"/>
    <w:unhideWhenUsed/>
    <w:qFormat/>
    <w:uiPriority w:val="0"/>
    <w:pPr>
      <w:tabs>
        <w:tab w:val="left" w:pos="0"/>
        <w:tab w:val="left" w:pos="360"/>
        <w:tab w:val="left" w:pos="540"/>
        <w:tab w:val="left" w:pos="567"/>
      </w:tabs>
      <w:spacing w:line="312" w:lineRule="auto"/>
      <w:ind w:firstLine="567"/>
      <w:jc w:val="both"/>
    </w:pPr>
  </w:style>
  <w:style w:type="paragraph" w:customStyle="1" w:styleId="101">
    <w:name w:val="表 内容"/>
    <w:basedOn w:val="1"/>
    <w:unhideWhenUsed/>
    <w:qFormat/>
    <w:uiPriority w:val="0"/>
    <w:pPr>
      <w:spacing w:line="276" w:lineRule="auto"/>
      <w:jc w:val="center"/>
    </w:pPr>
    <w:rPr>
      <w:rFonts w:hint="eastAsia" w:ascii="仿宋" w:hAnsi="仿宋" w:eastAsia="仿宋"/>
      <w:sz w:val="24"/>
    </w:rPr>
  </w:style>
  <w:style w:type="paragraph" w:customStyle="1" w:styleId="102">
    <w:name w:val="font6"/>
    <w:basedOn w:val="1"/>
    <w:next w:val="25"/>
    <w:unhideWhenUsed/>
    <w:qFormat/>
    <w:uiPriority w:val="0"/>
    <w:pPr>
      <w:spacing w:before="100" w:beforeAutospacing="1" w:after="100" w:afterAutospacing="1"/>
    </w:pPr>
    <w:rPr>
      <w:rFonts w:hint="eastAsia" w:ascii="宋体" w:hAnsi="宋体"/>
      <w:color w:val="000000"/>
      <w:kern w:val="0"/>
    </w:rPr>
  </w:style>
  <w:style w:type="paragraph" w:customStyle="1" w:styleId="103">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paragraph" w:customStyle="1" w:styleId="104">
    <w:name w:val="6表头"/>
    <w:next w:val="63"/>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105">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106">
    <w:name w:val="03正文"/>
    <w:basedOn w:val="1"/>
    <w:qFormat/>
    <w:uiPriority w:val="0"/>
    <w:pPr>
      <w:snapToGrid w:val="0"/>
      <w:spacing w:line="440" w:lineRule="exact"/>
      <w:ind w:firstLine="482"/>
      <w:jc w:val="left"/>
    </w:pPr>
    <w:rPr>
      <w:color w:val="000000"/>
      <w:sz w:val="24"/>
    </w:rPr>
  </w:style>
  <w:style w:type="paragraph" w:customStyle="1" w:styleId="107">
    <w:name w:val="蓝森正文"/>
    <w:basedOn w:val="1"/>
    <w:qFormat/>
    <w:uiPriority w:val="0"/>
    <w:pPr>
      <w:spacing w:line="440" w:lineRule="exact"/>
      <w:ind w:firstLine="480" w:firstLineChars="200"/>
    </w:pPr>
    <w:rPr>
      <w:kern w:val="0"/>
      <w:sz w:val="24"/>
      <w:szCs w:val="24"/>
    </w:rPr>
  </w:style>
  <w:style w:type="paragraph" w:customStyle="1" w:styleId="108">
    <w:name w:val="4级标题"/>
    <w:basedOn w:val="1"/>
    <w:next w:val="63"/>
    <w:qFormat/>
    <w:uiPriority w:val="0"/>
    <w:pPr>
      <w:spacing w:line="520" w:lineRule="exact"/>
      <w:outlineLvl w:val="3"/>
    </w:pPr>
    <w:rPr>
      <w:rFonts w:ascii="Times New Roman" w:hAnsi="Times New Roman"/>
      <w:b/>
      <w:sz w:val="24"/>
    </w:rPr>
  </w:style>
  <w:style w:type="paragraph" w:customStyle="1" w:styleId="109">
    <w:name w:val="000"/>
    <w:basedOn w:val="1"/>
    <w:qFormat/>
    <w:uiPriority w:val="0"/>
    <w:pPr>
      <w:snapToGrid w:val="0"/>
      <w:spacing w:line="520" w:lineRule="exact"/>
      <w:ind w:firstLine="200" w:firstLineChars="200"/>
    </w:pPr>
    <w:rPr>
      <w:sz w:val="24"/>
    </w:rPr>
  </w:style>
  <w:style w:type="paragraph" w:customStyle="1" w:styleId="110">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111">
    <w:name w:val="表格内格式"/>
    <w:basedOn w:val="1"/>
    <w:next w:val="1"/>
    <w:qFormat/>
    <w:uiPriority w:val="0"/>
    <w:pPr>
      <w:widowControl/>
      <w:spacing w:line="360" w:lineRule="exact"/>
      <w:jc w:val="center"/>
    </w:pPr>
    <w:rPr>
      <w:kern w:val="0"/>
      <w:szCs w:val="20"/>
    </w:rPr>
  </w:style>
  <w:style w:type="character" w:customStyle="1" w:styleId="112">
    <w:name w:val="font21"/>
    <w:basedOn w:val="33"/>
    <w:qFormat/>
    <w:uiPriority w:val="0"/>
    <w:rPr>
      <w:rFonts w:hint="default" w:ascii="Times New Roman" w:hAnsi="Times New Roman" w:cs="Times New Roman"/>
      <w:color w:val="000000"/>
      <w:sz w:val="21"/>
      <w:szCs w:val="21"/>
      <w:u w:val="none"/>
    </w:rPr>
  </w:style>
  <w:style w:type="character" w:customStyle="1" w:styleId="113">
    <w:name w:val="font11"/>
    <w:basedOn w:val="33"/>
    <w:qFormat/>
    <w:uiPriority w:val="0"/>
    <w:rPr>
      <w:rFonts w:hint="eastAsia" w:ascii="宋体" w:hAnsi="宋体" w:eastAsia="宋体" w:cs="宋体"/>
      <w:color w:val="000000"/>
      <w:sz w:val="21"/>
      <w:szCs w:val="21"/>
      <w:u w:val="none"/>
    </w:rPr>
  </w:style>
  <w:style w:type="paragraph" w:customStyle="1" w:styleId="114">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15">
    <w:name w:val="标1"/>
    <w:basedOn w:val="1"/>
    <w:qFormat/>
    <w:uiPriority w:val="0"/>
    <w:pPr>
      <w:spacing w:before="60" w:beforeLines="0" w:line="460" w:lineRule="exact"/>
      <w:outlineLvl w:val="0"/>
    </w:pPr>
    <w:rPr>
      <w:b/>
      <w:sz w:val="32"/>
    </w:rPr>
  </w:style>
  <w:style w:type="paragraph" w:customStyle="1" w:styleId="116">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character" w:customStyle="1" w:styleId="117">
    <w:name w:val="font31"/>
    <w:basedOn w:val="33"/>
    <w:qFormat/>
    <w:uiPriority w:val="0"/>
    <w:rPr>
      <w:rFonts w:hint="default" w:ascii="Times New Roman" w:hAnsi="Times New Roman" w:cs="Times New Roman"/>
      <w:color w:val="000000"/>
      <w:sz w:val="21"/>
      <w:szCs w:val="21"/>
      <w:u w:val="single"/>
    </w:rPr>
  </w:style>
  <w:style w:type="paragraph" w:customStyle="1" w:styleId="118">
    <w:name w:val="报告正文"/>
    <w:basedOn w:val="1"/>
    <w:qFormat/>
    <w:uiPriority w:val="0"/>
    <w:pPr>
      <w:adjustRightInd w:val="0"/>
      <w:snapToGrid w:val="0"/>
      <w:spacing w:line="360" w:lineRule="auto"/>
      <w:ind w:firstLine="200" w:firstLineChars="200"/>
    </w:pPr>
    <w:rPr>
      <w:rFonts w:ascii="宋体"/>
      <w:sz w:val="24"/>
      <w:szCs w:val="20"/>
    </w:rPr>
  </w:style>
  <w:style w:type="paragraph" w:customStyle="1" w:styleId="119">
    <w:name w:val="表格标题1"/>
    <w:basedOn w:val="1"/>
    <w:qFormat/>
    <w:uiPriority w:val="0"/>
    <w:pPr>
      <w:numPr>
        <w:ilvl w:val="0"/>
        <w:numId w:val="5"/>
      </w:numPr>
      <w:adjustRightInd w:val="0"/>
      <w:snapToGrid w:val="0"/>
      <w:ind w:left="620"/>
    </w:pPr>
    <w:rPr>
      <w:rFonts w:eastAsia="黑体" w:cs="Times New Roman"/>
      <w:sz w:val="24"/>
      <w:szCs w:val="21"/>
    </w:rPr>
  </w:style>
  <w:style w:type="paragraph" w:customStyle="1" w:styleId="120">
    <w:name w:val="表中文字"/>
    <w:qFormat/>
    <w:uiPriority w:val="0"/>
    <w:pPr>
      <w:widowControl w:val="0"/>
      <w:adjustRightInd w:val="0"/>
      <w:snapToGrid w:val="0"/>
      <w:jc w:val="center"/>
    </w:pPr>
    <w:rPr>
      <w:rFonts w:ascii="Times New Roman" w:hAnsi="Times New Roman" w:eastAsia="宋体" w:cs="Times New Roman"/>
      <w:bCs/>
      <w:sz w:val="21"/>
      <w:szCs w:val="24"/>
      <w:lang w:val="en-US" w:eastAsia="zh-CN" w:bidi="ar-SA"/>
    </w:rPr>
  </w:style>
  <w:style w:type="paragraph" w:customStyle="1" w:styleId="121">
    <w:name w:val="样式 正文缩进正文缩进2正文缩进 Char Char正文缩进 Char Char Char Char正文缩进 Char ..."/>
    <w:basedOn w:val="5"/>
    <w:qFormat/>
    <w:uiPriority w:val="0"/>
    <w:pPr>
      <w:spacing w:line="360" w:lineRule="auto"/>
      <w:ind w:firstLine="200"/>
    </w:pPr>
    <w:rPr>
      <w:rFonts w:cs="宋体"/>
      <w:sz w:val="24"/>
      <w:lang w:val="en-US" w:eastAsia="zh-CN" w:bidi="ar-SA"/>
    </w:rPr>
  </w:style>
  <w:style w:type="paragraph" w:customStyle="1" w:styleId="122">
    <w:name w:val="表、图标题"/>
    <w:basedOn w:val="1"/>
    <w:qFormat/>
    <w:uiPriority w:val="0"/>
    <w:pPr>
      <w:spacing w:line="240" w:lineRule="auto"/>
      <w:ind w:firstLine="0" w:firstLineChars="0"/>
      <w:jc w:val="center"/>
    </w:pPr>
    <w:rPr>
      <w:rFonts w:ascii="Times New Roman" w:hAnsi="Times New Roman" w:eastAsia="黑体"/>
      <w:color w:val="000000"/>
      <w:sz w:val="21"/>
      <w:szCs w:val="21"/>
    </w:rPr>
  </w:style>
  <w:style w:type="paragraph" w:customStyle="1" w:styleId="123">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character" w:customStyle="1" w:styleId="124">
    <w:name w:val="font51"/>
    <w:basedOn w:val="33"/>
    <w:qFormat/>
    <w:uiPriority w:val="0"/>
    <w:rPr>
      <w:rFonts w:hint="default" w:ascii="Times New Roman" w:hAnsi="Times New Roman" w:cs="Times New Roman"/>
      <w:color w:val="000000"/>
      <w:sz w:val="21"/>
      <w:szCs w:val="21"/>
      <w:u w:val="none"/>
      <w:vertAlign w:val="superscript"/>
    </w:rPr>
  </w:style>
  <w:style w:type="character" w:customStyle="1" w:styleId="125">
    <w:name w:val="font41"/>
    <w:basedOn w:val="33"/>
    <w:qFormat/>
    <w:uiPriority w:val="0"/>
    <w:rPr>
      <w:rFonts w:hint="eastAsia" w:ascii="宋体" w:hAnsi="宋体" w:eastAsia="宋体" w:cs="宋体"/>
      <w:color w:val="000000"/>
      <w:sz w:val="21"/>
      <w:szCs w:val="21"/>
      <w:u w:val="none"/>
    </w:rPr>
  </w:style>
  <w:style w:type="character" w:customStyle="1" w:styleId="126">
    <w:name w:val="radio-btn"/>
    <w:basedOn w:val="33"/>
    <w:qFormat/>
    <w:uiPriority w:val="0"/>
    <w:rPr>
      <w:sz w:val="24"/>
      <w:szCs w:val="24"/>
    </w:rPr>
  </w:style>
  <w:style w:type="character" w:customStyle="1" w:styleId="127">
    <w:name w:val="radio-btn1"/>
    <w:basedOn w:val="33"/>
    <w:qFormat/>
    <w:uiPriority w:val="0"/>
    <w:rPr>
      <w:sz w:val="21"/>
      <w:szCs w:val="21"/>
    </w:rPr>
  </w:style>
  <w:style w:type="character" w:customStyle="1" w:styleId="128">
    <w:name w:val="radio-btn2"/>
    <w:basedOn w:val="33"/>
    <w:qFormat/>
    <w:uiPriority w:val="0"/>
    <w:rPr>
      <w:sz w:val="24"/>
      <w:szCs w:val="24"/>
    </w:rPr>
  </w:style>
  <w:style w:type="character" w:customStyle="1" w:styleId="129">
    <w:name w:val="cur"/>
    <w:basedOn w:val="33"/>
    <w:qFormat/>
    <w:uiPriority w:val="0"/>
    <w:rPr>
      <w:color w:val="FFFFFF"/>
      <w:shd w:val="clear" w:fill="2F6B98"/>
    </w:rPr>
  </w:style>
  <w:style w:type="character" w:customStyle="1" w:styleId="130">
    <w:name w:val="lable"/>
    <w:basedOn w:val="33"/>
    <w:qFormat/>
    <w:uiPriority w:val="0"/>
    <w:rPr>
      <w:sz w:val="24"/>
      <w:szCs w:val="24"/>
    </w:rPr>
  </w:style>
  <w:style w:type="character" w:customStyle="1" w:styleId="131">
    <w:name w:val="lishishuju"/>
    <w:basedOn w:val="33"/>
    <w:qFormat/>
    <w:uiPriority w:val="0"/>
    <w:rPr>
      <w:b/>
      <w:bCs/>
      <w:color w:val="000052"/>
      <w:sz w:val="24"/>
      <w:szCs w:val="24"/>
      <w:bdr w:val="single" w:color="E3E3E3" w:sz="6" w:space="0"/>
    </w:rPr>
  </w:style>
  <w:style w:type="character" w:customStyle="1" w:styleId="132">
    <w:name w:val="znspantitle"/>
    <w:basedOn w:val="33"/>
    <w:qFormat/>
    <w:uiPriority w:val="0"/>
    <w:rPr>
      <w:b/>
      <w:bCs/>
      <w:color w:val="333333"/>
    </w:rPr>
  </w:style>
  <w:style w:type="character" w:customStyle="1" w:styleId="133">
    <w:name w:val="默认段落字体1"/>
    <w:qFormat/>
    <w:uiPriority w:val="0"/>
  </w:style>
  <w:style w:type="table" w:customStyle="1" w:styleId="134">
    <w:name w:val="Table Normal"/>
    <w:unhideWhenUsed/>
    <w:qFormat/>
    <w:uiPriority w:val="0"/>
    <w:tblPr>
      <w:tblCellMar>
        <w:top w:w="0" w:type="dxa"/>
        <w:left w:w="0" w:type="dxa"/>
        <w:bottom w:w="0" w:type="dxa"/>
        <w:right w:w="0" w:type="dxa"/>
      </w:tblCellMar>
    </w:tblPr>
  </w:style>
  <w:style w:type="paragraph" w:customStyle="1" w:styleId="135">
    <w:name w:val="！正文样式xh"/>
    <w:basedOn w:val="136"/>
    <w:qFormat/>
    <w:uiPriority w:val="0"/>
  </w:style>
  <w:style w:type="paragraph" w:customStyle="1" w:styleId="136">
    <w:name w:val="正文xh"/>
    <w:basedOn w:val="1"/>
    <w:qFormat/>
    <w:uiPriority w:val="0"/>
    <w:pPr>
      <w:autoSpaceDE w:val="0"/>
      <w:autoSpaceDN w:val="0"/>
      <w:adjustRightInd w:val="0"/>
      <w:spacing w:line="360" w:lineRule="auto"/>
      <w:ind w:firstLine="200" w:firstLineChars="200"/>
      <w:jc w:val="left"/>
    </w:pPr>
    <w:rPr>
      <w:rFonts w:ascii="Times New Roman" w:hAnsi="Times New Roman" w:eastAsia="宋体" w:cs="宋体"/>
      <w:color w:val="000000"/>
      <w:kern w:val="0"/>
      <w:sz w:val="24"/>
      <w:szCs w:val="24"/>
    </w:rPr>
  </w:style>
  <w:style w:type="paragraph" w:customStyle="1" w:styleId="137">
    <w:name w:val="表格标题"/>
    <w:basedOn w:val="1"/>
    <w:qFormat/>
    <w:uiPriority w:val="0"/>
    <w:pPr>
      <w:adjustRightInd w:val="0"/>
      <w:snapToGrid w:val="0"/>
      <w:spacing w:line="360" w:lineRule="auto"/>
      <w:ind w:firstLine="0" w:firstLineChars="0"/>
      <w:jc w:val="center"/>
    </w:pPr>
    <w:rPr>
      <w:b/>
      <w:snapToGrid w:val="0"/>
      <w:kern w:val="0"/>
      <w:sz w:val="21"/>
    </w:rPr>
  </w:style>
  <w:style w:type="paragraph" w:customStyle="1" w:styleId="138">
    <w:name w:val="图表标题"/>
    <w:basedOn w:val="1"/>
    <w:next w:val="1"/>
    <w:qFormat/>
    <w:uiPriority w:val="0"/>
    <w:pPr>
      <w:keepNext/>
      <w:spacing w:beforeLines="50" w:line="360" w:lineRule="auto"/>
      <w:jc w:val="center"/>
      <w:outlineLvl w:val="2"/>
    </w:pPr>
    <w:rPr>
      <w:rFonts w:eastAsiaTheme="minorEastAsia"/>
      <w:b/>
      <w:sz w:val="24"/>
    </w:rPr>
  </w:style>
  <w:style w:type="paragraph" w:customStyle="1" w:styleId="1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53</Pages>
  <Words>18808</Words>
  <Characters>21092</Characters>
  <Lines>13</Lines>
  <Paragraphs>3</Paragraphs>
  <TotalTime>1</TotalTime>
  <ScaleCrop>false</ScaleCrop>
  <LinksUpToDate>false</LinksUpToDate>
  <CharactersWithSpaces>21422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好嗨牛</cp:lastModifiedBy>
  <cp:lastPrinted>2021-09-09T09:01:00Z</cp:lastPrinted>
  <dcterms:modified xsi:type="dcterms:W3CDTF">2024-11-19T06:51:52Z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22E0B8E136DA4F308BBFEE9A233C53D3_13</vt:lpwstr>
  </property>
</Properties>
</file>