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附件 1 </w:t>
      </w:r>
    </w:p>
    <w:p>
      <w:pPr>
        <w:keepNext w:val="0"/>
        <w:keepLines w:val="0"/>
        <w:widowControl/>
        <w:numPr>
          <w:ilvl w:val="0"/>
          <w:numId w:val="0"/>
        </w:numPr>
        <w:suppressLineNumbers w:val="0"/>
        <w:jc w:val="center"/>
        <w:rPr>
          <w:rFonts w:ascii="宋体" w:hAnsi="宋体" w:eastAsia="宋体" w:cs="宋体"/>
          <w:color w:val="auto"/>
          <w:kern w:val="0"/>
          <w:sz w:val="24"/>
          <w:szCs w:val="24"/>
          <w:lang w:val="en-US" w:eastAsia="zh-CN" w:bidi="ar"/>
        </w:rPr>
      </w:pPr>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庙子镇行政执法证件人员信息表</w:t>
      </w:r>
    </w:p>
    <w:tbl>
      <w:tblPr>
        <w:tblStyle w:val="5"/>
        <w:tblW w:w="14597" w:type="dxa"/>
        <w:tblInd w:w="-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85"/>
        <w:gridCol w:w="625"/>
        <w:gridCol w:w="875"/>
        <w:gridCol w:w="2259"/>
        <w:gridCol w:w="1433"/>
        <w:gridCol w:w="2174"/>
        <w:gridCol w:w="3137"/>
        <w:gridCol w:w="1232"/>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姓名</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性别</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职</w:t>
            </w:r>
            <w:r>
              <w:rPr>
                <w:rFonts w:hint="eastAsia" w:ascii="微软雅黑" w:hAnsi="微软雅黑" w:eastAsia="微软雅黑" w:cs="微软雅黑"/>
                <w:b/>
                <w:bCs/>
                <w:i w:val="0"/>
                <w:iCs w:val="0"/>
                <w:color w:val="auto"/>
                <w:kern w:val="0"/>
                <w:sz w:val="18"/>
                <w:szCs w:val="18"/>
                <w:u w:val="none"/>
                <w:lang w:val="en-US" w:eastAsia="zh-CN" w:bidi="ar"/>
              </w:rPr>
              <w:t xml:space="preserve"> </w:t>
            </w:r>
            <w:r>
              <w:rPr>
                <w:rFonts w:hint="default" w:ascii="微软雅黑" w:hAnsi="微软雅黑" w:eastAsia="微软雅黑" w:cs="微软雅黑"/>
                <w:b/>
                <w:bCs/>
                <w:i w:val="0"/>
                <w:iCs w:val="0"/>
                <w:color w:val="auto"/>
                <w:kern w:val="0"/>
                <w:sz w:val="18"/>
                <w:szCs w:val="18"/>
                <w:u w:val="none"/>
                <w:lang w:val="en-US" w:eastAsia="zh-CN" w:bidi="ar"/>
              </w:rPr>
              <w:t>级</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身份证号</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证件号</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申请单位</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执法单位</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业务状态</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18"/>
                <w:szCs w:val="18"/>
                <w:u w:val="none"/>
              </w:rPr>
            </w:pPr>
            <w:r>
              <w:rPr>
                <w:rFonts w:hint="default" w:ascii="微软雅黑" w:hAnsi="微软雅黑" w:eastAsia="微软雅黑" w:cs="微软雅黑"/>
                <w:b/>
                <w:bCs/>
                <w:i w:val="0"/>
                <w:iCs w:val="0"/>
                <w:color w:val="auto"/>
                <w:kern w:val="0"/>
                <w:sz w:val="18"/>
                <w:szCs w:val="18"/>
                <w:u w:val="none"/>
                <w:lang w:val="en-US" w:eastAsia="zh-CN" w:bidi="ar"/>
              </w:rPr>
              <w:t>添加时间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张杰</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女</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0028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16031597042</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2020-08-09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王军军</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0611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16031597036</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栾川县庙子镇国土规划建设所</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张新生</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1119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16031597035</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赵瑞彪</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0619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16031597032</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栾川县庙子镇党政综合便民服务中心</w:t>
            </w:r>
            <w:r>
              <w:rPr>
                <w:rFonts w:hint="default" w:ascii="微软雅黑" w:hAnsi="微软雅黑" w:eastAsia="微软雅黑" w:cs="微软雅黑"/>
                <w:i w:val="0"/>
                <w:iCs w:val="0"/>
                <w:color w:val="auto"/>
                <w:kern w:val="0"/>
                <w:sz w:val="18"/>
                <w:szCs w:val="18"/>
                <w:u w:val="none"/>
                <w:lang w:val="en-US" w:eastAsia="zh-CN" w:bidi="ar"/>
              </w:rPr>
              <w:br w:type="textWrapping"/>
            </w:r>
            <w:r>
              <w:rPr>
                <w:rFonts w:hint="default" w:ascii="微软雅黑" w:hAnsi="微软雅黑" w:eastAsia="微软雅黑" w:cs="微软雅黑"/>
                <w:i w:val="0"/>
                <w:iCs w:val="0"/>
                <w:color w:val="auto"/>
                <w:kern w:val="0"/>
                <w:sz w:val="18"/>
                <w:szCs w:val="18"/>
                <w:u w:val="none"/>
                <w:lang w:val="en-US" w:eastAsia="zh-CN" w:bidi="ar"/>
              </w:rPr>
              <w:t>（退役军人服务站、人社保障所）</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孙振军</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0618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16031597031</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张云</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女</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410728</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7661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16031597030</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栾川县庙子镇国土规划建设所</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马俊浩</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科员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0011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16031597025</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黄闪</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410303</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2024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16031597023</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段振国</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科员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0312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16031597021</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甘磊</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科员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0612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16031597020</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证件已发放</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步焱杰</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w:t>
            </w:r>
            <w:r>
              <w:rPr>
                <w:rFonts w:hint="eastAsia" w:ascii="微软雅黑" w:hAnsi="微软雅黑" w:eastAsia="微软雅黑" w:cs="微软雅黑"/>
                <w:i w:val="0"/>
                <w:iCs w:val="0"/>
                <w:color w:val="auto"/>
                <w:kern w:val="0"/>
                <w:sz w:val="18"/>
                <w:szCs w:val="18"/>
                <w:u w:val="none"/>
                <w:lang w:val="en-US" w:eastAsia="zh-CN" w:bidi="ar"/>
              </w:rPr>
              <w:t>034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16031597179</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王乐斌</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科员</w:t>
            </w:r>
            <w:r>
              <w:rPr>
                <w:rStyle w:val="7"/>
                <w:color w:val="auto"/>
                <w:sz w:val="18"/>
                <w:szCs w:val="18"/>
                <w:lang w:val="en-US" w:eastAsia="zh-CN" w:bidi="ar"/>
              </w:rPr>
              <w:t xml:space="preserve"> </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w:t>
            </w:r>
            <w:r>
              <w:rPr>
                <w:rFonts w:hint="eastAsia" w:ascii="微软雅黑" w:hAnsi="微软雅黑" w:eastAsia="微软雅黑" w:cs="微软雅黑"/>
                <w:i w:val="0"/>
                <w:iCs w:val="0"/>
                <w:color w:val="auto"/>
                <w:kern w:val="0"/>
                <w:sz w:val="18"/>
                <w:szCs w:val="18"/>
                <w:u w:val="none"/>
                <w:lang w:val="en-US" w:eastAsia="zh-CN" w:bidi="ar"/>
              </w:rPr>
              <w:t>4*****</w:t>
            </w:r>
            <w:r>
              <w:rPr>
                <w:rFonts w:hint="default" w:ascii="微软雅黑" w:hAnsi="微软雅黑" w:eastAsia="微软雅黑" w:cs="微软雅黑"/>
                <w:i w:val="0"/>
                <w:iCs w:val="0"/>
                <w:color w:val="auto"/>
                <w:kern w:val="0"/>
                <w:sz w:val="18"/>
                <w:szCs w:val="18"/>
                <w:u w:val="none"/>
                <w:lang w:val="en-US" w:eastAsia="zh-CN" w:bidi="ar"/>
              </w:rPr>
              <w:t>0</w:t>
            </w:r>
            <w:r>
              <w:rPr>
                <w:rFonts w:hint="eastAsia" w:ascii="微软雅黑" w:hAnsi="微软雅黑" w:eastAsia="微软雅黑" w:cs="微软雅黑"/>
                <w:i w:val="0"/>
                <w:iCs w:val="0"/>
                <w:color w:val="auto"/>
                <w:kern w:val="0"/>
                <w:sz w:val="18"/>
                <w:szCs w:val="18"/>
                <w:u w:val="none"/>
                <w:lang w:val="en-US" w:eastAsia="zh-CN" w:bidi="ar"/>
              </w:rPr>
              <w:t>613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16031597182</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王蕾</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女</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00</w:t>
            </w:r>
            <w:r>
              <w:rPr>
                <w:rFonts w:hint="eastAsia" w:ascii="微软雅黑" w:hAnsi="微软雅黑" w:eastAsia="微软雅黑" w:cs="微软雅黑"/>
                <w:i w:val="0"/>
                <w:iCs w:val="0"/>
                <w:color w:val="auto"/>
                <w:kern w:val="0"/>
                <w:sz w:val="18"/>
                <w:szCs w:val="18"/>
                <w:u w:val="none"/>
                <w:lang w:val="en-US" w:eastAsia="zh-CN" w:bidi="ar"/>
              </w:rPr>
              <w:t>24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16031597181</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雪文超</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w:t>
            </w:r>
            <w:r>
              <w:rPr>
                <w:rFonts w:hint="eastAsia" w:ascii="微软雅黑" w:hAnsi="微软雅黑" w:eastAsia="微软雅黑" w:cs="微软雅黑"/>
                <w:i w:val="0"/>
                <w:iCs w:val="0"/>
                <w:color w:val="auto"/>
                <w:kern w:val="0"/>
                <w:sz w:val="18"/>
                <w:szCs w:val="18"/>
                <w:u w:val="none"/>
                <w:lang w:val="en-US" w:eastAsia="zh-CN" w:bidi="ar"/>
              </w:rPr>
              <w:t>632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16031597180</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杨强伟</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3</w:t>
            </w:r>
            <w:r>
              <w:rPr>
                <w:rFonts w:hint="eastAsia" w:ascii="微软雅黑" w:hAnsi="微软雅黑" w:eastAsia="微软雅黑" w:cs="微软雅黑"/>
                <w:i w:val="0"/>
                <w:iCs w:val="0"/>
                <w:color w:val="auto"/>
                <w:kern w:val="0"/>
                <w:sz w:val="18"/>
                <w:szCs w:val="18"/>
                <w:u w:val="none"/>
                <w:lang w:val="en-US" w:eastAsia="zh-CN" w:bidi="ar"/>
              </w:rPr>
              <w:t>437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16031597178</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刘晓燕</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女</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1</w:t>
            </w:r>
            <w:r>
              <w:rPr>
                <w:rFonts w:hint="eastAsia" w:ascii="微软雅黑" w:hAnsi="微软雅黑" w:eastAsia="微软雅黑" w:cs="微软雅黑"/>
                <w:i w:val="0"/>
                <w:iCs w:val="0"/>
                <w:color w:val="auto"/>
                <w:kern w:val="0"/>
                <w:sz w:val="18"/>
                <w:szCs w:val="18"/>
                <w:u w:val="none"/>
                <w:lang w:val="en-US" w:eastAsia="zh-CN" w:bidi="ar"/>
              </w:rPr>
              <w:t>426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16031597183</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张少博</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00</w:t>
            </w:r>
            <w:r>
              <w:rPr>
                <w:rFonts w:hint="eastAsia" w:ascii="微软雅黑" w:hAnsi="微软雅黑" w:eastAsia="微软雅黑" w:cs="微软雅黑"/>
                <w:i w:val="0"/>
                <w:iCs w:val="0"/>
                <w:color w:val="auto"/>
                <w:kern w:val="0"/>
                <w:sz w:val="18"/>
                <w:szCs w:val="18"/>
                <w:u w:val="none"/>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16031597187</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韦冰倩</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女</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办事员</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w:t>
            </w:r>
            <w:r>
              <w:rPr>
                <w:rFonts w:hint="eastAsia" w:ascii="微软雅黑" w:hAnsi="微软雅黑" w:eastAsia="微软雅黑" w:cs="微软雅黑"/>
                <w:i w:val="0"/>
                <w:iCs w:val="0"/>
                <w:color w:val="auto"/>
                <w:kern w:val="0"/>
                <w:sz w:val="18"/>
                <w:szCs w:val="18"/>
                <w:u w:val="none"/>
                <w:lang w:val="en-US" w:eastAsia="zh-CN" w:bidi="ar"/>
              </w:rPr>
              <w:t>1</w:t>
            </w:r>
            <w:r>
              <w:rPr>
                <w:rFonts w:hint="default" w:ascii="微软雅黑" w:hAnsi="微软雅黑" w:eastAsia="微软雅黑" w:cs="微软雅黑"/>
                <w:i w:val="0"/>
                <w:iCs w:val="0"/>
                <w:color w:val="auto"/>
                <w:kern w:val="0"/>
                <w:sz w:val="18"/>
                <w:szCs w:val="18"/>
                <w:u w:val="none"/>
                <w:lang w:val="en-US" w:eastAsia="zh-CN" w:bidi="ar"/>
              </w:rPr>
              <w:t>32</w:t>
            </w:r>
            <w:r>
              <w:rPr>
                <w:rFonts w:hint="eastAsia" w:ascii="微软雅黑" w:hAnsi="微软雅黑" w:eastAsia="微软雅黑" w:cs="微软雅黑"/>
                <w:i w:val="0"/>
                <w:iCs w:val="0"/>
                <w:color w:val="auto"/>
                <w:kern w:val="0"/>
                <w:sz w:val="18"/>
                <w:szCs w:val="18"/>
                <w:u w:val="none"/>
                <w:lang w:val="en-US" w:eastAsia="zh-CN" w:bidi="ar"/>
              </w:rPr>
              <w:t>3*****</w:t>
            </w:r>
            <w:r>
              <w:rPr>
                <w:rFonts w:hint="default" w:ascii="微软雅黑" w:hAnsi="微软雅黑" w:eastAsia="微软雅黑" w:cs="微软雅黑"/>
                <w:i w:val="0"/>
                <w:iCs w:val="0"/>
                <w:color w:val="auto"/>
                <w:kern w:val="0"/>
                <w:sz w:val="18"/>
                <w:szCs w:val="18"/>
                <w:u w:val="none"/>
                <w:lang w:val="en-US" w:eastAsia="zh-CN" w:bidi="ar"/>
              </w:rPr>
              <w:t>63</w:t>
            </w:r>
            <w:r>
              <w:rPr>
                <w:rFonts w:hint="eastAsia" w:ascii="微软雅黑" w:hAnsi="微软雅黑" w:eastAsia="微软雅黑" w:cs="微软雅黑"/>
                <w:i w:val="0"/>
                <w:iCs w:val="0"/>
                <w:color w:val="auto"/>
                <w:kern w:val="0"/>
                <w:sz w:val="18"/>
                <w:szCs w:val="18"/>
                <w:u w:val="none"/>
                <w:lang w:val="en-US" w:eastAsia="zh-CN" w:bidi="ar"/>
              </w:rPr>
              <w:t>61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16031597185</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谢文豪</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科员</w:t>
            </w:r>
            <w:r>
              <w:rPr>
                <w:rStyle w:val="7"/>
                <w:color w:val="auto"/>
                <w:sz w:val="18"/>
                <w:szCs w:val="18"/>
                <w:lang w:val="en-US" w:eastAsia="zh-CN" w:bidi="ar"/>
              </w:rPr>
              <w:t xml:space="preserve"> </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lang w:val="en-US"/>
              </w:rPr>
            </w:pPr>
            <w:r>
              <w:rPr>
                <w:rFonts w:hint="default" w:ascii="微软雅黑" w:hAnsi="微软雅黑" w:eastAsia="微软雅黑" w:cs="微软雅黑"/>
                <w:i w:val="0"/>
                <w:iCs w:val="0"/>
                <w:color w:val="auto"/>
                <w:kern w:val="0"/>
                <w:sz w:val="18"/>
                <w:szCs w:val="18"/>
                <w:u w:val="none"/>
                <w:lang w:val="en-US" w:eastAsia="zh-CN" w:bidi="ar"/>
              </w:rPr>
              <w:t>410324</w:t>
            </w:r>
            <w:r>
              <w:rPr>
                <w:rFonts w:hint="eastAsia" w:ascii="微软雅黑" w:hAnsi="微软雅黑" w:eastAsia="微软雅黑" w:cs="微软雅黑"/>
                <w:i w:val="0"/>
                <w:iCs w:val="0"/>
                <w:color w:val="auto"/>
                <w:kern w:val="0"/>
                <w:sz w:val="18"/>
                <w:szCs w:val="18"/>
                <w:u w:val="none"/>
                <w:lang w:val="en-US" w:eastAsia="zh-CN" w:bidi="ar"/>
              </w:rPr>
              <w:t>*****</w:t>
            </w:r>
            <w:r>
              <w:rPr>
                <w:rFonts w:hint="default" w:ascii="微软雅黑" w:hAnsi="微软雅黑" w:eastAsia="微软雅黑" w:cs="微软雅黑"/>
                <w:i w:val="0"/>
                <w:iCs w:val="0"/>
                <w:color w:val="auto"/>
                <w:kern w:val="0"/>
                <w:sz w:val="18"/>
                <w:szCs w:val="18"/>
                <w:u w:val="none"/>
                <w:lang w:val="en-US" w:eastAsia="zh-CN" w:bidi="ar"/>
              </w:rPr>
              <w:t>0</w:t>
            </w:r>
            <w:r>
              <w:rPr>
                <w:rFonts w:hint="eastAsia" w:ascii="微软雅黑" w:hAnsi="微软雅黑" w:eastAsia="微软雅黑" w:cs="微软雅黑"/>
                <w:i w:val="0"/>
                <w:iCs w:val="0"/>
                <w:color w:val="auto"/>
                <w:kern w:val="0"/>
                <w:sz w:val="18"/>
                <w:szCs w:val="18"/>
                <w:u w:val="none"/>
                <w:lang w:val="en-US" w:eastAsia="zh-CN" w:bidi="ar"/>
              </w:rPr>
              <w:t>617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16031597186</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栾川县庙子镇人民政府</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新证申领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18"/>
                <w:szCs w:val="18"/>
                <w:u w:val="none"/>
              </w:rPr>
            </w:pPr>
            <w:r>
              <w:rPr>
                <w:rFonts w:hint="default" w:ascii="微软雅黑" w:hAnsi="微软雅黑" w:eastAsia="微软雅黑" w:cs="微软雅黑"/>
                <w:i w:val="0"/>
                <w:iCs w:val="0"/>
                <w:color w:val="auto"/>
                <w:kern w:val="0"/>
                <w:sz w:val="18"/>
                <w:szCs w:val="18"/>
                <w:u w:val="none"/>
                <w:lang w:val="en-US" w:eastAsia="zh-CN" w:bidi="ar"/>
              </w:rPr>
              <w:t>2021/8/10</w:t>
            </w:r>
          </w:p>
        </w:tc>
      </w:tr>
    </w:tbl>
    <w:p>
      <w:pPr>
        <w:pStyle w:val="8"/>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ascii="宋体" w:hAnsi="宋体" w:eastAsia="宋体" w:cs="宋体"/>
          <w:color w:val="auto"/>
          <w:kern w:val="0"/>
          <w:sz w:val="24"/>
          <w:szCs w:val="24"/>
          <w:lang w:val="en-US" w:eastAsia="zh-CN" w:bidi="ar"/>
        </w:rPr>
      </w:pP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ascii="宋体" w:hAnsi="宋体" w:eastAsia="宋体" w:cs="宋体"/>
          <w:color w:val="auto"/>
          <w:kern w:val="0"/>
          <w:sz w:val="24"/>
          <w:szCs w:val="24"/>
          <w:lang w:val="en-US" w:eastAsia="zh-CN" w:bidi="ar"/>
        </w:rPr>
      </w:pP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ascii="宋体" w:hAnsi="宋体" w:eastAsia="宋体" w:cs="宋体"/>
          <w:color w:val="auto"/>
          <w:kern w:val="0"/>
          <w:sz w:val="24"/>
          <w:szCs w:val="24"/>
          <w:lang w:val="en-US" w:eastAsia="zh-CN" w:bidi="ar"/>
        </w:rPr>
      </w:pP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 2</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ascii="宋体" w:hAnsi="宋体" w:eastAsia="宋体" w:cs="宋体"/>
          <w:color w:val="auto"/>
          <w:kern w:val="0"/>
          <w:sz w:val="24"/>
          <w:szCs w:val="24"/>
          <w:lang w:val="en-US" w:eastAsia="zh-CN" w:bidi="ar"/>
        </w:rPr>
      </w:pP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方正小标宋_GBK" w:hAnsi="方正小标宋_GBK" w:eastAsia="方正小标宋_GBK" w:cs="方正小标宋_GBK"/>
          <w:b w:val="0"/>
          <w:bCs w:val="0"/>
          <w:i w:val="0"/>
          <w:iCs w:val="0"/>
          <w:color w:val="auto"/>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洛阳市交由乡镇政府行使的行政处罚权事项清单</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文星标宋" w:hAnsi="文星标宋" w:eastAsia="文星标宋" w:cs="文星标宋"/>
          <w:color w:val="auto"/>
          <w:spacing w:val="-11"/>
          <w:sz w:val="44"/>
          <w:szCs w:val="44"/>
        </w:rPr>
      </w:pPr>
    </w:p>
    <w:tbl>
      <w:tblPr>
        <w:tblStyle w:val="5"/>
        <w:tblW w:w="5000" w:type="pct"/>
        <w:jc w:val="center"/>
        <w:tblLayout w:type="autofit"/>
        <w:tblCellMar>
          <w:top w:w="0" w:type="dxa"/>
          <w:left w:w="108" w:type="dxa"/>
          <w:bottom w:w="0" w:type="dxa"/>
          <w:right w:w="108" w:type="dxa"/>
        </w:tblCellMar>
      </w:tblPr>
      <w:tblGrid>
        <w:gridCol w:w="703"/>
        <w:gridCol w:w="5862"/>
        <w:gridCol w:w="4277"/>
        <w:gridCol w:w="3332"/>
      </w:tblGrid>
      <w:tr>
        <w:tblPrEx>
          <w:tblCellMar>
            <w:top w:w="0" w:type="dxa"/>
            <w:left w:w="108" w:type="dxa"/>
            <w:bottom w:w="0" w:type="dxa"/>
            <w:right w:w="108" w:type="dxa"/>
          </w:tblCellMar>
        </w:tblPrEx>
        <w:trPr>
          <w:cantSplit/>
          <w:trHeight w:val="387" w:hRule="atLeast"/>
          <w:tblHeader/>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color w:val="auto"/>
                <w:kern w:val="0"/>
                <w:szCs w:val="21"/>
              </w:rPr>
            </w:pPr>
            <w:r>
              <w:rPr>
                <w:rFonts w:hint="eastAsia" w:ascii="黑体" w:hAnsi="黑体" w:eastAsia="黑体" w:cs="黑体"/>
                <w:color w:val="auto"/>
                <w:kern w:val="0"/>
                <w:szCs w:val="21"/>
                <w:lang w:bidi="ar"/>
              </w:rPr>
              <w:t>序号</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color w:val="auto"/>
                <w:kern w:val="0"/>
                <w:szCs w:val="21"/>
              </w:rPr>
            </w:pPr>
            <w:r>
              <w:rPr>
                <w:rFonts w:hint="eastAsia" w:ascii="黑体" w:hAnsi="黑体" w:eastAsia="黑体" w:cs="黑体"/>
                <w:color w:val="auto"/>
                <w:kern w:val="0"/>
                <w:szCs w:val="21"/>
                <w:lang w:bidi="ar"/>
              </w:rPr>
              <w:t>赋权事项</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color w:val="auto"/>
                <w:kern w:val="0"/>
                <w:szCs w:val="21"/>
                <w:lang w:val="en"/>
              </w:rPr>
            </w:pPr>
            <w:r>
              <w:rPr>
                <w:rFonts w:hint="eastAsia" w:ascii="黑体" w:hAnsi="黑体" w:eastAsia="黑体" w:cs="黑体"/>
                <w:color w:val="auto"/>
                <w:kern w:val="0"/>
                <w:szCs w:val="21"/>
                <w:lang w:val="en" w:bidi="ar"/>
              </w:rPr>
              <w:t>实施依据</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color w:val="auto"/>
                <w:kern w:val="0"/>
                <w:szCs w:val="21"/>
              </w:rPr>
            </w:pPr>
            <w:r>
              <w:rPr>
                <w:rFonts w:hint="eastAsia" w:ascii="黑体" w:hAnsi="黑体" w:eastAsia="黑体" w:cs="黑体"/>
                <w:color w:val="auto"/>
                <w:kern w:val="0"/>
                <w:szCs w:val="21"/>
                <w:lang w:bidi="ar"/>
              </w:rPr>
              <w:t>原实施部门</w:t>
            </w:r>
          </w:p>
        </w:tc>
      </w:tr>
      <w:tr>
        <w:tblPrEx>
          <w:tblCellMar>
            <w:top w:w="0" w:type="dxa"/>
            <w:left w:w="108" w:type="dxa"/>
            <w:bottom w:w="0" w:type="dxa"/>
            <w:right w:w="108" w:type="dxa"/>
          </w:tblCellMar>
        </w:tblPrEx>
        <w:trPr>
          <w:cantSplit/>
          <w:trHeight w:val="929"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1</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对占用耕地建窑、建坟或者擅自在耕地上建房、挖砂、采石、采矿、取土等，破坏种植条件的，或者因开发土地造成土地荒漠化、盐渍化的处罚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1.《中华人民共和国土地管理法》第七十五条</w:t>
            </w:r>
          </w:p>
          <w:p>
            <w:pPr>
              <w:overflowPunct w:val="0"/>
              <w:spacing w:line="0" w:lineRule="atLeas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2.《中华人民共和国土地管理法实施条例》第五十五条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市自然资源和规划（分）局、县自然资源局或市、县（区）农业农村局</w:t>
            </w:r>
          </w:p>
        </w:tc>
      </w:tr>
      <w:tr>
        <w:tblPrEx>
          <w:tblCellMar>
            <w:top w:w="0" w:type="dxa"/>
            <w:left w:w="108" w:type="dxa"/>
            <w:bottom w:w="0" w:type="dxa"/>
            <w:right w:w="108" w:type="dxa"/>
          </w:tblCellMar>
        </w:tblPrEx>
        <w:trPr>
          <w:cantSplit/>
          <w:trHeight w:val="637"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2</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对未经批准或者采取欺骗手段骗取批准，非法占用土地的处罚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1.《中华人民共和国土地管理法》第七十七条</w:t>
            </w:r>
          </w:p>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2.</w:t>
            </w:r>
            <w:r>
              <w:rPr>
                <w:rFonts w:hint="eastAsia" w:ascii="仿宋_GB2312" w:hAnsi="仿宋_GB2312" w:eastAsia="仿宋_GB2312" w:cs="仿宋_GB2312"/>
                <w:bCs/>
                <w:color w:val="auto"/>
                <w:kern w:val="0"/>
                <w:szCs w:val="21"/>
                <w:lang w:bidi="ar"/>
              </w:rPr>
              <w:t>《中华人民共和国土地管理法实施条例》第五十七条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pStyle w:val="4"/>
              <w:widowControl/>
              <w:spacing w:line="240" w:lineRule="exact"/>
              <w:jc w:val="both"/>
              <w:rPr>
                <w:rFonts w:hint="eastAsia"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lang w:bidi="ar"/>
              </w:rPr>
              <w:t>市自然资源和规划（分）局、县自然资源局</w:t>
            </w:r>
          </w:p>
        </w:tc>
      </w:tr>
      <w:tr>
        <w:tblPrEx>
          <w:tblCellMar>
            <w:top w:w="0" w:type="dxa"/>
            <w:left w:w="108" w:type="dxa"/>
            <w:bottom w:w="0" w:type="dxa"/>
            <w:right w:w="108" w:type="dxa"/>
          </w:tblCellMar>
        </w:tblPrEx>
        <w:trPr>
          <w:cantSplit/>
          <w:trHeight w:val="479"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3</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对农村村民未经批准或者采取欺骗手段骗取批准，非法占用土地建住宅的处罚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《中华人民共和国土地管理法》第七十八条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市自然资源和规划（分）局、县自然资源局或市、县（区）农业农村局</w:t>
            </w:r>
          </w:p>
        </w:tc>
      </w:tr>
      <w:tr>
        <w:tblPrEx>
          <w:tblCellMar>
            <w:top w:w="0" w:type="dxa"/>
            <w:left w:w="108" w:type="dxa"/>
            <w:bottom w:w="0" w:type="dxa"/>
            <w:right w:w="108" w:type="dxa"/>
          </w:tblCellMar>
        </w:tblPrEx>
        <w:trPr>
          <w:cantSplit/>
          <w:trHeight w:val="37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4</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对未经批准进行临时建设的处罚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《中华人民共和国城乡规划法》第六十六条第一项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市自然资源和规划（分）局、县自然资源局</w:t>
            </w:r>
          </w:p>
        </w:tc>
      </w:tr>
      <w:tr>
        <w:tblPrEx>
          <w:tblCellMar>
            <w:top w:w="0" w:type="dxa"/>
            <w:left w:w="108" w:type="dxa"/>
            <w:bottom w:w="0" w:type="dxa"/>
            <w:right w:w="108" w:type="dxa"/>
          </w:tblCellMar>
        </w:tblPrEx>
        <w:trPr>
          <w:cantSplit/>
          <w:trHeight w:val="37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5</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对未按照批准内容进行临时建设的处罚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《中华人民共和国城乡规划法》第六十六条第二项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val="en"/>
              </w:rPr>
            </w:pPr>
            <w:r>
              <w:rPr>
                <w:rFonts w:hint="eastAsia" w:ascii="仿宋_GB2312" w:hAnsi="仿宋_GB2312" w:eastAsia="仿宋_GB2312" w:cs="仿宋_GB2312"/>
                <w:color w:val="auto"/>
                <w:kern w:val="0"/>
                <w:szCs w:val="21"/>
                <w:lang w:bidi="ar"/>
              </w:rPr>
              <w:t>市自然资源和规划（分）局、县自然资源局</w:t>
            </w:r>
          </w:p>
        </w:tc>
      </w:tr>
      <w:tr>
        <w:tblPrEx>
          <w:tblCellMar>
            <w:top w:w="0" w:type="dxa"/>
            <w:left w:w="108" w:type="dxa"/>
            <w:bottom w:w="0" w:type="dxa"/>
            <w:right w:w="108" w:type="dxa"/>
          </w:tblCellMar>
        </w:tblPrEx>
        <w:trPr>
          <w:cantSplit/>
          <w:trHeight w:val="37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6</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对临时建筑物、构筑物超过批准期限不拆除的处罚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《中华人民共和国城乡规划法》第六十六条第三项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市自然资源和规划（分）局、县自然资源局</w:t>
            </w:r>
          </w:p>
        </w:tc>
      </w:tr>
      <w:tr>
        <w:tblPrEx>
          <w:tblCellMar>
            <w:top w:w="0" w:type="dxa"/>
            <w:left w:w="108" w:type="dxa"/>
            <w:bottom w:w="0" w:type="dxa"/>
            <w:right w:w="108" w:type="dxa"/>
          </w:tblCellMar>
        </w:tblPrEx>
        <w:trPr>
          <w:cantSplit/>
          <w:trHeight w:val="32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7</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对未密闭煤炭、煤矸石、煤渣、煤灰、水泥、石灰、石膏、砂土等易产生扬尘的物料的处罚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《中华人民共和国大气污染防治法》第一百一十七条第一项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市生态环境局</w:t>
            </w:r>
          </w:p>
        </w:tc>
      </w:tr>
      <w:tr>
        <w:tblPrEx>
          <w:tblCellMar>
            <w:top w:w="0" w:type="dxa"/>
            <w:left w:w="108" w:type="dxa"/>
            <w:bottom w:w="0" w:type="dxa"/>
            <w:right w:w="108" w:type="dxa"/>
          </w:tblCellMar>
        </w:tblPrEx>
        <w:trPr>
          <w:cantSplit/>
          <w:trHeight w:val="32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8</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对不能密闭的易产生扬尘的物料，未设置不低于堆放物高度的严密围挡，或者未采取有效覆盖措施防治扬尘污染的处罚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《中华人民共和国大气污染防治法》第一百一十七条第二项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市生态环境局</w:t>
            </w:r>
          </w:p>
        </w:tc>
      </w:tr>
      <w:tr>
        <w:tblPrEx>
          <w:tblCellMar>
            <w:top w:w="0" w:type="dxa"/>
            <w:left w:w="108" w:type="dxa"/>
            <w:bottom w:w="0" w:type="dxa"/>
            <w:right w:w="108" w:type="dxa"/>
          </w:tblCellMar>
        </w:tblPrEx>
        <w:trPr>
          <w:cantSplit/>
          <w:trHeight w:val="479"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9</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对在禁止养殖区域内建设畜禽养殖场、养殖小区的处罚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《畜禽规模养殖污染防治条例》第三十七条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市生态环境局</w:t>
            </w:r>
          </w:p>
        </w:tc>
      </w:tr>
      <w:tr>
        <w:tblPrEx>
          <w:tblCellMar>
            <w:top w:w="0" w:type="dxa"/>
            <w:left w:w="108" w:type="dxa"/>
            <w:bottom w:w="0" w:type="dxa"/>
            <w:right w:w="108" w:type="dxa"/>
          </w:tblCellMar>
        </w:tblPrEx>
        <w:trPr>
          <w:cantSplit/>
          <w:trHeight w:val="637"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10</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对将未经处置的畜禽粪便、污水直接排入环境的处罚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60" w:lineRule="exact"/>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《河南省水污染防治条例》第三十九条第二款、第七十八条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市生态环境局</w:t>
            </w:r>
          </w:p>
        </w:tc>
      </w:tr>
      <w:tr>
        <w:tblPrEx>
          <w:tblCellMar>
            <w:top w:w="0" w:type="dxa"/>
            <w:left w:w="108" w:type="dxa"/>
            <w:bottom w:w="0" w:type="dxa"/>
            <w:right w:w="108" w:type="dxa"/>
          </w:tblCellMar>
        </w:tblPrEx>
        <w:trPr>
          <w:cantSplit/>
          <w:trHeight w:val="317"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11</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对在人口集中地区露天焚烧秸秆、落叶等产生烟尘污染的物质的处罚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《中华人民共和国大气污染防治法》第一百一十九条第一款</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市、县（区）农业农村局或县（区）城市管理局</w:t>
            </w:r>
          </w:p>
        </w:tc>
      </w:tr>
      <w:tr>
        <w:tblPrEx>
          <w:tblCellMar>
            <w:top w:w="0" w:type="dxa"/>
            <w:left w:w="108" w:type="dxa"/>
            <w:bottom w:w="0" w:type="dxa"/>
            <w:right w:w="108" w:type="dxa"/>
          </w:tblCellMar>
        </w:tblPrEx>
        <w:trPr>
          <w:cantSplit/>
          <w:trHeight w:val="47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12</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对毁损、覆盖、涂改、擅自拆除或者移动燃气设施安全警示标志的处罚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《城镇燃气管理条例》第五十一条第二款</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both"/>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市、县（区）城市管理局或县住房城乡建设局</w:t>
            </w:r>
          </w:p>
        </w:tc>
      </w:tr>
      <w:tr>
        <w:tblPrEx>
          <w:tblCellMar>
            <w:top w:w="0" w:type="dxa"/>
            <w:left w:w="108" w:type="dxa"/>
            <w:bottom w:w="0" w:type="dxa"/>
            <w:right w:w="108" w:type="dxa"/>
          </w:tblCellMar>
        </w:tblPrEx>
        <w:trPr>
          <w:cantSplit/>
          <w:trHeight w:val="78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13</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对将建筑垃圾混入生活垃圾的处罚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《城市建筑垃圾管理规定》第二十条第一款第一项及第二款</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1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14</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对擅自设立弃置场受纳建筑垃圾的处罚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《城市建筑垃圾管理规定》第二十条第一款第三项及第二款</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15</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对处置建筑垃圾的单位在运输建筑垃圾过程中沿途丢弃、遗撒建筑垃圾的处罚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《城市建筑垃圾管理规定》第二十三条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16</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对不按城市环境卫生行政主管部门规定的时间、地点、方式倾倒垃圾、粪便的处罚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《河南省〈城市市容和环境卫生管理条例〉实施办法》第三十条第四项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627"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17</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对不履行卫生责任区清扫保洁的，或冬季不履行除雪义务的处罚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《河南省〈城市市容和环境卫生管理条例〉实施办法》第三十条第五项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18</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对临街工地不设置护栏或者不作遮挡，停工场地不及时整理并作必要覆盖或者竣工后不及时清理和平整场地，影响市容和环境卫生的处罚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《河南省〈城市市容和环境卫生管理条例〉实施办法》第三十条第七项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strike/>
                <w:color w:val="auto"/>
                <w:kern w:val="0"/>
                <w:szCs w:val="21"/>
              </w:rPr>
            </w:pPr>
            <w:r>
              <w:rPr>
                <w:rFonts w:hint="eastAsia" w:ascii="仿宋_GB2312" w:hAnsi="仿宋_GB2312" w:eastAsia="仿宋_GB2312" w:cs="仿宋_GB2312"/>
                <w:color w:val="auto"/>
                <w:kern w:val="0"/>
                <w:szCs w:val="21"/>
                <w:lang w:bidi="ar"/>
              </w:rPr>
              <w:t>19</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对不按规定及时清运、处理粪便的处罚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《河南省〈城市市容和环境卫生管理条例〉实施办法》第三十条第八项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20</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对摊点的经营者随地丢弃垃圾的处罚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《河南省〈城市市容和环境卫生管理条例〉实施办法》第三十条第十二项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21</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对不按规定的地点、方式冲洗车辆，造成污水漫流、遗弃垃圾的处罚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《河南省〈城市市容和环境卫生管理条例〉实施办法》第三十条第十四项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61"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22</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对擅自在城市街道两侧或者公共场所临时堆放物料、搭建临时建筑物、构筑物（含促销展台、帐篷）或者其他设施的处罚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《洛阳市城市市容和环境卫生管理条例》第十七条第一款、第四十一条第二项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61"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23</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对在城市道路两侧进行有碍市容和环境卫生的生产加工、摆摊设点、店外销售等活动的处罚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《洛阳市城市市容和环境卫生管理条例》第二十条第三款、第四十一条第五项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613"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24</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对擅自设置大型户外广告（含大型招牌广告）的处罚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《洛阳市城市市容和环境卫生管理条例》第二十一条第二款、第四十一条第二项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31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25</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对在建筑物、构筑物、设施、道路、商铺门窗以及树木上涂写、刻画、张贴的处罚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《洛阳市城市市容和环境卫生管理条例》第二十二条第一款、第四十一条第六项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31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26</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对随地吐痰、便溺、倾倒污水的处罚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《洛阳市城市市容和环境卫生管理条例》第三十八条第一项、第四十一条第一项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61"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27</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对乱扔果皮、纸屑、烟头等废弃物的处罚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6"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《洛阳市城市市容和环境卫生管理条例》第三十八条第二项、第四十一条第一项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县（区）城市管理局</w:t>
            </w:r>
          </w:p>
        </w:tc>
      </w:tr>
      <w:tr>
        <w:tblPrEx>
          <w:tblCellMar>
            <w:top w:w="0" w:type="dxa"/>
            <w:left w:w="108" w:type="dxa"/>
            <w:bottom w:w="0" w:type="dxa"/>
            <w:right w:w="108" w:type="dxa"/>
          </w:tblCellMar>
        </w:tblPrEx>
        <w:trPr>
          <w:cantSplit/>
          <w:trHeight w:val="461"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28</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对在江河、湖泊、水库、运河、渠道内弃置、堆放阻碍行洪的物体和种植阻碍行洪的林木及高秆作物的处罚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《中华人民共和国水法》第六十六条第一项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pStyle w:val="4"/>
              <w:widowControl/>
              <w:spacing w:line="240" w:lineRule="exact"/>
              <w:jc w:val="center"/>
              <w:rPr>
                <w:rFonts w:hint="eastAsia"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lang w:bidi="ar"/>
              </w:rPr>
              <w:t>市、县（区）水利局</w:t>
            </w:r>
          </w:p>
        </w:tc>
      </w:tr>
      <w:tr>
        <w:tblPrEx>
          <w:tblCellMar>
            <w:top w:w="0" w:type="dxa"/>
            <w:left w:w="108" w:type="dxa"/>
            <w:bottom w:w="0" w:type="dxa"/>
            <w:right w:w="108" w:type="dxa"/>
          </w:tblCellMar>
        </w:tblPrEx>
        <w:trPr>
          <w:cantSplit/>
          <w:trHeight w:val="613"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29</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对破坏、侵占、毁损堤防、水闸、护岸、抽水站、排水渠系等防洪工程和水文、通信设施以及防汛备用的器材、物料的处罚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《中华人民共和国防洪法》第六十条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市、县（区）水利局</w:t>
            </w:r>
          </w:p>
        </w:tc>
      </w:tr>
      <w:tr>
        <w:tblPrEx>
          <w:tblCellMar>
            <w:top w:w="0" w:type="dxa"/>
            <w:left w:w="108" w:type="dxa"/>
            <w:bottom w:w="0" w:type="dxa"/>
            <w:right w:w="108" w:type="dxa"/>
          </w:tblCellMar>
        </w:tblPrEx>
        <w:trPr>
          <w:cantSplit/>
          <w:trHeight w:val="37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30</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对侵占、破坏水源和抗旱设施的处罚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《中华人民共和国抗旱条例》第六十一条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市、县（区）水利局</w:t>
            </w:r>
          </w:p>
        </w:tc>
      </w:tr>
      <w:tr>
        <w:tblPrEx>
          <w:tblCellMar>
            <w:top w:w="0" w:type="dxa"/>
            <w:left w:w="108" w:type="dxa"/>
            <w:bottom w:w="0" w:type="dxa"/>
            <w:right w:w="108" w:type="dxa"/>
          </w:tblCellMar>
        </w:tblPrEx>
        <w:trPr>
          <w:cantSplit/>
          <w:trHeight w:val="74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31</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对未经批准进行采砂的处罚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《河南省河道采砂管理办法》第二十八条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市、县（区）水利局</w:t>
            </w:r>
          </w:p>
        </w:tc>
      </w:tr>
      <w:tr>
        <w:tblPrEx>
          <w:tblCellMar>
            <w:top w:w="0" w:type="dxa"/>
            <w:left w:w="108" w:type="dxa"/>
            <w:bottom w:w="0" w:type="dxa"/>
            <w:right w:w="108" w:type="dxa"/>
          </w:tblCellMar>
        </w:tblPrEx>
        <w:trPr>
          <w:cantSplit/>
          <w:trHeight w:val="37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32</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对未经批准利用河道、国有水库从事养殖、旅游、餐饮等活动的处罚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《河南省实施〈中华人民共和国水法〉办法》第四十四条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市、县（区）水利局</w:t>
            </w:r>
          </w:p>
        </w:tc>
      </w:tr>
      <w:tr>
        <w:tblPrEx>
          <w:tblCellMar>
            <w:top w:w="0" w:type="dxa"/>
            <w:left w:w="108" w:type="dxa"/>
            <w:bottom w:w="0" w:type="dxa"/>
            <w:right w:w="108" w:type="dxa"/>
          </w:tblCellMar>
        </w:tblPrEx>
        <w:trPr>
          <w:cantSplit/>
          <w:trHeight w:val="37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33</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对占用水库库容，在堤防、护堤地挖筑坑塘的处罚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《河南省实施〈中华人民共和国防洪法〉办法》第四十一条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市、县（区）水利局</w:t>
            </w:r>
          </w:p>
        </w:tc>
      </w:tr>
      <w:tr>
        <w:tblPrEx>
          <w:tblCellMar>
            <w:top w:w="0" w:type="dxa"/>
            <w:left w:w="108" w:type="dxa"/>
            <w:bottom w:w="0" w:type="dxa"/>
            <w:right w:w="108" w:type="dxa"/>
          </w:tblCellMar>
        </w:tblPrEx>
        <w:trPr>
          <w:cantSplit/>
          <w:trHeight w:val="37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34</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对未取得农药经营许可证经营农药的处罚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《农药管理条例》第五十五条第一款第一项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市、县（区）农业</w:t>
            </w:r>
          </w:p>
          <w:p>
            <w:pPr>
              <w:overflowPunct w:val="0"/>
              <w:spacing w:line="28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农村局</w:t>
            </w:r>
          </w:p>
        </w:tc>
      </w:tr>
      <w:tr>
        <w:tblPrEx>
          <w:tblCellMar>
            <w:top w:w="0" w:type="dxa"/>
            <w:left w:w="108" w:type="dxa"/>
            <w:bottom w:w="0" w:type="dxa"/>
            <w:right w:w="108" w:type="dxa"/>
          </w:tblCellMar>
        </w:tblPrEx>
        <w:trPr>
          <w:cantSplit/>
          <w:trHeight w:val="3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35</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对未取得拖拉机、联合收割机操作证件而操作拖拉机、联合收割机的处罚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《农业机械安全监督管理条例》第五十二条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市、县（区）农业</w:t>
            </w:r>
          </w:p>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农村局</w:t>
            </w:r>
          </w:p>
        </w:tc>
      </w:tr>
      <w:tr>
        <w:tblPrEx>
          <w:tblCellMar>
            <w:top w:w="0" w:type="dxa"/>
            <w:left w:w="108" w:type="dxa"/>
            <w:bottom w:w="0" w:type="dxa"/>
            <w:right w:w="108" w:type="dxa"/>
          </w:tblCellMar>
        </w:tblPrEx>
        <w:trPr>
          <w:cantSplit/>
          <w:trHeight w:val="56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36</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对使用拖拉机、联合收割机违反规定载人的处罚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《农业机械安全监督管理条例》第五十四条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市、县（区）农业</w:t>
            </w:r>
          </w:p>
          <w:p>
            <w:pPr>
              <w:overflowPunct w:val="0"/>
              <w:spacing w:line="0" w:lineRule="atLeas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农村局</w:t>
            </w:r>
          </w:p>
        </w:tc>
      </w:tr>
      <w:tr>
        <w:tblPrEx>
          <w:tblCellMar>
            <w:top w:w="0" w:type="dxa"/>
            <w:left w:w="108" w:type="dxa"/>
            <w:bottom w:w="0" w:type="dxa"/>
            <w:right w:w="108" w:type="dxa"/>
          </w:tblCellMar>
        </w:tblPrEx>
        <w:trPr>
          <w:cantSplit/>
          <w:trHeight w:val="37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37</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对未取得生产许可证生产饲料、饲料添加剂的处罚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《饲料和饲料添加剂管理条例》第三十八条第一款</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市、县（区）农业</w:t>
            </w:r>
          </w:p>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农村局</w:t>
            </w:r>
          </w:p>
        </w:tc>
      </w:tr>
      <w:tr>
        <w:tblPrEx>
          <w:tblCellMar>
            <w:top w:w="0" w:type="dxa"/>
            <w:left w:w="108" w:type="dxa"/>
            <w:bottom w:w="0" w:type="dxa"/>
            <w:right w:w="108" w:type="dxa"/>
          </w:tblCellMar>
        </w:tblPrEx>
        <w:trPr>
          <w:cantSplit/>
          <w:trHeight w:val="31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8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38</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对生产、销售未取得登记证的肥料产品的处罚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《肥料登记管理办法》第二十六条第一项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市、县（区）农业</w:t>
            </w:r>
          </w:p>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农村局</w:t>
            </w:r>
          </w:p>
        </w:tc>
      </w:tr>
      <w:tr>
        <w:tblPrEx>
          <w:tblCellMar>
            <w:top w:w="0" w:type="dxa"/>
            <w:left w:w="108" w:type="dxa"/>
            <w:bottom w:w="0" w:type="dxa"/>
            <w:right w:w="108" w:type="dxa"/>
          </w:tblCellMar>
        </w:tblPrEx>
        <w:trPr>
          <w:cantSplit/>
          <w:trHeight w:val="461"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39</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对生产、销售包装上未附标签、标签残缺不清或者擅自修改标签内容的处罚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《肥料登记管理办法》第二十七条第三项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市、县（区）农业</w:t>
            </w:r>
          </w:p>
          <w:p>
            <w:pPr>
              <w:overflowPunct w:val="0"/>
              <w:spacing w:line="25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农村局</w:t>
            </w:r>
          </w:p>
        </w:tc>
      </w:tr>
      <w:tr>
        <w:tblPrEx>
          <w:tblCellMar>
            <w:top w:w="0" w:type="dxa"/>
            <w:left w:w="108" w:type="dxa"/>
            <w:bottom w:w="0" w:type="dxa"/>
            <w:right w:w="108" w:type="dxa"/>
          </w:tblCellMar>
        </w:tblPrEx>
        <w:trPr>
          <w:cantSplit/>
          <w:trHeight w:val="31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40</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对擅自安装和使用卫星地面接收设施的处罚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《卫星电视广播地面接收设施管理规定》第十条第三款</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31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41</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对互联网上网服务营业场所经营单位经营非网络游戏的处罚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《互联网上网服务营业场所管理条例》第三十一条第三项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31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42</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对互联网上网服务营业场所经营单位未悬挂《网络文化经营许可证》或者未成年人禁入标志的处罚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《互联网上网服务营业场所管理条例》第三十一条第五项</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37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43</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对无导游证进行导游活动的处罚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《导游人员管理条例》第十八条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31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44</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对导游人员进行导游活动时未佩戴导游证的处罚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《导游人员管理条例》第二十一条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461"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45</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对娱乐场所未按照规定建立从业人员名簿、营业日志的处罚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《娱乐场所管理条例》第五十条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560"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250" w:lineRule="exac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46</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对娱乐场所未在显著位置悬挂娱乐经营许可证、未成年人禁入或者限入标志，或标志未注明举报电话的处罚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《娱乐场所管理办法》第二十四条、第三十三条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37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47</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对旅行社及其分社、服务网点未悬挂旅行社业务经营许可证、备案登记证明的处罚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lef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《旅行社条例实施细则》第二十六条、第五十七条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val="en"/>
              </w:rPr>
            </w:pPr>
            <w:r>
              <w:rPr>
                <w:rFonts w:hint="eastAsia" w:ascii="仿宋_GB2312" w:hAnsi="仿宋_GB2312" w:eastAsia="仿宋_GB2312" w:cs="仿宋_GB2312"/>
                <w:color w:val="auto"/>
                <w:kern w:val="0"/>
                <w:szCs w:val="21"/>
                <w:lang w:bidi="ar"/>
              </w:rPr>
              <w:t>市、县（区）</w:t>
            </w:r>
            <w:r>
              <w:rPr>
                <w:rFonts w:hint="eastAsia" w:ascii="仿宋_GB2312" w:hAnsi="仿宋_GB2312" w:eastAsia="仿宋_GB2312" w:cs="仿宋_GB2312"/>
                <w:color w:val="auto"/>
                <w:kern w:val="0"/>
                <w:szCs w:val="21"/>
                <w:lang w:val="en" w:bidi="ar"/>
              </w:rPr>
              <w:t>文化广电和旅游局</w:t>
            </w:r>
          </w:p>
        </w:tc>
      </w:tr>
      <w:tr>
        <w:tblPrEx>
          <w:tblCellMar>
            <w:top w:w="0" w:type="dxa"/>
            <w:left w:w="108" w:type="dxa"/>
            <w:bottom w:w="0" w:type="dxa"/>
            <w:right w:w="108" w:type="dxa"/>
          </w:tblCellMar>
        </w:tblPrEx>
        <w:trPr>
          <w:cantSplit/>
          <w:trHeight w:val="37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48</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对损坏、挪用或者擅自拆除、停用消防设施、器材的处罚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《中华人民共和国消防法》第十六条、第二十八条、第六十条第一款第二项及第二款、第六十七条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县（区）消防救援大队</w:t>
            </w:r>
          </w:p>
        </w:tc>
      </w:tr>
      <w:tr>
        <w:tblPrEx>
          <w:tblCellMar>
            <w:top w:w="0" w:type="dxa"/>
            <w:left w:w="108" w:type="dxa"/>
            <w:bottom w:w="0" w:type="dxa"/>
            <w:right w:w="108" w:type="dxa"/>
          </w:tblCellMar>
        </w:tblPrEx>
        <w:trPr>
          <w:cantSplit/>
          <w:trHeight w:val="55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49</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对埋压、圈占、遮挡消火栓的处罚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《中华人民共和国消防法》第十六条、第二十八条、第六十条第一款第四项及第二款、第六十七条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县（区）消防救援大队</w:t>
            </w:r>
          </w:p>
        </w:tc>
      </w:tr>
      <w:tr>
        <w:tblPrEx>
          <w:tblCellMar>
            <w:top w:w="0" w:type="dxa"/>
            <w:left w:w="108" w:type="dxa"/>
            <w:bottom w:w="0" w:type="dxa"/>
            <w:right w:w="108" w:type="dxa"/>
          </w:tblCellMar>
        </w:tblPrEx>
        <w:trPr>
          <w:cantSplit/>
          <w:trHeight w:val="55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50</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对占用、堵塞、封闭消防车通道，妨碍消防车通行的处罚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《中华人民共和国消防法》第十六条、第二十八条、第六十条第一款第五项及第二款、第六十七条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县（区）消防救援大队</w:t>
            </w:r>
          </w:p>
        </w:tc>
      </w:tr>
      <w:tr>
        <w:tblPrEx>
          <w:tblCellMar>
            <w:top w:w="0" w:type="dxa"/>
            <w:left w:w="108" w:type="dxa"/>
            <w:bottom w:w="0" w:type="dxa"/>
            <w:right w:w="108" w:type="dxa"/>
          </w:tblCellMar>
        </w:tblPrEx>
        <w:trPr>
          <w:cantSplit/>
          <w:trHeight w:val="55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51</w:t>
            </w:r>
          </w:p>
        </w:tc>
        <w:tc>
          <w:tcPr>
            <w:tcW w:w="2067"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对在居住建筑物的公共走道、楼梯间、门厅内为电动自行车、电动三轮车充电的处罚</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300" w:lineRule="exact"/>
              <w:jc w:val="left"/>
              <w:rPr>
                <w:rFonts w:hint="eastAsia" w:ascii="仿宋_GB2312" w:hAnsi="仿宋_GB2312" w:eastAsia="仿宋_GB2312" w:cs="仿宋_GB2312"/>
                <w:iCs/>
                <w:color w:val="auto"/>
                <w:kern w:val="0"/>
                <w:szCs w:val="21"/>
                <w:lang w:bidi="ar"/>
              </w:rPr>
            </w:pPr>
            <w:r>
              <w:rPr>
                <w:rFonts w:hint="eastAsia" w:ascii="仿宋_GB2312" w:hAnsi="仿宋_GB2312" w:eastAsia="仿宋_GB2312" w:cs="仿宋_GB2312"/>
                <w:iCs/>
                <w:color w:val="auto"/>
                <w:kern w:val="0"/>
                <w:szCs w:val="21"/>
                <w:lang w:bidi="ar"/>
              </w:rPr>
              <w:t>《河南省消防条例》</w:t>
            </w:r>
            <w:r>
              <w:rPr>
                <w:rFonts w:hint="eastAsia" w:ascii="仿宋_GB2312" w:hAnsi="仿宋_GB2312" w:eastAsia="仿宋_GB2312" w:cs="仿宋_GB2312"/>
                <w:color w:val="auto"/>
                <w:kern w:val="0"/>
                <w:szCs w:val="21"/>
                <w:lang w:bidi="ar"/>
              </w:rPr>
              <w:t>第七十一条</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仿宋_GB2312" w:hAnsi="仿宋_GB2312" w:eastAsia="仿宋_GB2312" w:cs="仿宋_GB2312"/>
                <w:color w:val="auto"/>
                <w:kern w:val="0"/>
                <w:szCs w:val="21"/>
                <w:lang w:val="en" w:bidi="ar"/>
              </w:rPr>
            </w:pPr>
            <w:r>
              <w:rPr>
                <w:rFonts w:hint="eastAsia" w:ascii="仿宋_GB2312" w:hAnsi="仿宋_GB2312" w:eastAsia="仿宋_GB2312" w:cs="仿宋_GB2312"/>
                <w:color w:val="auto"/>
                <w:kern w:val="0"/>
                <w:szCs w:val="21"/>
                <w:lang w:bidi="ar"/>
              </w:rPr>
              <w:t>县（区）消防救援大队或公安派出所</w:t>
            </w:r>
          </w:p>
        </w:tc>
      </w:tr>
    </w:tbl>
    <w:p>
      <w:pPr>
        <w:rPr>
          <w:color w:val="auto"/>
        </w:rPr>
      </w:pP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xml:space="preserve"> </w:t>
      </w:r>
    </w:p>
    <w:p>
      <w:pPr>
        <w:rPr>
          <w:color w:val="auto"/>
        </w:rPr>
      </w:pPr>
    </w:p>
    <w:p>
      <w:bookmarkStart w:id="0" w:name="_GoBack"/>
      <w:bookmarkEnd w:id="0"/>
    </w:p>
    <w:sectPr>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文星标宋">
    <w:altName w:val="微软雅黑"/>
    <w:panose1 w:val="02010604000101010101"/>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jE0NDQ1NzVmNDEyNDNmZDViZjIzN2Q4Y2QwODEifQ=="/>
  </w:docVars>
  <w:rsids>
    <w:rsidRoot w:val="24F93FBE"/>
    <w:rsid w:val="24F9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spacing w:before="260" w:beforeLines="0" w:after="260" w:afterLines="0" w:line="416" w:lineRule="auto"/>
      <w:jc w:val="left"/>
      <w:outlineLvl w:val="1"/>
    </w:pPr>
    <w:rPr>
      <w:rFonts w:ascii="Arial" w:hAnsi="Arial" w:eastAsia="黑体"/>
      <w:b/>
      <w:bCs/>
      <w:kern w:val="0"/>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hAnsi="华文中宋" w:eastAsia="仿宋_GB2312"/>
      <w:bCs/>
      <w:kern w:val="44"/>
      <w:sz w:val="32"/>
      <w:szCs w:val="32"/>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character" w:customStyle="1" w:styleId="7">
    <w:name w:val="font21"/>
    <w:basedOn w:val="6"/>
    <w:uiPriority w:val="0"/>
    <w:rPr>
      <w:rFonts w:hint="default" w:ascii="微软雅黑" w:hAnsi="微软雅黑" w:eastAsia="微软雅黑" w:cs="微软雅黑"/>
      <w:color w:val="000000"/>
      <w:sz w:val="20"/>
      <w:szCs w:val="20"/>
      <w:u w:val="none"/>
    </w:rPr>
  </w:style>
  <w:style w:type="paragraph" w:customStyle="1" w:styleId="8">
    <w:name w:val="Body Text First Indent1"/>
    <w:basedOn w:val="3"/>
    <w:qFormat/>
    <w:uiPriority w:val="0"/>
    <w:pPr>
      <w:spacing w:after="0"/>
      <w:ind w:firstLine="420" w:firstLineChars="100"/>
      <w:jc w:val="center"/>
    </w:pPr>
    <w:rPr>
      <w:rFonts w:ascii="Calibri" w:hAnsi="Calibri"/>
      <w:color w:val="FF0000"/>
      <w:sz w:val="1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2024-09-03T07:43:00Z</dcterms:created>
  <dc:creator>拽拽</dc:creator>
  <cp:lastModifiedBy>拽拽</cp:lastModifiedBy>
  <dcterms:modified xsi:type="dcterms:W3CDTF">2024-09-03T07:43:51Z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158EA54517834C7881C86BBC3368751E_11</vt:lpwstr>
  </property>
</Properties>
</file>