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numPr>
          <w:ilvl w:val="0"/>
          <w:numId w:val="2"/>
        </w:numPr>
        <w:spacing w:line="520" w:lineRule="exact"/>
        <w:ind w:firstLine="640" w:firstLineChars="200"/>
        <w:outlineLvl w:val="0"/>
        <w:rPr>
          <w:rFonts w:eastAsia="仿宋"/>
          <w:szCs w:val="32"/>
        </w:rPr>
      </w:pPr>
      <w:r>
        <w:rPr>
          <w:rFonts w:hint="eastAsia" w:ascii="仿宋" w:hAnsi="仿宋" w:eastAsia="仿宋"/>
          <w:szCs w:val="32"/>
        </w:rPr>
        <w:t>在局门户网站适当位置公布</w:t>
      </w:r>
      <w:bookmarkStart w:id="0" w:name="_Hlk119487915"/>
      <w:r>
        <w:rPr>
          <w:rFonts w:hint="eastAsia" w:eastAsia="仿宋"/>
          <w:szCs w:val="32"/>
        </w:rPr>
        <w:t>《洛阳市安全生产行政处罚信用信息修复工作程序</w:t>
      </w:r>
      <w:r>
        <w:rPr>
          <w:rFonts w:hint="eastAsia" w:ascii="仿宋" w:hAnsi="仿宋" w:eastAsia="仿宋"/>
          <w:szCs w:val="32"/>
        </w:rPr>
        <w:t>》</w:t>
      </w:r>
      <w:bookmarkEnd w:id="0"/>
      <w:r>
        <w:rPr>
          <w:rFonts w:hint="eastAsia" w:ascii="仿宋" w:hAnsi="仿宋" w:eastAsia="仿宋"/>
          <w:szCs w:val="32"/>
        </w:rPr>
        <w:t>，并提供《信用修复承诺书（申请书）》、《行政处罚信息信用修复表》下载链接。</w:t>
      </w:r>
      <w:r>
        <w:rPr>
          <w:rFonts w:hint="eastAsia" w:eastAsia="仿宋"/>
          <w:szCs w:val="32"/>
        </w:rPr>
        <w:t>（宣传训练科负责）</w:t>
      </w: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hint="eastAsia" w:ascii="方正小标宋简体" w:hAnsi="仿宋" w:eastAsia="方正小标宋简体"/>
          <w:sz w:val="44"/>
          <w:szCs w:val="44"/>
        </w:rPr>
      </w:pPr>
    </w:p>
    <w:p>
      <w:pPr>
        <w:widowControl/>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洛阳市安全生产行政处罚信用信息修复</w:t>
      </w:r>
    </w:p>
    <w:p>
      <w:pPr>
        <w:widowControl/>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工作程序</w:t>
      </w:r>
    </w:p>
    <w:p>
      <w:pPr>
        <w:widowControl/>
        <w:spacing w:line="600" w:lineRule="exact"/>
        <w:jc w:val="center"/>
        <w:rPr>
          <w:rFonts w:hint="eastAsia" w:ascii="方正小标宋简体" w:hAnsi="仿宋" w:eastAsia="方正小标宋简体"/>
          <w:sz w:val="44"/>
          <w:szCs w:val="44"/>
        </w:rPr>
      </w:pPr>
    </w:p>
    <w:p>
      <w:pPr>
        <w:pStyle w:val="22"/>
        <w:widowControl/>
        <w:numPr>
          <w:ilvl w:val="0"/>
          <w:numId w:val="0"/>
        </w:numPr>
        <w:spacing w:line="600" w:lineRule="exact"/>
        <w:ind w:left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各相关执法科室和执法支队在办理行政处罚案件中送达处罚决定书时，应当告知相关企业处罚公示的要求和信用修复的程序，同时发给《信用修复承诺书（申请书）》、《行政处罚信息信用修复表》。</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各相关执法科室和执法支队应当于处罚决定做出之日起7日内，将行政处罚信息在局门户网站进行公示，同时需将行政处罚信息录入“洛阳市信用信息共享平台”，“洛阳市信用信息共享平台”将自动推送至“信用中国”网站进行公布。</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被处罚企业履行处罚义务完毕且全面完成问题事项整改的，提出信用修复申请递交《信用修复承诺书（申请书）》（附件二）、《行政处罚信息信用修复表》）。</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处罚案件承办单位（科室）核实被处罚企业处罚义务落实情况，在《信用修复承诺书（申请书）》空白位置签署意见，在《行政处罚信息信用修复表》中“行政处罚机关修复决定”栏目中填写相应内容，经局分管领导签字同意后，在《行政处罚信息信用修复表》中“行政处罚机关修复决定”栏目合适位置加盖市应急管理局公章，并将《行政处罚信息信用修复表》原件返交申请单位，将《信用修复承诺书（申请书）》、《行政处罚信息信用修复表》复印件交宣传训练科和调查统计科。上述程序必须在5个工作日内完成。</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宣传训练科在接到信用修复相关材料后，在满足最短公示期要求时撤销在局门户网站的处罚公示。</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调查统计科在接到相关材料后，指导企业在满足最短公示期要求时在“信用中国”网站进行信用修复。详细说明见“</w:t>
      </w:r>
      <w:r>
        <w:rPr>
          <w:rFonts w:ascii="仿宋" w:hAnsi="仿宋" w:eastAsia="仿宋"/>
          <w:sz w:val="32"/>
          <w:szCs w:val="32"/>
        </w:rPr>
        <w:t>https://www.creditchina.gov.cn/xyxf/lczy/</w:t>
      </w:r>
      <w:r>
        <w:rPr>
          <w:rFonts w:hint="eastAsia" w:ascii="仿宋" w:hAnsi="仿宋" w:eastAsia="仿宋"/>
          <w:sz w:val="32"/>
          <w:szCs w:val="32"/>
        </w:rPr>
        <w:t>”</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一般违法行为，按照《河南省应急管理厅实施&lt;安全生产法&gt;相关行政处罚裁量基准（2</w:t>
      </w:r>
      <w:r>
        <w:rPr>
          <w:rFonts w:ascii="仿宋" w:hAnsi="仿宋" w:eastAsia="仿宋"/>
          <w:sz w:val="32"/>
          <w:szCs w:val="32"/>
        </w:rPr>
        <w:t>021</w:t>
      </w:r>
      <w:r>
        <w:rPr>
          <w:rFonts w:hint="eastAsia" w:ascii="仿宋" w:hAnsi="仿宋" w:eastAsia="仿宋"/>
          <w:sz w:val="32"/>
          <w:szCs w:val="32"/>
        </w:rPr>
        <w:t>年版）》（豫应急办【2</w:t>
      </w:r>
      <w:r>
        <w:rPr>
          <w:rFonts w:ascii="仿宋" w:hAnsi="仿宋" w:eastAsia="仿宋"/>
          <w:sz w:val="32"/>
          <w:szCs w:val="32"/>
        </w:rPr>
        <w:t>021</w:t>
      </w:r>
      <w:r>
        <w:rPr>
          <w:rFonts w:hint="eastAsia" w:ascii="仿宋" w:hAnsi="仿宋" w:eastAsia="仿宋"/>
          <w:sz w:val="32"/>
          <w:szCs w:val="32"/>
        </w:rPr>
        <w:t>】1</w:t>
      </w:r>
      <w:r>
        <w:rPr>
          <w:rFonts w:ascii="仿宋" w:hAnsi="仿宋" w:eastAsia="仿宋"/>
          <w:sz w:val="32"/>
          <w:szCs w:val="32"/>
        </w:rPr>
        <w:t>20</w:t>
      </w:r>
      <w:r>
        <w:rPr>
          <w:rFonts w:hint="eastAsia" w:ascii="仿宋" w:hAnsi="仿宋" w:eastAsia="仿宋"/>
          <w:sz w:val="32"/>
          <w:szCs w:val="32"/>
        </w:rPr>
        <w:t>号）中规定的“一般”、“较重”界定。公示期为一年，最短公示期为三个月。</w:t>
      </w:r>
    </w:p>
    <w:p>
      <w:pPr>
        <w:pStyle w:val="22"/>
        <w:widowControl/>
        <w:numPr>
          <w:ilvl w:val="0"/>
          <w:numId w:val="0"/>
        </w:numPr>
        <w:spacing w:line="600" w:lineRule="exact"/>
        <w:ind w:leftChars="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严重违法行为，按照《河南省应急管理厅实施&lt;安全生产法&gt;相关行政处罚裁量基准（2</w:t>
      </w:r>
      <w:r>
        <w:rPr>
          <w:rFonts w:ascii="仿宋" w:hAnsi="仿宋" w:eastAsia="仿宋"/>
          <w:sz w:val="32"/>
          <w:szCs w:val="32"/>
        </w:rPr>
        <w:t>021</w:t>
      </w:r>
      <w:r>
        <w:rPr>
          <w:rFonts w:hint="eastAsia" w:ascii="仿宋" w:hAnsi="仿宋" w:eastAsia="仿宋"/>
          <w:sz w:val="32"/>
          <w:szCs w:val="32"/>
        </w:rPr>
        <w:t>年版）》（豫应急办【2</w:t>
      </w:r>
      <w:r>
        <w:rPr>
          <w:rFonts w:ascii="仿宋" w:hAnsi="仿宋" w:eastAsia="仿宋"/>
          <w:sz w:val="32"/>
          <w:szCs w:val="32"/>
        </w:rPr>
        <w:t>021</w:t>
      </w:r>
      <w:r>
        <w:rPr>
          <w:rFonts w:hint="eastAsia" w:ascii="仿宋" w:hAnsi="仿宋" w:eastAsia="仿宋"/>
          <w:sz w:val="32"/>
          <w:szCs w:val="32"/>
        </w:rPr>
        <w:t>】1</w:t>
      </w:r>
      <w:r>
        <w:rPr>
          <w:rFonts w:ascii="仿宋" w:hAnsi="仿宋" w:eastAsia="仿宋"/>
          <w:sz w:val="32"/>
          <w:szCs w:val="32"/>
        </w:rPr>
        <w:t>20</w:t>
      </w:r>
      <w:r>
        <w:rPr>
          <w:rFonts w:hint="eastAsia" w:ascii="仿宋" w:hAnsi="仿宋" w:eastAsia="仿宋"/>
          <w:sz w:val="32"/>
          <w:szCs w:val="32"/>
        </w:rPr>
        <w:t>号）中规定的“严重”、“特别严重”界定。公示期为三年，最短公示期为六个月。</w:t>
      </w:r>
    </w:p>
    <w:p>
      <w:pPr>
        <w:widowControl/>
        <w:spacing w:line="600" w:lineRule="exact"/>
        <w:ind w:left="403" w:leftChars="-19" w:hanging="464" w:hangingChars="145"/>
        <w:jc w:val="left"/>
        <w:rPr>
          <w:rFonts w:ascii="仿宋" w:hAnsi="仿宋" w:eastAsia="仿宋"/>
          <w:szCs w:val="32"/>
        </w:rPr>
      </w:pPr>
      <w:r>
        <w:rPr>
          <w:rFonts w:hint="eastAsia" w:ascii="仿宋" w:hAnsi="仿宋" w:eastAsia="仿宋"/>
          <w:szCs w:val="32"/>
          <w:lang w:val="en-US" w:eastAsia="zh-CN"/>
        </w:rPr>
        <w:t>9、</w:t>
      </w:r>
      <w:r>
        <w:rPr>
          <w:rFonts w:hint="eastAsia" w:ascii="仿宋" w:hAnsi="仿宋" w:eastAsia="仿宋"/>
          <w:szCs w:val="32"/>
        </w:rPr>
        <w:t>特定严重违法行为，达到严重违法行为标准，同时在行政处罚中有责令停产停业整顿、吊销许可证情形的。公示期为三年且不得提前信用修复。</w:t>
      </w:r>
    </w:p>
    <w:p>
      <w:pPr>
        <w:widowControl/>
        <w:spacing w:line="600" w:lineRule="exact"/>
        <w:ind w:left="566" w:leftChars="1" w:hanging="563" w:hangingChars="176"/>
        <w:jc w:val="left"/>
        <w:rPr>
          <w:rFonts w:ascii="仿宋" w:hAnsi="仿宋" w:eastAsia="仿宋"/>
          <w:szCs w:val="32"/>
        </w:rPr>
      </w:pPr>
      <w:r>
        <w:rPr>
          <w:rFonts w:hint="eastAsia" w:ascii="仿宋" w:hAnsi="仿宋" w:eastAsia="仿宋"/>
          <w:szCs w:val="32"/>
          <w:lang w:val="en-US" w:eastAsia="zh-CN"/>
        </w:rPr>
        <w:t>10、</w:t>
      </w:r>
      <w:r>
        <w:rPr>
          <w:rFonts w:hint="eastAsia" w:ascii="仿宋" w:hAnsi="仿宋" w:eastAsia="仿宋"/>
          <w:szCs w:val="32"/>
        </w:rPr>
        <w:t>未申请进行信用修复的行政处罚公示，一般违法行为满一年的，严重违法行为满三年的应当自动取消公示。</w:t>
      </w:r>
    </w:p>
    <w:p>
      <w:pPr>
        <w:widowControl/>
        <w:spacing w:line="600" w:lineRule="exact"/>
        <w:jc w:val="left"/>
        <w:rPr>
          <w:rFonts w:ascii="仿宋" w:hAnsi="仿宋" w:eastAsia="仿宋"/>
          <w:szCs w:val="32"/>
        </w:rPr>
      </w:pPr>
    </w:p>
    <w:p>
      <w:pPr>
        <w:widowControl/>
        <w:spacing w:line="600" w:lineRule="exact"/>
        <w:jc w:val="left"/>
        <w:rPr>
          <w:rFonts w:ascii="仿宋" w:hAnsi="仿宋" w:eastAsia="仿宋"/>
          <w:szCs w:val="32"/>
        </w:rPr>
      </w:pPr>
    </w:p>
    <w:p>
      <w:pPr>
        <w:widowControl/>
        <w:spacing w:line="600" w:lineRule="exact"/>
        <w:ind w:firstLine="640" w:firstLineChars="200"/>
        <w:jc w:val="left"/>
        <w:rPr>
          <w:rFonts w:ascii="仿宋" w:hAnsi="仿宋" w:eastAsia="仿宋"/>
          <w:szCs w:val="32"/>
        </w:rPr>
      </w:pPr>
      <w:r>
        <w:rPr>
          <w:rFonts w:hint="eastAsia" w:ascii="仿宋" w:hAnsi="仿宋" w:eastAsia="仿宋"/>
          <w:szCs w:val="32"/>
        </w:rPr>
        <w:t>注意事项：</w:t>
      </w:r>
    </w:p>
    <w:p>
      <w:pPr>
        <w:widowControl/>
        <w:spacing w:line="600" w:lineRule="exact"/>
        <w:ind w:firstLine="640" w:firstLineChars="200"/>
        <w:jc w:val="left"/>
        <w:rPr>
          <w:rFonts w:ascii="仿宋_GB2312"/>
          <w:sz w:val="28"/>
          <w:szCs w:val="28"/>
        </w:rPr>
      </w:pPr>
      <w:r>
        <w:rPr>
          <w:rFonts w:hint="eastAsia" w:ascii="仿宋" w:hAnsi="仿宋" w:eastAsia="仿宋"/>
          <w:szCs w:val="32"/>
          <w:lang w:val="en-US" w:eastAsia="zh-CN"/>
        </w:rPr>
        <w:t>1、</w:t>
      </w:r>
      <w:r>
        <w:rPr>
          <w:rFonts w:hint="eastAsia" w:ascii="仿宋" w:hAnsi="仿宋" w:eastAsia="仿宋"/>
          <w:szCs w:val="32"/>
        </w:rPr>
        <w:t>行政处罚决定书文号必须与信用中国网站公示内容一致。</w:t>
      </w:r>
    </w:p>
    <w:p>
      <w:pPr>
        <w:widowControl/>
        <w:spacing w:line="600" w:lineRule="exact"/>
        <w:ind w:firstLine="640" w:firstLineChars="200"/>
        <w:jc w:val="left"/>
        <w:rPr>
          <w:rFonts w:ascii="仿宋" w:hAnsi="仿宋" w:eastAsia="仿宋"/>
          <w:szCs w:val="32"/>
        </w:rPr>
      </w:pPr>
      <w:r>
        <w:rPr>
          <w:rFonts w:hint="eastAsia" w:ascii="仿宋" w:hAnsi="仿宋" w:eastAsia="仿宋"/>
          <w:szCs w:val="32"/>
          <w:lang w:val="en-US" w:eastAsia="zh-CN"/>
        </w:rPr>
        <w:t>2、</w:t>
      </w:r>
      <w:r>
        <w:rPr>
          <w:rFonts w:hint="eastAsia" w:ascii="仿宋" w:hAnsi="仿宋" w:eastAsia="仿宋"/>
          <w:szCs w:val="32"/>
        </w:rPr>
        <w:t xml:space="preserve"> 企业经办人和联系方式，应当填报具体承办人员姓名和联系方式，便于沟通联络，同时必须与网站申请时填报的手机号码一致。</w:t>
      </w:r>
    </w:p>
    <w:p>
      <w:pPr>
        <w:spacing w:line="600" w:lineRule="exact"/>
        <w:ind w:firstLine="640" w:firstLineChars="200"/>
        <w:rPr>
          <w:rFonts w:ascii="仿宋_GB2312" w:hAnsi="仿宋_GB2312" w:cs="仿宋_GB2312"/>
          <w:szCs w:val="32"/>
        </w:rPr>
      </w:pPr>
      <w:r>
        <w:rPr>
          <w:rFonts w:hint="eastAsia" w:ascii="仿宋" w:hAnsi="仿宋" w:eastAsia="仿宋"/>
          <w:szCs w:val="32"/>
          <w:lang w:val="en-US" w:eastAsia="zh-CN"/>
        </w:rPr>
        <w:t>3、</w:t>
      </w:r>
      <w:r>
        <w:rPr>
          <w:rFonts w:hint="eastAsia" w:ascii="仿宋" w:hAnsi="仿宋" w:eastAsia="仿宋"/>
          <w:szCs w:val="32"/>
        </w:rPr>
        <w:t>录入</w:t>
      </w:r>
      <w:r>
        <w:rPr>
          <w:rFonts w:hint="eastAsia" w:ascii="仿宋_GB2312" w:hAnsi="仿宋_GB2312" w:cs="仿宋_GB2312"/>
          <w:szCs w:val="32"/>
        </w:rPr>
        <w:t>“洛阳市信用信息共享平台”时，处罚金额单位为万元。</w:t>
      </w:r>
    </w:p>
    <w:p>
      <w:pPr>
        <w:spacing w:line="600" w:lineRule="exact"/>
        <w:ind w:firstLine="640" w:firstLineChars="200"/>
        <w:rPr>
          <w:rFonts w:ascii="仿宋" w:hAnsi="仿宋" w:eastAsia="仿宋"/>
          <w:szCs w:val="32"/>
        </w:rPr>
      </w:pPr>
      <w:r>
        <w:rPr>
          <w:rFonts w:hint="eastAsia" w:ascii="仿宋" w:hAnsi="仿宋" w:eastAsia="仿宋"/>
          <w:szCs w:val="32"/>
          <w:lang w:val="en-US" w:eastAsia="zh-CN"/>
        </w:rPr>
        <w:t>4、</w:t>
      </w:r>
      <w:r>
        <w:rPr>
          <w:rFonts w:hint="eastAsia" w:ascii="仿宋" w:hAnsi="仿宋" w:eastAsia="仿宋"/>
          <w:szCs w:val="32"/>
        </w:rPr>
        <w:t xml:space="preserve"> 向“信用中国”网站出具的《信用修复承诺书》（附件一），不需要向市应急管理局提交，由企业自行保存，在“信用中国”网站在线修复时使用。</w:t>
      </w:r>
    </w:p>
    <w:p>
      <w:pPr>
        <w:widowControl/>
        <w:spacing w:line="600" w:lineRule="exact"/>
        <w:ind w:firstLine="640" w:firstLineChars="200"/>
        <w:jc w:val="left"/>
        <w:rPr>
          <w:rFonts w:ascii="仿宋" w:hAnsi="仿宋" w:eastAsia="仿宋"/>
          <w:szCs w:val="32"/>
        </w:rPr>
      </w:pPr>
      <w:r>
        <w:rPr>
          <w:rFonts w:hint="eastAsia" w:ascii="仿宋" w:hAnsi="仿宋" w:eastAsia="仿宋"/>
          <w:szCs w:val="32"/>
          <w:lang w:val="en-US" w:eastAsia="zh-CN"/>
        </w:rPr>
        <w:t>5、</w:t>
      </w:r>
      <w:r>
        <w:rPr>
          <w:rFonts w:hint="eastAsia" w:ascii="仿宋" w:hAnsi="仿宋" w:eastAsia="仿宋"/>
          <w:szCs w:val="32"/>
        </w:rPr>
        <w:t>行政处罚信息信用修复表中，行政处罚机关经办人-联系电话必须填报相关科室、单位的固定电话。</w:t>
      </w:r>
    </w:p>
    <w:p>
      <w:pPr>
        <w:widowControl/>
        <w:jc w:val="left"/>
        <w:rPr>
          <w:rFonts w:ascii="黑体" w:eastAsia="黑体"/>
          <w:sz w:val="28"/>
          <w:szCs w:val="28"/>
        </w:rPr>
      </w:pPr>
      <w:bookmarkStart w:id="1" w:name="_GoBack"/>
      <w:bookmarkEnd w:id="1"/>
    </w:p>
    <w:sectPr>
      <w:footerReference r:id="rId3" w:type="default"/>
      <w:pgSz w:w="11906" w:h="16838"/>
      <w:pgMar w:top="1701" w:right="1417" w:bottom="1701" w:left="1531" w:header="851" w:footer="1417" w:gutter="0"/>
      <w:paperSrc w:first="7" w:other="7"/>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0204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0445" cy="278130"/>
                      </a:xfrm>
                      <a:prstGeom prst="rect">
                        <a:avLst/>
                      </a:prstGeom>
                      <a:noFill/>
                      <a:ln>
                        <a:noFill/>
                      </a:ln>
                    </wps:spPr>
                    <wps:txbx>
                      <w:txbxContent>
                        <w:p>
                          <w:pPr>
                            <w:snapToGrid w:val="0"/>
                            <w:jc w:val="center"/>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9pt;height:21.9pt;width:80.35pt;mso-position-horizontal:outside;mso-position-horizontal-relative:margin;z-index:251659264;mso-width-relative:page;mso-height-relative:page;" filled="f" stroked="f" coordsize="21600,21600" o:gfxdata="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cRky1gAAAAcBAAAPAAAAAAAAAAEAIAAAACIAAABkcnMvZG93bnJldi54bWxQSwECFAAUAAAACACH&#10;TuJAqKdEo7QBAABmAwAADgAAAAAAAAABACAAAAAlAQAAZHJzL2Uyb0RvYy54bWxQSwUGAAAAAAYA&#10;BgBZAQAASwUAAAAA&#10;">
              <v:fill on="f" focussize="0,0"/>
              <v:stroke on="f"/>
              <v:imagedata o:title=""/>
              <o:lock v:ext="edit" aspectratio="f"/>
              <v:textbox inset="0mm,0mm,0mm,0mm">
                <w:txbxContent>
                  <w:p>
                    <w:pPr>
                      <w:snapToGrid w:val="0"/>
                      <w:jc w:val="center"/>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3063A"/>
    <w:multiLevelType w:val="multilevel"/>
    <w:tmpl w:val="B573063A"/>
    <w:lvl w:ilvl="0" w:tentative="0">
      <w:start w:val="1"/>
      <w:numFmt w:val="chineseCounting"/>
      <w:pStyle w:val="2"/>
      <w:suff w:val="nothing"/>
      <w:lvlText w:val="%1、"/>
      <w:lvlJc w:val="left"/>
      <w:pPr>
        <w:tabs>
          <w:tab w:val="left" w:pos="420"/>
        </w:tabs>
        <w:ind w:left="0" w:firstLine="40"/>
      </w:pPr>
      <w:rPr>
        <w:rFonts w:hint="eastAsia" w:ascii="黑体" w:hAnsi="黑体" w:eastAsia="黑体" w:cs="宋体"/>
        <w:sz w:val="32"/>
        <w:lang w:val="en-US"/>
      </w:rPr>
    </w:lvl>
    <w:lvl w:ilvl="1" w:tentative="0">
      <w:start w:val="1"/>
      <w:numFmt w:val="chineseCounting"/>
      <w:pStyle w:val="3"/>
      <w:suff w:val="nothing"/>
      <w:lvlText w:val="（%2）"/>
      <w:lvlJc w:val="left"/>
      <w:pPr>
        <w:tabs>
          <w:tab w:val="left" w:pos="420"/>
        </w:tabs>
        <w:ind w:left="0" w:firstLine="40"/>
      </w:pPr>
      <w:rPr>
        <w:rFonts w:hint="eastAsia" w:ascii="宋体" w:hAnsi="宋体" w:eastAsia="宋体" w:cs="宋体"/>
        <w:sz w:val="32"/>
      </w:rPr>
    </w:lvl>
    <w:lvl w:ilvl="2" w:tentative="0">
      <w:start w:val="1"/>
      <w:numFmt w:val="decimal"/>
      <w:pStyle w:val="4"/>
      <w:suff w:val="nothing"/>
      <w:lvlText w:val="%3．"/>
      <w:lvlJc w:val="left"/>
      <w:pPr>
        <w:tabs>
          <w:tab w:val="left" w:pos="420"/>
        </w:tabs>
        <w:ind w:left="0" w:firstLine="40"/>
      </w:pPr>
      <w:rPr>
        <w:rFonts w:hint="eastAsia" w:ascii="宋体" w:hAnsi="宋体" w:eastAsia="宋体" w:cs="宋体"/>
        <w:b/>
        <w:sz w:val="32"/>
      </w:rPr>
    </w:lvl>
    <w:lvl w:ilvl="3" w:tentative="0">
      <w:start w:val="1"/>
      <w:numFmt w:val="decimal"/>
      <w:pStyle w:val="5"/>
      <w:suff w:val="nothing"/>
      <w:lvlText w:val="（%4）"/>
      <w:lvlJc w:val="left"/>
      <w:pPr>
        <w:tabs>
          <w:tab w:val="left" w:pos="420"/>
        </w:tabs>
        <w:ind w:left="0" w:firstLine="40"/>
      </w:pPr>
      <w:rPr>
        <w:rFonts w:hint="eastAsia" w:ascii="宋体" w:hAnsi="宋体" w:eastAsia="宋体" w:cs="宋体"/>
        <w:b/>
        <w:sz w:val="32"/>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BB30BA7C"/>
    <w:multiLevelType w:val="singleLevel"/>
    <w:tmpl w:val="BB30BA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NGU3ZDU0MDM2ZGJjYTdhZmM1YTI1Y2JhMzllOGIifQ=="/>
  </w:docVars>
  <w:rsids>
    <w:rsidRoot w:val="700C4CD9"/>
    <w:rsid w:val="001A6CBC"/>
    <w:rsid w:val="00381BD7"/>
    <w:rsid w:val="003A23D3"/>
    <w:rsid w:val="004405E9"/>
    <w:rsid w:val="00707592"/>
    <w:rsid w:val="007730B1"/>
    <w:rsid w:val="00776CCD"/>
    <w:rsid w:val="0078697D"/>
    <w:rsid w:val="007E7D18"/>
    <w:rsid w:val="008A5AFE"/>
    <w:rsid w:val="00A7012E"/>
    <w:rsid w:val="00B6706D"/>
    <w:rsid w:val="00C43C7C"/>
    <w:rsid w:val="00C55D3E"/>
    <w:rsid w:val="00DA0418"/>
    <w:rsid w:val="00DD08C5"/>
    <w:rsid w:val="00E723A9"/>
    <w:rsid w:val="00ED0FBD"/>
    <w:rsid w:val="00F64A16"/>
    <w:rsid w:val="028A584F"/>
    <w:rsid w:val="04C92157"/>
    <w:rsid w:val="05304EA1"/>
    <w:rsid w:val="0D1171D5"/>
    <w:rsid w:val="0D3B6BA5"/>
    <w:rsid w:val="112E695F"/>
    <w:rsid w:val="14E16E3D"/>
    <w:rsid w:val="16C52114"/>
    <w:rsid w:val="16FF55EE"/>
    <w:rsid w:val="17941787"/>
    <w:rsid w:val="1C22304D"/>
    <w:rsid w:val="24622728"/>
    <w:rsid w:val="24E77B2A"/>
    <w:rsid w:val="281C6242"/>
    <w:rsid w:val="30A53D77"/>
    <w:rsid w:val="33126180"/>
    <w:rsid w:val="33426171"/>
    <w:rsid w:val="35A018EB"/>
    <w:rsid w:val="38FF019C"/>
    <w:rsid w:val="3ABC097C"/>
    <w:rsid w:val="3E70657F"/>
    <w:rsid w:val="425321F3"/>
    <w:rsid w:val="430514A1"/>
    <w:rsid w:val="45754A0D"/>
    <w:rsid w:val="46736B4C"/>
    <w:rsid w:val="4CE14462"/>
    <w:rsid w:val="507A0B14"/>
    <w:rsid w:val="556A6792"/>
    <w:rsid w:val="55815350"/>
    <w:rsid w:val="5963074F"/>
    <w:rsid w:val="5D6E7C11"/>
    <w:rsid w:val="5E224E28"/>
    <w:rsid w:val="5E7001D8"/>
    <w:rsid w:val="603F0FAF"/>
    <w:rsid w:val="61160BFC"/>
    <w:rsid w:val="64EF324A"/>
    <w:rsid w:val="654A0A6B"/>
    <w:rsid w:val="68372C85"/>
    <w:rsid w:val="69163F17"/>
    <w:rsid w:val="6A62398C"/>
    <w:rsid w:val="700C4CD9"/>
    <w:rsid w:val="71076CA6"/>
    <w:rsid w:val="75F51ED8"/>
    <w:rsid w:val="7627688B"/>
    <w:rsid w:val="771C10C6"/>
    <w:rsid w:val="79E50676"/>
    <w:rsid w:val="7CA4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numPr>
        <w:ilvl w:val="0"/>
        <w:numId w:val="1"/>
      </w:numPr>
      <w:spacing w:line="600" w:lineRule="exact"/>
      <w:jc w:val="left"/>
      <w:outlineLvl w:val="0"/>
    </w:pPr>
    <w:rPr>
      <w:rFonts w:ascii="方正小标宋简体" w:hAnsi="方正小标宋简体" w:eastAsia="黑体"/>
      <w:kern w:val="44"/>
    </w:rPr>
  </w:style>
  <w:style w:type="paragraph" w:styleId="3">
    <w:name w:val="heading 2"/>
    <w:basedOn w:val="1"/>
    <w:next w:val="1"/>
    <w:semiHidden/>
    <w:unhideWhenUsed/>
    <w:qFormat/>
    <w:uiPriority w:val="0"/>
    <w:pPr>
      <w:keepNext/>
      <w:keepLines/>
      <w:numPr>
        <w:ilvl w:val="1"/>
        <w:numId w:val="1"/>
      </w:numPr>
      <w:jc w:val="left"/>
      <w:outlineLvl w:val="1"/>
    </w:pPr>
    <w:rPr>
      <w:rFonts w:ascii="黑体" w:hAnsi="黑体" w:eastAsia="楷体"/>
      <w:b/>
    </w:rPr>
  </w:style>
  <w:style w:type="paragraph" w:styleId="4">
    <w:name w:val="heading 3"/>
    <w:basedOn w:val="1"/>
    <w:next w:val="1"/>
    <w:semiHidden/>
    <w:unhideWhenUsed/>
    <w:qFormat/>
    <w:uiPriority w:val="0"/>
    <w:pPr>
      <w:keepNext/>
      <w:keepLines/>
      <w:numPr>
        <w:ilvl w:val="2"/>
        <w:numId w:val="1"/>
      </w:numPr>
      <w:outlineLvl w:val="2"/>
    </w:pPr>
    <w:rPr>
      <w:rFonts w:ascii="楷体" w:hAnsi="楷体"/>
      <w:b/>
    </w:rPr>
  </w:style>
  <w:style w:type="paragraph" w:styleId="5">
    <w:name w:val="heading 4"/>
    <w:basedOn w:val="1"/>
    <w:next w:val="1"/>
    <w:semiHidden/>
    <w:unhideWhenUsed/>
    <w:qFormat/>
    <w:uiPriority w:val="0"/>
    <w:pPr>
      <w:keepNext/>
      <w:keepLines/>
      <w:numPr>
        <w:ilvl w:val="3"/>
        <w:numId w:val="1"/>
      </w:numPr>
      <w:spacing w:line="600" w:lineRule="exact"/>
      <w:outlineLvl w:val="3"/>
    </w:pPr>
    <w:rPr>
      <w:rFonts w:ascii="Arial" w:hAnsi="Arial"/>
      <w:b/>
    </w:rPr>
  </w:style>
  <w:style w:type="paragraph" w:styleId="6">
    <w:name w:val="heading 5"/>
    <w:basedOn w:val="1"/>
    <w:next w:val="1"/>
    <w:semiHidden/>
    <w:unhideWhenUsed/>
    <w:qFormat/>
    <w:uiPriority w:val="0"/>
    <w:pPr>
      <w:keepNext/>
      <w:keepLines/>
      <w:numPr>
        <w:ilvl w:val="4"/>
        <w:numId w:val="1"/>
      </w:numPr>
      <w:spacing w:line="600" w:lineRule="exact"/>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21"/>
    <w:uiPriority w:val="0"/>
    <w:pPr>
      <w:ind w:left="100" w:leftChars="2500"/>
    </w:pPr>
  </w:style>
  <w:style w:type="paragraph" w:styleId="12">
    <w:name w:val="footer"/>
    <w:basedOn w:val="1"/>
    <w:uiPriority w:val="0"/>
    <w:pPr>
      <w:tabs>
        <w:tab w:val="center" w:pos="4153"/>
        <w:tab w:val="right" w:pos="8306"/>
      </w:tabs>
      <w:snapToGrid w:val="0"/>
      <w:jc w:val="left"/>
    </w:pPr>
    <w:rPr>
      <w:sz w:val="18"/>
    </w:rPr>
  </w:style>
  <w:style w:type="paragraph" w:styleId="13">
    <w:name w:val="Title"/>
    <w:basedOn w:val="1"/>
    <w:next w:val="1"/>
    <w:qFormat/>
    <w:uiPriority w:val="0"/>
    <w:pPr>
      <w:pageBreakBefore/>
      <w:jc w:val="center"/>
      <w:outlineLvl w:val="0"/>
    </w:pPr>
    <w:rPr>
      <w:rFonts w:ascii="Arial" w:hAnsi="Arial" w:eastAsia="方正小标宋简体"/>
      <w:sz w:val="4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563C1" w:themeColor="hyperlink"/>
      <w:u w:val="single"/>
      <w14:textFill>
        <w14:solidFill>
          <w14:schemeClr w14:val="hlink"/>
        </w14:solidFill>
      </w14:textFill>
    </w:rPr>
  </w:style>
  <w:style w:type="paragraph" w:customStyle="1" w:styleId="18">
    <w:name w:val="审核人"/>
    <w:basedOn w:val="1"/>
    <w:qFormat/>
    <w:uiPriority w:val="0"/>
    <w:pPr>
      <w:jc w:val="right"/>
    </w:pPr>
    <w:rPr>
      <w:rFonts w:eastAsia="黑体"/>
      <w:sz w:val="24"/>
    </w:rPr>
  </w:style>
  <w:style w:type="paragraph" w:customStyle="1" w:styleId="19">
    <w:name w:val="落款"/>
    <w:basedOn w:val="1"/>
    <w:qFormat/>
    <w:uiPriority w:val="0"/>
    <w:pPr>
      <w:jc w:val="right"/>
    </w:pPr>
    <w:rPr>
      <w:rFonts w:hint="eastAsia"/>
    </w:rPr>
  </w:style>
  <w:style w:type="paragraph" w:customStyle="1" w:styleId="20">
    <w:name w:val="p0"/>
    <w:basedOn w:val="1"/>
    <w:uiPriority w:val="0"/>
    <w:pPr>
      <w:widowControl/>
    </w:pPr>
    <w:rPr>
      <w:rFonts w:eastAsia="宋体"/>
      <w:kern w:val="0"/>
      <w:sz w:val="21"/>
      <w:szCs w:val="21"/>
    </w:rPr>
  </w:style>
  <w:style w:type="character" w:customStyle="1" w:styleId="21">
    <w:name w:val="日期 字符"/>
    <w:basedOn w:val="16"/>
    <w:link w:val="11"/>
    <w:qFormat/>
    <w:uiPriority w:val="0"/>
    <w:rPr>
      <w:rFonts w:ascii="Times New Roman" w:hAnsi="Times New Roman" w:eastAsia="仿宋_GB2312" w:cs="Times New Roman"/>
      <w:kern w:val="2"/>
      <w:sz w:val="32"/>
    </w:rPr>
  </w:style>
  <w:style w:type="paragraph" w:styleId="22">
    <w:name w:val="List Paragraph"/>
    <w:basedOn w:val="1"/>
    <w:qFormat/>
    <w:uiPriority w:val="99"/>
    <w:pPr>
      <w:ind w:firstLine="420" w:firstLineChars="200"/>
    </w:pPr>
    <w:rPr>
      <w:rFonts w:asciiTheme="minorHAnsi" w:hAnsiTheme="minorHAnsi" w:eastAsiaTheme="minorEastAsia" w:cstheme="minorBidi"/>
      <w:sz w:val="21"/>
      <w:szCs w:val="22"/>
    </w:rPr>
  </w:style>
  <w:style w:type="character" w:customStyle="1" w:styleId="23">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3922</Words>
  <Characters>4140</Characters>
  <Lines>34</Lines>
  <Paragraphs>9</Paragraphs>
  <TotalTime>184</TotalTime>
  <ScaleCrop>false</ScaleCrop>
  <LinksUpToDate>false</LinksUpToDate>
  <CharactersWithSpaces>4635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2022-11-16T02:20:00Z</dcterms:created>
  <dc:creator>张巍峰</dc:creator>
  <cp:lastModifiedBy>Administrator</cp:lastModifiedBy>
  <cp:lastPrinted>2022-11-17T01:12:00Z</cp:lastPrinted>
  <dcterms:modified xsi:type="dcterms:W3CDTF">2022-11-17T03:39:12Z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D2D7FCF0BEA7431EA5D66E1281E47DC7</vt:lpwstr>
  </property>
</Properties>
</file>