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rPr>
          <w:rFonts w:ascii="黑体" w:hAnsi="黑体" w:eastAsia="黑体" w:cs="黑体"/>
          <w:sz w:val="52"/>
          <w:szCs w:val="52"/>
        </w:rPr>
      </w:pPr>
      <w:r>
        <w:rPr>
          <w:rFonts w:hint="eastAsia" w:ascii="黑体" w:hAnsi="黑体" w:eastAsia="黑体" w:cs="黑体"/>
          <w:sz w:val="52"/>
          <w:szCs w:val="52"/>
        </w:rPr>
        <w:t>栾川县旅游产业集聚区管理委员会</w:t>
      </w:r>
    </w:p>
    <w:p>
      <w:pPr>
        <w:jc w:val="center"/>
        <w:rPr>
          <w:rFonts w:ascii="黑体" w:hAnsi="黑体" w:eastAsia="黑体" w:cs="黑体"/>
          <w:sz w:val="52"/>
          <w:szCs w:val="52"/>
        </w:rPr>
      </w:pPr>
      <w:r>
        <w:rPr>
          <w:rFonts w:hint="eastAsia" w:ascii="黑体" w:hAnsi="黑体" w:eastAsia="黑体" w:cs="黑体"/>
          <w:sz w:val="52"/>
          <w:szCs w:val="52"/>
        </w:rPr>
        <w:t>2020年度部门决算</w:t>
      </w: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52"/>
          <w:szCs w:val="52"/>
        </w:rPr>
      </w:pPr>
    </w:p>
    <w:p>
      <w:pPr>
        <w:jc w:val="center"/>
        <w:rPr>
          <w:rFonts w:ascii="黑体" w:hAnsi="黑体" w:eastAsia="黑体" w:cs="黑体"/>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440" w:right="1531" w:bottom="1440" w:left="1587" w:header="850" w:footer="992" w:gutter="0"/>
          <w:pgNumType w:fmt="numberInDash"/>
          <w:cols w:space="720" w:num="1"/>
          <w:docGrid w:type="lines" w:linePitch="317" w:charSpace="0"/>
        </w:sectPr>
      </w:pPr>
      <w:r>
        <w:rPr>
          <w:rFonts w:hint="eastAsia" w:ascii="黑体" w:hAnsi="黑体" w:eastAsia="黑体" w:cs="黑体"/>
          <w:sz w:val="32"/>
          <w:szCs w:val="32"/>
        </w:rPr>
        <w:t>二〇二一年九月</w:t>
      </w:r>
    </w:p>
    <w:p>
      <w:pPr>
        <w:jc w:val="center"/>
        <w:rPr>
          <w:rFonts w:ascii="黑体" w:hAnsi="黑体" w:eastAsia="黑体" w:cs="黑体"/>
          <w:sz w:val="36"/>
          <w:szCs w:val="36"/>
        </w:rPr>
      </w:pPr>
      <w:r>
        <w:rPr>
          <w:rFonts w:hint="eastAsia" w:ascii="黑体" w:hAnsi="黑体" w:eastAsia="黑体" w:cs="黑体"/>
          <w:sz w:val="36"/>
          <w:szCs w:val="36"/>
        </w:rPr>
        <w:t>目　　录</w:t>
      </w:r>
    </w:p>
    <w:p>
      <w:pPr>
        <w:jc w:val="left"/>
        <w:rPr>
          <w:rFonts w:ascii="黑体" w:hAnsi="黑体" w:eastAsia="黑体" w:cs="黑体"/>
          <w:sz w:val="32"/>
          <w:szCs w:val="32"/>
        </w:rPr>
      </w:pPr>
      <w:r>
        <w:rPr>
          <w:rFonts w:hint="eastAsia" w:ascii="黑体" w:hAnsi="黑体" w:eastAsia="黑体" w:cs="黑体"/>
          <w:sz w:val="32"/>
          <w:szCs w:val="32"/>
        </w:rPr>
        <w:t>第一部分　　栾川县旅游产业集聚区管理委员会概况</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部门职责</w:t>
      </w:r>
    </w:p>
    <w:p>
      <w:pPr>
        <w:numPr>
          <w:ilvl w:val="0"/>
          <w:numId w:val="1"/>
        </w:numPr>
        <w:ind w:firstLine="640" w:firstLineChars="200"/>
        <w:jc w:val="left"/>
        <w:rPr>
          <w:rFonts w:ascii="宋体" w:hAnsi="宋体" w:cs="宋体"/>
          <w:sz w:val="32"/>
          <w:szCs w:val="32"/>
        </w:rPr>
      </w:pPr>
      <w:r>
        <w:rPr>
          <w:rFonts w:hint="eastAsia" w:ascii="宋体" w:hAnsi="宋体" w:cs="宋体"/>
          <w:sz w:val="32"/>
          <w:szCs w:val="32"/>
        </w:rPr>
        <w:t>机构设置</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二</w:t>
      </w:r>
      <w:r>
        <w:rPr>
          <w:rFonts w:hint="eastAsia" w:ascii="黑体" w:hAnsi="黑体" w:eastAsia="黑体" w:cs="黑体"/>
          <w:sz w:val="32"/>
          <w:szCs w:val="32"/>
        </w:rPr>
        <w:t>部分　　2020年度部门决算表</w:t>
      </w:r>
    </w:p>
    <w:p>
      <w:pPr>
        <w:ind w:firstLine="640" w:firstLineChars="200"/>
        <w:jc w:val="left"/>
        <w:rPr>
          <w:rFonts w:ascii="宋体" w:hAnsi="宋体" w:cs="宋体"/>
          <w:sz w:val="32"/>
          <w:szCs w:val="32"/>
        </w:rPr>
      </w:pPr>
      <w:r>
        <w:rPr>
          <w:rFonts w:hint="eastAsia" w:ascii="宋体" w:hAnsi="宋体" w:cs="宋体"/>
          <w:sz w:val="32"/>
          <w:szCs w:val="32"/>
        </w:rPr>
        <w:t>一、收入支出决算总表</w:t>
      </w:r>
    </w:p>
    <w:p>
      <w:pPr>
        <w:ind w:firstLine="640" w:firstLineChars="200"/>
        <w:jc w:val="left"/>
        <w:rPr>
          <w:rFonts w:ascii="宋体" w:hAnsi="宋体" w:cs="宋体"/>
          <w:sz w:val="32"/>
          <w:szCs w:val="32"/>
        </w:rPr>
      </w:pPr>
      <w:r>
        <w:rPr>
          <w:rFonts w:hint="eastAsia" w:ascii="宋体" w:hAnsi="宋体" w:cs="宋体"/>
          <w:sz w:val="32"/>
          <w:szCs w:val="32"/>
        </w:rPr>
        <w:t>二、收入决算表</w:t>
      </w:r>
    </w:p>
    <w:p>
      <w:pPr>
        <w:ind w:firstLine="640" w:firstLineChars="200"/>
        <w:jc w:val="left"/>
        <w:rPr>
          <w:rFonts w:ascii="宋体" w:hAnsi="宋体" w:cs="宋体"/>
          <w:sz w:val="32"/>
          <w:szCs w:val="32"/>
        </w:rPr>
      </w:pPr>
      <w:r>
        <w:rPr>
          <w:rFonts w:hint="eastAsia" w:ascii="宋体" w:hAnsi="宋体" w:cs="宋体"/>
          <w:sz w:val="32"/>
          <w:szCs w:val="32"/>
        </w:rPr>
        <w:t>三、支出决算表</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四、财政拨款收入支出决算总表</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五、一般公共预算财政拨款支出决算表</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六、一般公共预算财政拨款基本支出决算表</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七、一般公共预算财政拨款“三公”经费支出决算表</w:t>
      </w:r>
    </w:p>
    <w:p>
      <w:pPr>
        <w:ind w:firstLine="640" w:firstLineChars="200"/>
        <w:jc w:val="left"/>
        <w:rPr>
          <w:rFonts w:ascii="黑体" w:hAnsi="黑体" w:eastAsia="黑体" w:cs="黑体"/>
          <w:sz w:val="32"/>
          <w:szCs w:val="32"/>
        </w:rPr>
      </w:pPr>
      <w:r>
        <w:rPr>
          <w:rFonts w:hint="eastAsia" w:ascii="宋体" w:hAnsi="宋体" w:cs="宋体"/>
          <w:sz w:val="32"/>
          <w:szCs w:val="32"/>
        </w:rPr>
        <w:t>八、政府性基金预算财政拨款收入支出决算表</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三</w:t>
      </w:r>
      <w:r>
        <w:rPr>
          <w:rFonts w:hint="eastAsia" w:ascii="黑体" w:hAnsi="黑体" w:eastAsia="黑体" w:cs="黑体"/>
          <w:sz w:val="32"/>
          <w:szCs w:val="32"/>
        </w:rPr>
        <w:t>部分　　2020年度部门决算情况说明</w:t>
      </w:r>
    </w:p>
    <w:p>
      <w:pPr>
        <w:ind w:firstLine="640" w:firstLineChars="200"/>
        <w:jc w:val="left"/>
        <w:rPr>
          <w:rFonts w:ascii="宋体" w:hAnsi="宋体" w:cs="宋体"/>
          <w:sz w:val="32"/>
          <w:szCs w:val="32"/>
        </w:rPr>
      </w:pPr>
      <w:r>
        <w:rPr>
          <w:rFonts w:hint="eastAsia" w:ascii="宋体" w:hAnsi="宋体" w:cs="宋体"/>
          <w:sz w:val="32"/>
          <w:szCs w:val="32"/>
        </w:rPr>
        <w:t>一、收入支出决算总体情况说明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二、收入决算情况说明</w:t>
      </w:r>
    </w:p>
    <w:p>
      <w:pPr>
        <w:ind w:firstLine="640" w:firstLineChars="200"/>
        <w:jc w:val="left"/>
        <w:rPr>
          <w:rFonts w:ascii="宋体" w:hAnsi="宋体" w:cs="宋体"/>
          <w:sz w:val="32"/>
          <w:szCs w:val="32"/>
        </w:rPr>
      </w:pPr>
      <w:r>
        <w:rPr>
          <w:rFonts w:hint="eastAsia" w:ascii="宋体" w:hAnsi="宋体" w:cs="宋体"/>
          <w:sz w:val="32"/>
          <w:szCs w:val="32"/>
        </w:rPr>
        <w:t>三、支出决算情况说明</w:t>
      </w:r>
    </w:p>
    <w:p>
      <w:pPr>
        <w:ind w:firstLine="640" w:firstLineChars="200"/>
        <w:jc w:val="left"/>
        <w:rPr>
          <w:rFonts w:ascii="宋体" w:hAnsi="宋体" w:cs="宋体"/>
          <w:sz w:val="32"/>
          <w:szCs w:val="32"/>
        </w:rPr>
      </w:pPr>
      <w:r>
        <w:rPr>
          <w:rFonts w:hint="eastAsia" w:ascii="宋体" w:hAnsi="宋体" w:cs="宋体"/>
          <w:sz w:val="32"/>
          <w:szCs w:val="32"/>
        </w:rPr>
        <w:t>四、财政拨款收入支出决算总体情况说明</w:t>
      </w:r>
    </w:p>
    <w:p>
      <w:pPr>
        <w:ind w:firstLine="640" w:firstLineChars="200"/>
        <w:jc w:val="left"/>
        <w:rPr>
          <w:rFonts w:ascii="宋体" w:hAnsi="宋体" w:cs="宋体"/>
          <w:sz w:val="32"/>
          <w:szCs w:val="32"/>
        </w:rPr>
      </w:pPr>
      <w:r>
        <w:rPr>
          <w:rFonts w:hint="eastAsia" w:ascii="宋体" w:hAnsi="宋体" w:cs="宋体"/>
          <w:sz w:val="32"/>
          <w:szCs w:val="32"/>
        </w:rPr>
        <w:t>五、一般公共预算财政拨款支出决算情况说明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六、一般公共预算财政拨款基本支出决算情况说明</w:t>
      </w:r>
    </w:p>
    <w:p>
      <w:pPr>
        <w:ind w:firstLine="640" w:firstLineChars="200"/>
        <w:jc w:val="left"/>
        <w:rPr>
          <w:rFonts w:ascii="宋体" w:hAnsi="宋体" w:cs="宋体"/>
          <w:sz w:val="32"/>
          <w:szCs w:val="32"/>
        </w:rPr>
      </w:pPr>
      <w:r>
        <w:rPr>
          <w:rFonts w:hint="eastAsia" w:ascii="宋体" w:hAnsi="宋体" w:cs="宋体"/>
          <w:sz w:val="32"/>
          <w:szCs w:val="32"/>
        </w:rPr>
        <w:t>七、一般公共预算财政拨款“三公”经费支出决算情况说明</w:t>
      </w:r>
    </w:p>
    <w:p>
      <w:pPr>
        <w:ind w:firstLine="640" w:firstLineChars="200"/>
        <w:jc w:val="left"/>
        <w:rPr>
          <w:rFonts w:ascii="宋体" w:hAnsi="宋体" w:cs="宋体"/>
          <w:sz w:val="32"/>
          <w:szCs w:val="32"/>
        </w:rPr>
      </w:pPr>
      <w:r>
        <w:rPr>
          <w:rFonts w:hint="eastAsia" w:ascii="宋体" w:hAnsi="宋体" w:cs="宋体"/>
          <w:sz w:val="32"/>
          <w:szCs w:val="32"/>
        </w:rPr>
        <w:t>八、预算绩效情况说明</w:t>
      </w:r>
    </w:p>
    <w:p>
      <w:pPr>
        <w:ind w:firstLine="640" w:firstLineChars="200"/>
        <w:jc w:val="left"/>
        <w:rPr>
          <w:rFonts w:ascii="宋体" w:hAnsi="宋体" w:cs="宋体"/>
          <w:sz w:val="32"/>
          <w:szCs w:val="32"/>
        </w:rPr>
      </w:pPr>
      <w:r>
        <w:rPr>
          <w:rFonts w:hint="eastAsia" w:ascii="宋体" w:hAnsi="宋体" w:cs="宋体"/>
          <w:sz w:val="32"/>
          <w:szCs w:val="32"/>
        </w:rPr>
        <w:t>九、政府性基金预算财政拨款支出决算情况说明</w:t>
      </w:r>
    </w:p>
    <w:p>
      <w:pPr>
        <w:ind w:firstLine="640" w:firstLineChars="200"/>
        <w:jc w:val="left"/>
        <w:rPr>
          <w:rFonts w:ascii="宋体" w:hAnsi="宋体" w:cs="宋体"/>
          <w:sz w:val="32"/>
          <w:szCs w:val="32"/>
        </w:rPr>
      </w:pPr>
      <w:r>
        <w:rPr>
          <w:rFonts w:hint="eastAsia" w:ascii="宋体" w:hAnsi="宋体" w:cs="宋体"/>
          <w:sz w:val="32"/>
          <w:szCs w:val="32"/>
        </w:rPr>
        <w:t>十、机关运行经费支出情况说明</w:t>
      </w:r>
    </w:p>
    <w:p>
      <w:pPr>
        <w:ind w:firstLine="640" w:firstLineChars="200"/>
        <w:jc w:val="left"/>
        <w:rPr>
          <w:rFonts w:ascii="宋体" w:hAnsi="宋体" w:cs="宋体"/>
          <w:sz w:val="32"/>
          <w:szCs w:val="32"/>
        </w:rPr>
      </w:pPr>
      <w:r>
        <w:rPr>
          <w:rFonts w:hint="eastAsia" w:ascii="宋体" w:hAnsi="宋体" w:cs="宋体"/>
          <w:sz w:val="32"/>
          <w:szCs w:val="32"/>
        </w:rPr>
        <w:t>十一、政府采购支出情况说明</w:t>
      </w:r>
    </w:p>
    <w:p>
      <w:pPr>
        <w:ind w:firstLine="640" w:firstLineChars="200"/>
        <w:jc w:val="left"/>
        <w:rPr>
          <w:rFonts w:ascii="宋体" w:hAnsi="宋体" w:cs="宋体"/>
          <w:sz w:val="32"/>
          <w:szCs w:val="32"/>
        </w:rPr>
      </w:pPr>
      <w:r>
        <w:rPr>
          <w:rFonts w:hint="eastAsia" w:ascii="宋体" w:hAnsi="宋体" w:cs="宋体"/>
          <w:sz w:val="32"/>
          <w:szCs w:val="32"/>
        </w:rPr>
        <w:t>十二、国有资产占用情况说明</w:t>
      </w:r>
    </w:p>
    <w:p>
      <w:pPr>
        <w:jc w:val="left"/>
        <w:rPr>
          <w:rFonts w:ascii="黑体" w:hAnsi="黑体" w:eastAsia="黑体" w:cs="黑体"/>
          <w:sz w:val="32"/>
          <w:szCs w:val="32"/>
        </w:rPr>
      </w:pPr>
      <w:r>
        <w:rPr>
          <w:rFonts w:hint="eastAsia" w:ascii="黑体" w:hAnsi="黑体" w:eastAsia="黑体" w:cs="黑体"/>
          <w:sz w:val="32"/>
          <w:szCs w:val="32"/>
        </w:rPr>
        <w:t>第</w:t>
      </w:r>
      <w:r>
        <w:rPr>
          <w:rFonts w:hint="eastAsia" w:ascii="黑体" w:hAnsi="黑体" w:eastAsia="黑体" w:cs="黑体"/>
          <w:sz w:val="32"/>
          <w:szCs w:val="32"/>
          <w:lang w:val="en-US" w:eastAsia="zh-CN"/>
        </w:rPr>
        <w:t>四</w:t>
      </w:r>
      <w:r>
        <w:rPr>
          <w:rFonts w:hint="eastAsia" w:ascii="黑体" w:hAnsi="黑体" w:eastAsia="黑体" w:cs="黑体"/>
          <w:sz w:val="32"/>
          <w:szCs w:val="32"/>
        </w:rPr>
        <w:t>部分　　名词解释</w:t>
      </w:r>
    </w:p>
    <w:p>
      <w:pPr>
        <w:jc w:val="left"/>
        <w:rPr>
          <w:rFonts w:ascii="黑体" w:hAnsi="黑体" w:eastAsia="黑体" w:cs="黑体"/>
          <w:sz w:val="32"/>
          <w:szCs w:val="32"/>
        </w:rPr>
        <w:sectPr>
          <w:footerReference r:id="rId9" w:type="default"/>
          <w:footerReference r:id="rId10" w:type="even"/>
          <w:pgSz w:w="11906" w:h="16838"/>
          <w:pgMar w:top="1440" w:right="1531" w:bottom="1440" w:left="1587" w:header="850" w:footer="992" w:gutter="0"/>
          <w:pgNumType w:fmt="numberInDash" w:start="1"/>
          <w:cols w:space="720" w:num="1"/>
          <w:docGrid w:type="lines" w:linePitch="317"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center"/>
        <w:outlineLvl w:val="0"/>
        <w:rPr>
          <w:rFonts w:ascii="黑体" w:hAnsi="宋体" w:eastAsia="黑体" w:cs="宋体"/>
          <w:kern w:val="0"/>
          <w:sz w:val="28"/>
          <w:szCs w:val="28"/>
        </w:rPr>
      </w:pPr>
      <w:r>
        <w:rPr>
          <w:rFonts w:hint="eastAsia" w:ascii="黑体" w:hAnsi="黑体" w:eastAsia="黑体" w:cs="黑体"/>
          <w:sz w:val="48"/>
          <w:szCs w:val="48"/>
        </w:rPr>
        <w:t>第一部分  栾川县旅游产业集聚区概况</w:t>
      </w: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sectPr>
          <w:pgSz w:w="11906" w:h="16838"/>
          <w:pgMar w:top="1440" w:right="1800" w:bottom="1440" w:left="1800" w:header="720" w:footer="720" w:gutter="0"/>
          <w:pgNumType w:fmt="numberInDash"/>
          <w:cols w:space="720" w:num="1"/>
          <w:docGrid w:type="lines" w:linePitch="312" w:charSpace="0"/>
        </w:sectPr>
      </w:pP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一、部门</w:t>
      </w:r>
      <w:r>
        <w:rPr>
          <w:rFonts w:hint="eastAsia" w:ascii="黑体" w:hAnsi="黑体" w:eastAsia="黑体" w:cs="黑体"/>
          <w:bCs/>
          <w:sz w:val="32"/>
          <w:szCs w:val="32"/>
        </w:rPr>
        <w:t>职责</w:t>
      </w:r>
    </w:p>
    <w:p>
      <w:pPr>
        <w:widowControl/>
        <w:shd w:val="clear" w:color="auto" w:fill="FFFFFF"/>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栾川县旅游产业集聚区管委会主要职责是组织编制、实施集聚区经济发展计划和总体规划、土地规划，招商引资、基础设施和项目建设、企业服务等，管委会的主要职责是：</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（一）负责党的路线、方针、政策和县委、县政府的重大决策在集聚区内的贯彻落实；负责集聚区管理委员会党组织建设、思想建设、作风建设及廉政建设等工作。</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xml:space="preserve">    （二）贯彻省、市关于鼓励产业集聚区发展的各项方针、政策，制定旅游产业集聚区行政管理规定并组织实施。</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（三）负责实施集聚区建设总体规划和编制实施详细规划，协调制定集聚区科技、经济、社会发展的总体目标。</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（四）审批集聚区内各项基建计划，负责集聚区内各项基础设施、公共设施建设和其他建设项目的监督和管理。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（五）负责集聚区内建设用地的开发和管理。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六）负责旅游产业集聚区的招商引资、对外经济技术合作工作，制定、实施集聚区招商引资优惠政策，协助企业办理各种前期审批手续、提供各种咨询服务，做好签约项目、意向项目的跟踪服务，创造良好的外部投资环境。</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（七）对于县财政出资项目，旅游产业集聚区管委会行使业主方职责，拥有产业集聚区范围内土地等自然资源的开发权和支配权。做到人、财、物统一部署、统一管理。</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（八）用好用活国家政策，会同有关部门争取上级对旅游产业集聚区项目和资金方面的支持。</w:t>
      </w:r>
      <w:r>
        <w:rPr>
          <w:rFonts w:hint="eastAsia" w:ascii="仿宋_GB2312" w:hAnsi="仿宋_GB2312" w:eastAsia="仿宋_GB2312" w:cs="仿宋_GB2312"/>
          <w:kern w:val="0"/>
          <w:sz w:val="32"/>
          <w:szCs w:val="32"/>
        </w:rPr>
        <w:br w:type="textWrapping"/>
      </w:r>
      <w:r>
        <w:rPr>
          <w:rFonts w:hint="eastAsia" w:ascii="仿宋_GB2312" w:hAnsi="仿宋_GB2312" w:eastAsia="仿宋_GB2312" w:cs="仿宋_GB2312"/>
          <w:kern w:val="0"/>
          <w:sz w:val="32"/>
          <w:szCs w:val="32"/>
        </w:rPr>
        <w:t>  （九）负责与省、市产业集聚区管理部门的对接与沟通，完成上级下达的各项工作任务，确保在省市检查、考核中取得较好名次。</w:t>
      </w:r>
    </w:p>
    <w:p>
      <w:pPr>
        <w:widowControl/>
        <w:shd w:val="clear" w:color="auto" w:fill="FFFFFF"/>
        <w:spacing w:line="52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（十）完成县委、县政府交办的其他工作。</w:t>
      </w:r>
    </w:p>
    <w:p>
      <w:pPr>
        <w:widowControl/>
        <w:ind w:firstLine="640" w:firstLineChars="200"/>
        <w:jc w:val="left"/>
        <w:outlineLvl w:val="1"/>
        <w:rPr>
          <w:rFonts w:ascii="黑体" w:hAnsi="黑体" w:eastAsia="黑体" w:cs="黑体"/>
          <w:kern w:val="0"/>
          <w:sz w:val="32"/>
          <w:szCs w:val="32"/>
        </w:rPr>
      </w:pPr>
      <w:r>
        <w:rPr>
          <w:rFonts w:hint="eastAsia" w:ascii="黑体" w:hAnsi="黑体" w:eastAsia="黑体" w:cs="黑体"/>
          <w:kern w:val="0"/>
          <w:sz w:val="32"/>
          <w:szCs w:val="32"/>
        </w:rPr>
        <w:t>二、机构设置</w:t>
      </w:r>
    </w:p>
    <w:p>
      <w:pPr>
        <w:spacing w:line="520" w:lineRule="exact"/>
        <w:ind w:firstLine="688" w:firstLineChars="200"/>
        <w:rPr>
          <w:rFonts w:ascii="仿宋_GB2312" w:eastAsia="仿宋_GB2312"/>
          <w:spacing w:val="12"/>
          <w:sz w:val="32"/>
          <w:szCs w:val="32"/>
        </w:rPr>
      </w:pPr>
      <w:r>
        <w:rPr>
          <w:rFonts w:hint="eastAsia" w:ascii="仿宋_GB2312" w:eastAsia="仿宋_GB2312"/>
          <w:spacing w:val="12"/>
          <w:sz w:val="32"/>
          <w:szCs w:val="32"/>
        </w:rPr>
        <w:t>栾川县旅游产业聚集区管理委员会下设五个职能机构，即：党政办公室、财务统计局、招商融资局、规划土地局、建设环保局。核定行政编制15名，财政全供事业编制20名。</w:t>
      </w:r>
    </w:p>
    <w:p>
      <w:pPr>
        <w:widowControl/>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从决算单位构成看，栾川县旅游产业集聚区决算包括：本级决算、所属事业单位决算。</w:t>
      </w:r>
    </w:p>
    <w:p>
      <w:pPr>
        <w:tabs>
          <w:tab w:val="left" w:pos="900"/>
        </w:tabs>
        <w:ind w:firstLine="640" w:firstLineChars="200"/>
        <w:rPr>
          <w:rFonts w:ascii="黑体" w:hAnsi="宋体" w:eastAsia="黑体" w:cs="宋体"/>
          <w:sz w:val="28"/>
          <w:szCs w:val="28"/>
        </w:rPr>
      </w:pPr>
      <w:r>
        <w:rPr>
          <w:rFonts w:hint="eastAsia" w:ascii="仿宋_GB2312" w:hAnsi="仿宋_GB2312" w:eastAsia="仿宋_GB2312" w:cs="仿宋_GB2312"/>
          <w:kern w:val="0"/>
          <w:sz w:val="32"/>
          <w:szCs w:val="32"/>
        </w:rPr>
        <w:t>纳入本部门2020年度部门决算编制范围的单位共1个，为栾川县旅游产业集聚区。</w:t>
      </w:r>
    </w:p>
    <w:p>
      <w:pPr>
        <w:rPr>
          <w:rFonts w:ascii="黑体" w:hAnsi="宋体" w:eastAsia="黑体" w:cs="宋体"/>
          <w:sz w:val="28"/>
          <w:szCs w:val="28"/>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第二部分  2020年度部门决算表</w:t>
      </w: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jc w:val="center"/>
        <w:outlineLvl w:val="0"/>
        <w:rPr>
          <w:rFonts w:ascii="黑体" w:hAnsi="黑体" w:eastAsia="黑体" w:cs="黑体"/>
          <w:sz w:val="48"/>
          <w:szCs w:val="48"/>
        </w:rPr>
      </w:pPr>
    </w:p>
    <w:p>
      <w:pPr>
        <w:widowControl/>
        <w:jc w:val="left"/>
        <w:rPr>
          <w:rFonts w:ascii="黑体" w:hAnsi="宋体" w:eastAsia="黑体" w:cs="宋体"/>
          <w:kern w:val="0"/>
          <w:sz w:val="28"/>
          <w:szCs w:val="28"/>
        </w:rPr>
      </w:pPr>
    </w:p>
    <w:tbl>
      <w:tblPr>
        <w:tblStyle w:val="6"/>
        <w:tblW w:w="14120" w:type="dxa"/>
        <w:tblInd w:w="93" w:type="dxa"/>
        <w:tblLayout w:type="autofit"/>
        <w:tblCellMar>
          <w:top w:w="0" w:type="dxa"/>
          <w:left w:w="108" w:type="dxa"/>
          <w:bottom w:w="0" w:type="dxa"/>
          <w:right w:w="108" w:type="dxa"/>
        </w:tblCellMar>
      </w:tblPr>
      <w:tblGrid>
        <w:gridCol w:w="5116"/>
        <w:gridCol w:w="662"/>
        <w:gridCol w:w="972"/>
        <w:gridCol w:w="4693"/>
        <w:gridCol w:w="662"/>
        <w:gridCol w:w="2015"/>
      </w:tblGrid>
      <w:tr>
        <w:trPr>
          <w:trHeight w:val="390" w:hRule="atLeast"/>
        </w:trPr>
        <w:tc>
          <w:tcPr>
            <w:tcW w:w="14120" w:type="dxa"/>
            <w:gridSpan w:val="6"/>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收入支出决算总表</w:t>
            </w:r>
          </w:p>
        </w:tc>
      </w:tr>
      <w:tr>
        <w:tblPrEx>
          <w:tblCellMar>
            <w:top w:w="0" w:type="dxa"/>
            <w:left w:w="108" w:type="dxa"/>
            <w:bottom w:w="0" w:type="dxa"/>
            <w:right w:w="108" w:type="dxa"/>
          </w:tblCellMar>
        </w:tblPrEx>
        <w:trPr>
          <w:trHeight w:val="255" w:hRule="atLeast"/>
        </w:trPr>
        <w:tc>
          <w:tcPr>
            <w:tcW w:w="51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9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1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公开01表</w:t>
            </w:r>
          </w:p>
        </w:tc>
      </w:tr>
      <w:tr>
        <w:tblPrEx>
          <w:tblCellMar>
            <w:top w:w="0" w:type="dxa"/>
            <w:left w:w="108" w:type="dxa"/>
            <w:bottom w:w="0" w:type="dxa"/>
            <w:right w:w="108" w:type="dxa"/>
          </w:tblCellMar>
        </w:tblPrEx>
        <w:trPr>
          <w:trHeight w:val="255" w:hRule="atLeast"/>
        </w:trPr>
        <w:tc>
          <w:tcPr>
            <w:tcW w:w="5116" w:type="dxa"/>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7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69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66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15"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6750"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收入</w:t>
            </w:r>
          </w:p>
        </w:tc>
        <w:tc>
          <w:tcPr>
            <w:tcW w:w="7370" w:type="dxa"/>
            <w:gridSpan w:val="3"/>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支出</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97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201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97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201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三、国有资本经营预算财政拨款收入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四、上级补助收入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五、事业收入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六、经营收入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七、附属单位上缴收入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八、其他收入</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24</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25</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26</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使用非财政拨款结余</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结余分配</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年初结转和结余</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年末结转和结余</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5116"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2" w:type="dxa"/>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972"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465.49</w:t>
            </w:r>
          </w:p>
        </w:tc>
        <w:tc>
          <w:tcPr>
            <w:tcW w:w="469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662"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201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465.49</w:t>
            </w:r>
          </w:p>
        </w:tc>
      </w:tr>
      <w:tr>
        <w:tblPrEx>
          <w:tblCellMar>
            <w:top w:w="0" w:type="dxa"/>
            <w:left w:w="108" w:type="dxa"/>
            <w:bottom w:w="0" w:type="dxa"/>
            <w:right w:w="108" w:type="dxa"/>
          </w:tblCellMar>
        </w:tblPrEx>
        <w:trPr>
          <w:trHeight w:val="308" w:hRule="atLeast"/>
        </w:trPr>
        <w:tc>
          <w:tcPr>
            <w:tcW w:w="14120" w:type="dxa"/>
            <w:gridSpan w:val="6"/>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注：本表反映部门本年度的总收支和年末结转结余情况。本套报表金额单位转换时可能存在尾数误差。</w:t>
            </w:r>
          </w:p>
        </w:tc>
      </w:tr>
    </w:tbl>
    <w:p>
      <w:pPr>
        <w:widowControl/>
        <w:jc w:val="left"/>
        <w:rPr>
          <w:rFonts w:ascii="黑体" w:hAnsi="宋体" w:eastAsia="黑体" w:cs="宋体"/>
          <w:kern w:val="0"/>
          <w:sz w:val="28"/>
          <w:szCs w:val="28"/>
        </w:rPr>
        <w:sectPr>
          <w:pgSz w:w="16838" w:h="11906" w:orient="landscape"/>
          <w:pgMar w:top="1440" w:right="1080" w:bottom="1440" w:left="1080" w:header="720" w:footer="720" w:gutter="0"/>
          <w:pgNumType w:fmt="numberInDash"/>
          <w:cols w:space="720" w:num="1"/>
          <w:docGrid w:type="lines" w:linePitch="312" w:charSpace="0"/>
        </w:sectPr>
      </w:pPr>
    </w:p>
    <w:tbl>
      <w:tblPr>
        <w:tblStyle w:val="6"/>
        <w:tblW w:w="13833" w:type="dxa"/>
        <w:tblInd w:w="93" w:type="dxa"/>
        <w:tblLayout w:type="autofit"/>
        <w:tblCellMar>
          <w:top w:w="0" w:type="dxa"/>
          <w:left w:w="108" w:type="dxa"/>
          <w:bottom w:w="0" w:type="dxa"/>
          <w:right w:w="108" w:type="dxa"/>
        </w:tblCellMar>
      </w:tblPr>
      <w:tblGrid>
        <w:gridCol w:w="404"/>
        <w:gridCol w:w="311"/>
        <w:gridCol w:w="271"/>
        <w:gridCol w:w="4112"/>
        <w:gridCol w:w="1368"/>
        <w:gridCol w:w="1405"/>
        <w:gridCol w:w="873"/>
        <w:gridCol w:w="1071"/>
        <w:gridCol w:w="1046"/>
        <w:gridCol w:w="1206"/>
        <w:gridCol w:w="1766"/>
      </w:tblGrid>
      <w:tr>
        <w:tblPrEx>
          <w:tblCellMar>
            <w:top w:w="0" w:type="dxa"/>
            <w:left w:w="108" w:type="dxa"/>
            <w:bottom w:w="0" w:type="dxa"/>
            <w:right w:w="108" w:type="dxa"/>
          </w:tblCellMar>
        </w:tblPrEx>
        <w:trPr>
          <w:trHeight w:val="390" w:hRule="atLeast"/>
        </w:trPr>
        <w:tc>
          <w:tcPr>
            <w:tcW w:w="13833" w:type="dxa"/>
            <w:gridSpan w:val="11"/>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收入决算表</w:t>
            </w:r>
          </w:p>
        </w:tc>
      </w:tr>
      <w:tr>
        <w:tblPrEx>
          <w:tblCellMar>
            <w:top w:w="0" w:type="dxa"/>
            <w:left w:w="108" w:type="dxa"/>
            <w:bottom w:w="0" w:type="dxa"/>
            <w:right w:w="108" w:type="dxa"/>
          </w:tblCellMar>
        </w:tblPrEx>
        <w:trPr>
          <w:trHeight w:val="255" w:hRule="atLeast"/>
        </w:trPr>
        <w:tc>
          <w:tcPr>
            <w:tcW w:w="4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7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112"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6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4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6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公开02表</w:t>
            </w:r>
          </w:p>
        </w:tc>
      </w:tr>
      <w:tr>
        <w:tblPrEx>
          <w:tblCellMar>
            <w:top w:w="0" w:type="dxa"/>
            <w:left w:w="108" w:type="dxa"/>
            <w:bottom w:w="0" w:type="dxa"/>
            <w:right w:w="108" w:type="dxa"/>
          </w:tblCellMar>
        </w:tblPrEx>
        <w:trPr>
          <w:trHeight w:val="255" w:hRule="atLeast"/>
        </w:trPr>
        <w:tc>
          <w:tcPr>
            <w:tcW w:w="5098"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136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7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7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4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76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098"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36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本年收入合计</w:t>
            </w:r>
          </w:p>
        </w:tc>
        <w:tc>
          <w:tcPr>
            <w:tcW w:w="1405"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财政拨款收入</w:t>
            </w:r>
          </w:p>
        </w:tc>
        <w:tc>
          <w:tcPr>
            <w:tcW w:w="873"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上级补助收入</w:t>
            </w:r>
          </w:p>
        </w:tc>
        <w:tc>
          <w:tcPr>
            <w:tcW w:w="1071"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事业收入</w:t>
            </w:r>
          </w:p>
        </w:tc>
        <w:tc>
          <w:tcPr>
            <w:tcW w:w="104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经营收入</w:t>
            </w:r>
          </w:p>
        </w:tc>
        <w:tc>
          <w:tcPr>
            <w:tcW w:w="120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附属单位上缴收入</w:t>
            </w:r>
          </w:p>
        </w:tc>
        <w:tc>
          <w:tcPr>
            <w:tcW w:w="176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其他收入</w:t>
            </w:r>
          </w:p>
        </w:tc>
      </w:tr>
      <w:tr>
        <w:tblPrEx>
          <w:tblCellMar>
            <w:top w:w="0" w:type="dxa"/>
            <w:left w:w="108" w:type="dxa"/>
            <w:bottom w:w="0" w:type="dxa"/>
            <w:right w:w="108" w:type="dxa"/>
          </w:tblCellMar>
        </w:tblPrEx>
        <w:trPr>
          <w:trHeight w:val="312" w:hRule="atLeast"/>
        </w:trPr>
        <w:tc>
          <w:tcPr>
            <w:tcW w:w="986"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112"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6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6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986"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112"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6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5"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7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71"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4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76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098"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36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05"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87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71"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4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20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766"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r>
      <w:tr>
        <w:tblPrEx>
          <w:tblCellMar>
            <w:top w:w="0" w:type="dxa"/>
            <w:left w:w="108" w:type="dxa"/>
            <w:bottom w:w="0" w:type="dxa"/>
            <w:right w:w="108" w:type="dxa"/>
          </w:tblCellMar>
        </w:tblPrEx>
        <w:trPr>
          <w:trHeight w:val="308" w:hRule="atLeast"/>
        </w:trPr>
        <w:tc>
          <w:tcPr>
            <w:tcW w:w="5098"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355.49</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355.49</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2010301</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2010302</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986"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112"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36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87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7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4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76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bl>
    <w:p>
      <w:pPr>
        <w:widowControl/>
        <w:rPr>
          <w:rFonts w:ascii="宋体" w:hAnsi="宋体" w:cs="Arial"/>
          <w:color w:val="000000"/>
          <w:kern w:val="0"/>
          <w:sz w:val="22"/>
        </w:rPr>
      </w:pPr>
      <w:r>
        <w:rPr>
          <w:rFonts w:hint="eastAsia" w:ascii="宋体" w:hAnsi="宋体" w:cs="Arial"/>
          <w:color w:val="000000"/>
          <w:kern w:val="0"/>
          <w:sz w:val="22"/>
        </w:rPr>
        <w:t>注：本表反映部门本年度取得的各项收入情况。</w:t>
      </w:r>
    </w:p>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3682" w:type="dxa"/>
        <w:tblInd w:w="93" w:type="dxa"/>
        <w:tblLayout w:type="autofit"/>
        <w:tblCellMar>
          <w:top w:w="0" w:type="dxa"/>
          <w:left w:w="108" w:type="dxa"/>
          <w:bottom w:w="0" w:type="dxa"/>
          <w:right w:w="108" w:type="dxa"/>
        </w:tblCellMar>
      </w:tblPr>
      <w:tblGrid>
        <w:gridCol w:w="401"/>
        <w:gridCol w:w="313"/>
        <w:gridCol w:w="272"/>
        <w:gridCol w:w="4297"/>
        <w:gridCol w:w="1443"/>
        <w:gridCol w:w="1404"/>
        <w:gridCol w:w="1288"/>
        <w:gridCol w:w="1299"/>
        <w:gridCol w:w="1067"/>
        <w:gridCol w:w="2084"/>
      </w:tblGrid>
      <w:tr>
        <w:tblPrEx>
          <w:tblCellMar>
            <w:top w:w="0" w:type="dxa"/>
            <w:left w:w="108" w:type="dxa"/>
            <w:bottom w:w="0" w:type="dxa"/>
            <w:right w:w="108" w:type="dxa"/>
          </w:tblCellMar>
        </w:tblPrEx>
        <w:trPr>
          <w:trHeight w:val="390" w:hRule="atLeast"/>
        </w:trPr>
        <w:tc>
          <w:tcPr>
            <w:tcW w:w="13682" w:type="dxa"/>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支出决算表</w:t>
            </w:r>
          </w:p>
        </w:tc>
      </w:tr>
      <w:tr>
        <w:tblPrEx>
          <w:tblCellMar>
            <w:top w:w="0" w:type="dxa"/>
            <w:left w:w="108" w:type="dxa"/>
            <w:bottom w:w="0" w:type="dxa"/>
            <w:right w:w="108" w:type="dxa"/>
          </w:tblCellMar>
        </w:tblPrEx>
        <w:trPr>
          <w:trHeight w:val="255" w:hRule="atLeast"/>
        </w:trPr>
        <w:tc>
          <w:tcPr>
            <w:tcW w:w="32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9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4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8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公开03表</w:t>
            </w:r>
          </w:p>
        </w:tc>
      </w:tr>
      <w:tr>
        <w:tblPrEx>
          <w:tblCellMar>
            <w:top w:w="0" w:type="dxa"/>
            <w:left w:w="108" w:type="dxa"/>
            <w:bottom w:w="0" w:type="dxa"/>
            <w:right w:w="108" w:type="dxa"/>
          </w:tblCellMar>
        </w:tblPrEx>
        <w:trPr>
          <w:trHeight w:val="255" w:hRule="atLeast"/>
        </w:trPr>
        <w:tc>
          <w:tcPr>
            <w:tcW w:w="5097"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144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0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9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8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097"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443"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本年支出合计</w:t>
            </w:r>
          </w:p>
        </w:tc>
        <w:tc>
          <w:tcPr>
            <w:tcW w:w="140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28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1299"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上缴上级支出</w:t>
            </w:r>
          </w:p>
        </w:tc>
        <w:tc>
          <w:tcPr>
            <w:tcW w:w="1067"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经营支出</w:t>
            </w:r>
          </w:p>
        </w:tc>
        <w:tc>
          <w:tcPr>
            <w:tcW w:w="2084"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对附属单位补助支出</w:t>
            </w:r>
          </w:p>
        </w:tc>
      </w:tr>
      <w:tr>
        <w:tblPrEx>
          <w:tblCellMar>
            <w:top w:w="0" w:type="dxa"/>
            <w:left w:w="108" w:type="dxa"/>
            <w:bottom w:w="0" w:type="dxa"/>
            <w:right w:w="108" w:type="dxa"/>
          </w:tblCellMar>
        </w:tblPrEx>
        <w:trPr>
          <w:trHeight w:val="312" w:hRule="atLeast"/>
        </w:trPr>
        <w:tc>
          <w:tcPr>
            <w:tcW w:w="80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297"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4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8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8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9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43"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0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8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99"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67"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84"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097"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443"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0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88"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99"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67"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2084"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5097"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355.49</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240.05</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115.44</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2010301</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2010302</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297"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443"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0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8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9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0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08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3682" w:type="dxa"/>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注：本表反映部门本年度各项支出情况。</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4894" w:type="dxa"/>
        <w:tblInd w:w="93" w:type="dxa"/>
        <w:tblLayout w:type="autofit"/>
        <w:tblCellMar>
          <w:top w:w="0" w:type="dxa"/>
          <w:left w:w="108" w:type="dxa"/>
          <w:bottom w:w="0" w:type="dxa"/>
          <w:right w:w="108" w:type="dxa"/>
        </w:tblCellMar>
      </w:tblPr>
      <w:tblGrid>
        <w:gridCol w:w="3589"/>
        <w:gridCol w:w="558"/>
        <w:gridCol w:w="1026"/>
        <w:gridCol w:w="4273"/>
        <w:gridCol w:w="558"/>
        <w:gridCol w:w="876"/>
        <w:gridCol w:w="1175"/>
        <w:gridCol w:w="1207"/>
        <w:gridCol w:w="1664"/>
      </w:tblGrid>
      <w:tr>
        <w:tblPrEx>
          <w:tblCellMar>
            <w:top w:w="0" w:type="dxa"/>
            <w:left w:w="108" w:type="dxa"/>
            <w:bottom w:w="0" w:type="dxa"/>
            <w:right w:w="108" w:type="dxa"/>
          </w:tblCellMar>
        </w:tblPrEx>
        <w:trPr>
          <w:trHeight w:val="390" w:hRule="atLeast"/>
        </w:trPr>
        <w:tc>
          <w:tcPr>
            <w:tcW w:w="14894" w:type="dxa"/>
            <w:gridSpan w:val="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财政拨款收入支出决算总表</w:t>
            </w:r>
          </w:p>
        </w:tc>
      </w:tr>
      <w:tr>
        <w:tblPrEx>
          <w:tblCellMar>
            <w:top w:w="0" w:type="dxa"/>
            <w:left w:w="108" w:type="dxa"/>
            <w:bottom w:w="0" w:type="dxa"/>
            <w:right w:w="108" w:type="dxa"/>
          </w:tblCellMar>
        </w:tblPrEx>
        <w:trPr>
          <w:trHeight w:val="255" w:hRule="atLeast"/>
        </w:trPr>
        <w:tc>
          <w:tcPr>
            <w:tcW w:w="358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27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6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公开04表</w:t>
            </w:r>
          </w:p>
        </w:tc>
      </w:tr>
      <w:tr>
        <w:tblPrEx>
          <w:tblCellMar>
            <w:top w:w="0" w:type="dxa"/>
            <w:left w:w="108" w:type="dxa"/>
            <w:bottom w:w="0" w:type="dxa"/>
            <w:right w:w="108" w:type="dxa"/>
          </w:tblCellMar>
        </w:tblPrEx>
        <w:trPr>
          <w:trHeight w:val="255" w:hRule="atLeast"/>
        </w:trPr>
        <w:tc>
          <w:tcPr>
            <w:tcW w:w="5173"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4273"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55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44"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7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664"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173"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收     入</w:t>
            </w:r>
          </w:p>
        </w:tc>
        <w:tc>
          <w:tcPr>
            <w:tcW w:w="9721"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支     出</w:t>
            </w:r>
          </w:p>
        </w:tc>
      </w:tr>
      <w:tr>
        <w:tblPrEx>
          <w:tblCellMar>
            <w:top w:w="0" w:type="dxa"/>
            <w:left w:w="108" w:type="dxa"/>
            <w:bottom w:w="0" w:type="dxa"/>
            <w:right w:w="108" w:type="dxa"/>
          </w:tblCellMar>
        </w:tblPrEx>
        <w:trPr>
          <w:trHeight w:val="312" w:hRule="atLeast"/>
        </w:trPr>
        <w:tc>
          <w:tcPr>
            <w:tcW w:w="3589"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5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102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金额</w:t>
            </w:r>
          </w:p>
        </w:tc>
        <w:tc>
          <w:tcPr>
            <w:tcW w:w="4273"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558"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行次</w:t>
            </w:r>
          </w:p>
        </w:tc>
        <w:tc>
          <w:tcPr>
            <w:tcW w:w="844"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175"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一般公共预算财政拨款</w:t>
            </w:r>
          </w:p>
        </w:tc>
        <w:tc>
          <w:tcPr>
            <w:tcW w:w="120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政府性基金预算财政拨款</w:t>
            </w:r>
          </w:p>
        </w:tc>
        <w:tc>
          <w:tcPr>
            <w:tcW w:w="1664"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国有资本经营预算财政拨款</w:t>
            </w:r>
          </w:p>
        </w:tc>
      </w:tr>
      <w:tr>
        <w:tblPrEx>
          <w:tblCellMar>
            <w:top w:w="0" w:type="dxa"/>
            <w:left w:w="108" w:type="dxa"/>
            <w:bottom w:w="0" w:type="dxa"/>
            <w:right w:w="108" w:type="dxa"/>
          </w:tblCellMar>
        </w:tblPrEx>
        <w:trPr>
          <w:trHeight w:val="615" w:hRule="atLeast"/>
        </w:trPr>
        <w:tc>
          <w:tcPr>
            <w:tcW w:w="3589"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02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273"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558"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84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7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664"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102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　</w:t>
            </w:r>
          </w:p>
        </w:tc>
        <w:tc>
          <w:tcPr>
            <w:tcW w:w="84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175"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20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664"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一、一般公共预算财政拨款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一、一般公共服务支出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33</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二、政府性基金预算财政拨款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二、外交支出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34</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三、国有资本经营财政拨款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三、国防支出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35</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四、公共安全支出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36</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五、教育支出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37</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六、科学技术支出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38</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七、文化旅游体育与传媒支出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39</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八、社会保障和就业支出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40</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九、卫生健康支出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41</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十、节能环保支出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42</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十一、城乡社区支出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43</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十二、农林水支出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44</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13</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十三、交通运输支出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45</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14</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十四、资源勘探工业信息等支出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46</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15</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十五、商业服务业等支出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47</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16</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十六、金融支出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48</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17</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十七、援助其他地区支出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49</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18</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十八、自然资源海洋气象等支出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50</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19</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十九、住房保障支出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51</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20</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二十、粮油物资储备支出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52</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21</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二十一、国有资本经营预算支出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53</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22</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二十二、灾害防治及应急管理支出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54</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23</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二十三、其他支出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55</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0"/>
                <w:szCs w:val="20"/>
              </w:rPr>
            </w:pPr>
            <w:r>
              <w:rPr>
                <w:rFonts w:hint="eastAsia" w:ascii="宋体" w:hAnsi="宋体" w:cs="Arial"/>
                <w:b/>
                <w:bCs/>
                <w:color w:val="000000"/>
                <w:kern w:val="0"/>
                <w:sz w:val="20"/>
                <w:szCs w:val="20"/>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24</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二十四、债务还本支出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56</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25</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二十五、债务付息支出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57</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26</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二十六、抗疫特别国债安排的支出</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58</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本年收入合计</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27</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本年支出合计</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59</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年初财政拨款结转和结余</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28</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年末财政拨款结转和结余</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60</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一般公共预算财政拨款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29</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61</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政府性基金预算财政拨款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30</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62</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国有资本经营预算财政拨款</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31</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63</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589"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58" w:type="dxa"/>
            <w:tcBorders>
              <w:top w:val="nil"/>
              <w:left w:val="nil"/>
              <w:bottom w:val="single" w:color="000000" w:sz="8"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32</w:t>
            </w:r>
          </w:p>
        </w:tc>
        <w:tc>
          <w:tcPr>
            <w:tcW w:w="1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465.49</w:t>
            </w:r>
          </w:p>
        </w:tc>
        <w:tc>
          <w:tcPr>
            <w:tcW w:w="4273"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b/>
                <w:bCs/>
                <w:color w:val="000000"/>
                <w:kern w:val="0"/>
                <w:sz w:val="22"/>
              </w:rPr>
            </w:pPr>
            <w:r>
              <w:rPr>
                <w:rFonts w:hint="eastAsia" w:ascii="宋体" w:hAnsi="宋体" w:cs="Arial"/>
                <w:b/>
                <w:bCs/>
                <w:color w:val="000000"/>
                <w:kern w:val="0"/>
                <w:sz w:val="22"/>
              </w:rPr>
              <w:t>总计</w:t>
            </w:r>
          </w:p>
        </w:tc>
        <w:tc>
          <w:tcPr>
            <w:tcW w:w="55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64</w:t>
            </w:r>
          </w:p>
        </w:tc>
        <w:tc>
          <w:tcPr>
            <w:tcW w:w="84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465.49</w:t>
            </w:r>
          </w:p>
        </w:tc>
        <w:tc>
          <w:tcPr>
            <w:tcW w:w="1175"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465.49</w:t>
            </w:r>
          </w:p>
        </w:tc>
        <w:tc>
          <w:tcPr>
            <w:tcW w:w="120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664"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13230" w:type="dxa"/>
            <w:gridSpan w:val="8"/>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注：本表反映部门本年度一般公共预算财政拨款、政府性基金预算财政拨款和国有资本经营预算财政拨款的总收支和年末结转结余情况。</w:t>
            </w:r>
          </w:p>
        </w:tc>
        <w:tc>
          <w:tcPr>
            <w:tcW w:w="1664" w:type="dxa"/>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2386" w:type="dxa"/>
        <w:tblInd w:w="93" w:type="dxa"/>
        <w:tblLayout w:type="autofit"/>
        <w:tblCellMar>
          <w:top w:w="0" w:type="dxa"/>
          <w:left w:w="108" w:type="dxa"/>
          <w:bottom w:w="0" w:type="dxa"/>
          <w:right w:w="108" w:type="dxa"/>
        </w:tblCellMar>
      </w:tblPr>
      <w:tblGrid>
        <w:gridCol w:w="401"/>
        <w:gridCol w:w="313"/>
        <w:gridCol w:w="272"/>
        <w:gridCol w:w="4745"/>
        <w:gridCol w:w="2106"/>
        <w:gridCol w:w="2106"/>
        <w:gridCol w:w="2629"/>
      </w:tblGrid>
      <w:tr>
        <w:tblPrEx>
          <w:tblCellMar>
            <w:top w:w="0" w:type="dxa"/>
            <w:left w:w="108" w:type="dxa"/>
            <w:bottom w:w="0" w:type="dxa"/>
            <w:right w:w="108" w:type="dxa"/>
          </w:tblCellMar>
        </w:tblPrEx>
        <w:trPr>
          <w:trHeight w:val="390" w:hRule="atLeast"/>
        </w:trPr>
        <w:tc>
          <w:tcPr>
            <w:tcW w:w="12386" w:type="dxa"/>
            <w:gridSpan w:val="7"/>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一般公共预算财政拨款支出决算表</w:t>
            </w:r>
          </w:p>
        </w:tc>
      </w:tr>
      <w:tr>
        <w:tblPrEx>
          <w:tblCellMar>
            <w:top w:w="0" w:type="dxa"/>
            <w:left w:w="108" w:type="dxa"/>
            <w:bottom w:w="0" w:type="dxa"/>
            <w:right w:w="108" w:type="dxa"/>
          </w:tblCellMar>
        </w:tblPrEx>
        <w:trPr>
          <w:trHeight w:val="255" w:hRule="atLeast"/>
        </w:trPr>
        <w:tc>
          <w:tcPr>
            <w:tcW w:w="32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5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474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2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公开05表</w:t>
            </w:r>
          </w:p>
        </w:tc>
      </w:tr>
      <w:tr>
        <w:tblPrEx>
          <w:tblCellMar>
            <w:top w:w="0" w:type="dxa"/>
            <w:left w:w="108" w:type="dxa"/>
            <w:bottom w:w="0" w:type="dxa"/>
            <w:right w:w="108" w:type="dxa"/>
          </w:tblCellMar>
        </w:tblPrEx>
        <w:trPr>
          <w:trHeight w:val="255" w:hRule="atLeast"/>
        </w:trPr>
        <w:tc>
          <w:tcPr>
            <w:tcW w:w="5545"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21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106"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629"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5545"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6841"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r>
      <w:tr>
        <w:tblPrEx>
          <w:tblCellMar>
            <w:top w:w="0" w:type="dxa"/>
            <w:left w:w="108" w:type="dxa"/>
            <w:bottom w:w="0" w:type="dxa"/>
            <w:right w:w="108" w:type="dxa"/>
          </w:tblCellMar>
        </w:tblPrEx>
        <w:trPr>
          <w:trHeight w:val="312" w:hRule="atLeast"/>
        </w:trPr>
        <w:tc>
          <w:tcPr>
            <w:tcW w:w="800"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474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210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2106"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2629"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r>
      <w:tr>
        <w:tblPrEx>
          <w:tblCellMar>
            <w:top w:w="0" w:type="dxa"/>
            <w:left w:w="108" w:type="dxa"/>
            <w:bottom w:w="0" w:type="dxa"/>
            <w:right w:w="108" w:type="dxa"/>
          </w:tblCellMar>
        </w:tblPrEx>
        <w:trPr>
          <w:trHeight w:val="312" w:hRule="atLeast"/>
        </w:trPr>
        <w:tc>
          <w:tcPr>
            <w:tcW w:w="8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7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800"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47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106"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629"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554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210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210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2629"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r>
      <w:tr>
        <w:tblPrEx>
          <w:tblCellMar>
            <w:top w:w="0" w:type="dxa"/>
            <w:left w:w="108" w:type="dxa"/>
            <w:bottom w:w="0" w:type="dxa"/>
            <w:right w:w="108" w:type="dxa"/>
          </w:tblCellMar>
        </w:tblPrEx>
        <w:trPr>
          <w:trHeight w:val="308" w:hRule="atLeast"/>
        </w:trPr>
        <w:tc>
          <w:tcPr>
            <w:tcW w:w="5545"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355.49</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240.05</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115.44</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一般公共服务支出</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政府办公厅（室）及相关机构事务</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355.49</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2010301</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行政运行</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240.05</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2010302</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xml:space="preserve">  一般行政管理事务</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115.44</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800"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47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10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2629"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2386" w:type="dxa"/>
            <w:gridSpan w:val="7"/>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注：本表反映部门本年度一般公共预算财政拨款支出情况。</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4261" w:type="dxa"/>
        <w:tblInd w:w="93" w:type="dxa"/>
        <w:tblLayout w:type="autofit"/>
        <w:tblCellMar>
          <w:top w:w="0" w:type="dxa"/>
          <w:left w:w="108" w:type="dxa"/>
          <w:bottom w:w="0" w:type="dxa"/>
          <w:right w:w="108" w:type="dxa"/>
        </w:tblCellMar>
      </w:tblPr>
      <w:tblGrid>
        <w:gridCol w:w="740"/>
        <w:gridCol w:w="3030"/>
        <w:gridCol w:w="1101"/>
        <w:gridCol w:w="740"/>
        <w:gridCol w:w="2030"/>
        <w:gridCol w:w="720"/>
        <w:gridCol w:w="770"/>
        <w:gridCol w:w="3830"/>
        <w:gridCol w:w="1300"/>
      </w:tblGrid>
      <w:tr>
        <w:tblPrEx>
          <w:tblCellMar>
            <w:top w:w="0" w:type="dxa"/>
            <w:left w:w="108" w:type="dxa"/>
            <w:bottom w:w="0" w:type="dxa"/>
            <w:right w:w="108" w:type="dxa"/>
          </w:tblCellMar>
        </w:tblPrEx>
        <w:trPr>
          <w:trHeight w:val="390" w:hRule="atLeast"/>
        </w:trPr>
        <w:tc>
          <w:tcPr>
            <w:tcW w:w="14261" w:type="dxa"/>
            <w:gridSpan w:val="9"/>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一般公共预算财政拨款基本支出决算表</w:t>
            </w:r>
          </w:p>
        </w:tc>
      </w:tr>
      <w:tr>
        <w:tblPrEx>
          <w:tblCellMar>
            <w:top w:w="0" w:type="dxa"/>
            <w:left w:w="108" w:type="dxa"/>
            <w:bottom w:w="0" w:type="dxa"/>
            <w:right w:w="108" w:type="dxa"/>
          </w:tblCellMar>
        </w:tblPrEx>
        <w:trPr>
          <w:trHeight w:val="255" w:hRule="atLeast"/>
        </w:trPr>
        <w:tc>
          <w:tcPr>
            <w:tcW w:w="7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0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公开06表</w:t>
            </w:r>
          </w:p>
        </w:tc>
      </w:tr>
      <w:tr>
        <w:tblPrEx>
          <w:tblCellMar>
            <w:top w:w="0" w:type="dxa"/>
            <w:left w:w="108" w:type="dxa"/>
            <w:bottom w:w="0" w:type="dxa"/>
            <w:right w:w="108" w:type="dxa"/>
          </w:tblCellMar>
        </w:tblPrEx>
        <w:trPr>
          <w:trHeight w:val="255" w:hRule="atLeast"/>
        </w:trPr>
        <w:tc>
          <w:tcPr>
            <w:tcW w:w="4871" w:type="dxa"/>
            <w:gridSpan w:val="3"/>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7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20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77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8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30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18"/>
                <w:szCs w:val="18"/>
              </w:rPr>
            </w:pPr>
            <w:r>
              <w:rPr>
                <w:rFonts w:hint="eastAsia" w:ascii="宋体" w:hAnsi="宋体" w:cs="Arial"/>
                <w:color w:val="000000"/>
                <w:kern w:val="0"/>
                <w:sz w:val="18"/>
                <w:szCs w:val="18"/>
              </w:rPr>
              <w:t>金额单位：万元</w:t>
            </w:r>
          </w:p>
        </w:tc>
      </w:tr>
      <w:tr>
        <w:tblPrEx>
          <w:tblCellMar>
            <w:top w:w="0" w:type="dxa"/>
            <w:left w:w="108" w:type="dxa"/>
            <w:bottom w:w="0" w:type="dxa"/>
            <w:right w:w="108" w:type="dxa"/>
          </w:tblCellMar>
        </w:tblPrEx>
        <w:trPr>
          <w:trHeight w:val="308" w:hRule="atLeast"/>
        </w:trPr>
        <w:tc>
          <w:tcPr>
            <w:tcW w:w="4871" w:type="dxa"/>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人员经费</w:t>
            </w:r>
          </w:p>
        </w:tc>
        <w:tc>
          <w:tcPr>
            <w:tcW w:w="9390" w:type="dxa"/>
            <w:gridSpan w:val="6"/>
            <w:tcBorders>
              <w:top w:val="single" w:color="000000" w:sz="4" w:space="0"/>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公用经费</w:t>
            </w:r>
          </w:p>
        </w:tc>
      </w:tr>
      <w:tr>
        <w:tblPrEx>
          <w:tblCellMar>
            <w:top w:w="0" w:type="dxa"/>
            <w:left w:w="108" w:type="dxa"/>
            <w:bottom w:w="0" w:type="dxa"/>
            <w:right w:w="108" w:type="dxa"/>
          </w:tblCellMar>
        </w:tblPrEx>
        <w:trPr>
          <w:trHeight w:val="312" w:hRule="atLeast"/>
        </w:trPr>
        <w:tc>
          <w:tcPr>
            <w:tcW w:w="74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03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10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4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203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72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c>
          <w:tcPr>
            <w:tcW w:w="77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科目编码</w:t>
            </w:r>
          </w:p>
        </w:tc>
        <w:tc>
          <w:tcPr>
            <w:tcW w:w="383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3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12" w:hRule="atLeast"/>
        </w:trPr>
        <w:tc>
          <w:tcPr>
            <w:tcW w:w="74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0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20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2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77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8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3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工资福利支出</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235.96</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商品和服务支出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债务利息及费用支出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30101</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基本工资</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79.62</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30201</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办公费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30701</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国内债务付息</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30102</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津贴补贴</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61.74</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30202</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印刷费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30702</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国外债务付息</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30103</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奖金</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20.52</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30203</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咨询费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资本性支出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30106</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伙食补助费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30204</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手续费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31001</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房屋建筑物购建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30107</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绩效工资</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3.68</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30205</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水费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31002</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办公设备购置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30108</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机关事业单位基本养老保险缴费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25.60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30206</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电费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31003</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专用设备购置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30109</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职业年金缴费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30207</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邮电费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31005</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基础设施建设</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30110</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职工基本医疗保险缴费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11.96</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30208</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取暖费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31006</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大型修缮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30111</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公务员医疗补助缴费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0.24</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30209</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物业管理费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31007</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信息网络及软件购置更新</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30112</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其他社会保障缴费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0.16</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30211</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差旅费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31008</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物资储备</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30113</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住房公积金</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17.43</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30212</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因公出国（境）费用</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31009</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土地补偿</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30114</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医疗费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0.50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30213</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维修（护）费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31010</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安置补助</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30199</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其他工资福利支出</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14.51</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30214</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租赁费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31011</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地上附着物和青苗补偿</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对个人和家庭的补助</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30215</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会议费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31012</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拆迁补偿</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30301</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离休费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30216</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培训费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31013</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公务用车购置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30302</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退休费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30217</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公务接待费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31019</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其他交通工具购置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30303</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退职（役）费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30218</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专用材料费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31021</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文物和陈列品购置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30304</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抚恤金</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30224</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被装购置费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31022</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无形资产购置</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30305</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生活补助</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30225</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专用燃料费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31099</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其他资本性支出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30306</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救济费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30226</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劳务费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其他支出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30307</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医疗费补助</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30227</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委托业务费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39906</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赠与</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30308</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助学金</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30228</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工会经费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1.77</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39907</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国家赔偿费用支出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30309</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奖励金</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30229</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福利费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2.33</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39908</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对民间非营利组织和群众性自治组织补贴</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30310</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个人农业生产补贴</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30231</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公务用车运行维护费</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39999</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其他支出</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30311</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代缴社会保险费</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30239</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其他交通费用</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30399</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其他对个人和家庭的补助</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30240</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税金及附加费用</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40" w:hRule="atLeast"/>
        </w:trPr>
        <w:tc>
          <w:tcPr>
            <w:tcW w:w="740" w:type="dxa"/>
            <w:tcBorders>
              <w:top w:val="nil"/>
              <w:left w:val="single" w:color="000000" w:sz="4" w:space="0"/>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c>
          <w:tcPr>
            <w:tcW w:w="74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30299</w:t>
            </w:r>
          </w:p>
        </w:tc>
        <w:tc>
          <w:tcPr>
            <w:tcW w:w="20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xml:space="preserve">  其他商品和服务支出</w:t>
            </w:r>
          </w:p>
        </w:tc>
        <w:tc>
          <w:tcPr>
            <w:tcW w:w="7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0.00</w:t>
            </w:r>
          </w:p>
        </w:tc>
        <w:tc>
          <w:tcPr>
            <w:tcW w:w="77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3830" w:type="dxa"/>
            <w:tcBorders>
              <w:top w:val="nil"/>
              <w:left w:val="nil"/>
              <w:bottom w:val="single" w:color="000000" w:sz="4" w:space="0"/>
              <w:right w:val="single" w:color="000000" w:sz="4" w:space="0"/>
            </w:tcBorders>
            <w:shd w:val="clear" w:color="FFFFFF" w:fill="C0C0C0"/>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　</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　</w:t>
            </w:r>
          </w:p>
        </w:tc>
      </w:tr>
      <w:tr>
        <w:tblPrEx>
          <w:tblCellMar>
            <w:top w:w="0" w:type="dxa"/>
            <w:left w:w="108" w:type="dxa"/>
            <w:bottom w:w="0" w:type="dxa"/>
            <w:right w:w="108" w:type="dxa"/>
          </w:tblCellMar>
        </w:tblPrEx>
        <w:trPr>
          <w:trHeight w:val="240" w:hRule="atLeast"/>
        </w:trPr>
        <w:tc>
          <w:tcPr>
            <w:tcW w:w="3770" w:type="dxa"/>
            <w:gridSpan w:val="2"/>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人员经费合计</w:t>
            </w:r>
          </w:p>
        </w:tc>
        <w:tc>
          <w:tcPr>
            <w:tcW w:w="110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235.96</w:t>
            </w:r>
          </w:p>
        </w:tc>
        <w:tc>
          <w:tcPr>
            <w:tcW w:w="8090" w:type="dxa"/>
            <w:gridSpan w:val="5"/>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0"/>
                <w:szCs w:val="20"/>
              </w:rPr>
            </w:pPr>
            <w:r>
              <w:rPr>
                <w:rFonts w:hint="eastAsia" w:ascii="宋体" w:hAnsi="宋体" w:cs="Arial"/>
                <w:color w:val="000000"/>
                <w:kern w:val="0"/>
                <w:sz w:val="20"/>
                <w:szCs w:val="20"/>
              </w:rPr>
              <w:t>公用经费合计</w:t>
            </w:r>
          </w:p>
        </w:tc>
        <w:tc>
          <w:tcPr>
            <w:tcW w:w="13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4.10</w:t>
            </w:r>
          </w:p>
        </w:tc>
      </w:tr>
      <w:tr>
        <w:tblPrEx>
          <w:tblCellMar>
            <w:top w:w="0" w:type="dxa"/>
            <w:left w:w="108" w:type="dxa"/>
            <w:bottom w:w="0" w:type="dxa"/>
            <w:right w:w="108" w:type="dxa"/>
          </w:tblCellMar>
        </w:tblPrEx>
        <w:trPr>
          <w:trHeight w:val="240" w:hRule="atLeast"/>
        </w:trPr>
        <w:tc>
          <w:tcPr>
            <w:tcW w:w="14261" w:type="dxa"/>
            <w:gridSpan w:val="9"/>
            <w:tcBorders>
              <w:top w:val="nil"/>
              <w:left w:val="nil"/>
              <w:bottom w:val="nil"/>
              <w:right w:val="nil"/>
            </w:tcBorders>
            <w:shd w:val="clear" w:color="auto" w:fill="auto"/>
            <w:noWrap/>
            <w:vAlign w:val="center"/>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注：本表反映部门本年度一般公共预算财政拨款基本支出明细情况。</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tbl>
      <w:tblPr>
        <w:tblStyle w:val="6"/>
        <w:tblW w:w="14280" w:type="dxa"/>
        <w:tblInd w:w="93" w:type="dxa"/>
        <w:tblLayout w:type="autofit"/>
        <w:tblCellMar>
          <w:top w:w="0" w:type="dxa"/>
          <w:left w:w="108" w:type="dxa"/>
          <w:bottom w:w="0" w:type="dxa"/>
          <w:right w:w="108" w:type="dxa"/>
        </w:tblCellMar>
      </w:tblPr>
      <w:tblGrid>
        <w:gridCol w:w="960"/>
        <w:gridCol w:w="1260"/>
        <w:gridCol w:w="1200"/>
        <w:gridCol w:w="1420"/>
        <w:gridCol w:w="1420"/>
        <w:gridCol w:w="1410"/>
        <w:gridCol w:w="900"/>
        <w:gridCol w:w="1240"/>
        <w:gridCol w:w="1140"/>
        <w:gridCol w:w="1020"/>
        <w:gridCol w:w="880"/>
        <w:gridCol w:w="1430"/>
      </w:tblGrid>
      <w:tr>
        <w:tblPrEx>
          <w:tblCellMar>
            <w:top w:w="0" w:type="dxa"/>
            <w:left w:w="108" w:type="dxa"/>
            <w:bottom w:w="0" w:type="dxa"/>
            <w:right w:w="108" w:type="dxa"/>
          </w:tblCellMar>
        </w:tblPrEx>
        <w:trPr>
          <w:trHeight w:val="540" w:hRule="atLeast"/>
        </w:trPr>
        <w:tc>
          <w:tcPr>
            <w:tcW w:w="14280" w:type="dxa"/>
            <w:gridSpan w:val="12"/>
            <w:tcBorders>
              <w:top w:val="nil"/>
              <w:left w:val="nil"/>
              <w:bottom w:val="nil"/>
              <w:right w:val="nil"/>
            </w:tcBorders>
            <w:shd w:val="clear" w:color="auto" w:fill="auto"/>
            <w:noWrap/>
            <w:vAlign w:val="bottom"/>
          </w:tcPr>
          <w:p>
            <w:pPr>
              <w:widowControl/>
              <w:jc w:val="center"/>
              <w:rPr>
                <w:rFonts w:ascii="宋体" w:hAnsi="宋体" w:cs="Arial"/>
                <w:color w:val="000000"/>
                <w:kern w:val="0"/>
                <w:sz w:val="44"/>
                <w:szCs w:val="44"/>
              </w:rPr>
            </w:pPr>
            <w:r>
              <w:rPr>
                <w:rFonts w:hint="eastAsia" w:ascii="宋体" w:hAnsi="宋体" w:cs="Arial"/>
                <w:color w:val="000000"/>
                <w:kern w:val="0"/>
                <w:sz w:val="44"/>
                <w:szCs w:val="44"/>
              </w:rPr>
              <w:t>一般公共预算财政拨款“三公”经费支出决算表</w:t>
            </w:r>
          </w:p>
        </w:tc>
      </w:tr>
      <w:tr>
        <w:tblPrEx>
          <w:tblCellMar>
            <w:top w:w="0" w:type="dxa"/>
            <w:left w:w="108" w:type="dxa"/>
            <w:bottom w:w="0" w:type="dxa"/>
            <w:right w:w="108" w:type="dxa"/>
          </w:tblCellMar>
        </w:tblPrEx>
        <w:trPr>
          <w:trHeight w:val="255" w:hRule="atLeast"/>
        </w:trPr>
        <w:tc>
          <w:tcPr>
            <w:tcW w:w="9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6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公开07表</w:t>
            </w:r>
          </w:p>
        </w:tc>
      </w:tr>
      <w:tr>
        <w:tblPrEx>
          <w:tblCellMar>
            <w:top w:w="0" w:type="dxa"/>
            <w:left w:w="108" w:type="dxa"/>
            <w:bottom w:w="0" w:type="dxa"/>
            <w:right w:w="108" w:type="dxa"/>
          </w:tblCellMar>
        </w:tblPrEx>
        <w:trPr>
          <w:trHeight w:val="255" w:hRule="atLeast"/>
        </w:trPr>
        <w:tc>
          <w:tcPr>
            <w:tcW w:w="4840"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14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1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90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14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02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88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7670" w:type="dxa"/>
            <w:gridSpan w:val="6"/>
            <w:tcBorders>
              <w:top w:val="single" w:color="000000" w:sz="4" w:space="0"/>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预算数</w:t>
            </w:r>
          </w:p>
        </w:tc>
        <w:tc>
          <w:tcPr>
            <w:tcW w:w="6610" w:type="dxa"/>
            <w:gridSpan w:val="6"/>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决算数</w:t>
            </w:r>
          </w:p>
        </w:tc>
      </w:tr>
      <w:tr>
        <w:tblPrEx>
          <w:tblCellMar>
            <w:top w:w="0" w:type="dxa"/>
            <w:left w:w="108" w:type="dxa"/>
            <w:bottom w:w="0" w:type="dxa"/>
            <w:right w:w="108" w:type="dxa"/>
          </w:tblCellMar>
        </w:tblPrEx>
        <w:trPr>
          <w:trHeight w:val="308" w:hRule="atLeast"/>
        </w:trPr>
        <w:tc>
          <w:tcPr>
            <w:tcW w:w="960" w:type="dxa"/>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6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404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41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c>
          <w:tcPr>
            <w:tcW w:w="90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24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因公出国（境）费</w:t>
            </w:r>
          </w:p>
        </w:tc>
        <w:tc>
          <w:tcPr>
            <w:tcW w:w="3040" w:type="dxa"/>
            <w:gridSpan w:val="3"/>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公务用车购置及运行费</w:t>
            </w:r>
          </w:p>
        </w:tc>
        <w:tc>
          <w:tcPr>
            <w:tcW w:w="1430"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公务接待费</w:t>
            </w:r>
          </w:p>
        </w:tc>
      </w:tr>
      <w:tr>
        <w:tblPrEx>
          <w:tblCellMar>
            <w:top w:w="0" w:type="dxa"/>
            <w:left w:w="108" w:type="dxa"/>
            <w:bottom w:w="0" w:type="dxa"/>
            <w:right w:w="108" w:type="dxa"/>
          </w:tblCellMar>
        </w:tblPrEx>
        <w:trPr>
          <w:trHeight w:val="615" w:hRule="atLeast"/>
        </w:trPr>
        <w:tc>
          <w:tcPr>
            <w:tcW w:w="960" w:type="dxa"/>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6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4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14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41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90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24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1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公务用车购置费</w:t>
            </w:r>
          </w:p>
        </w:tc>
        <w:tc>
          <w:tcPr>
            <w:tcW w:w="8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公务用车运行费</w:t>
            </w:r>
          </w:p>
        </w:tc>
        <w:tc>
          <w:tcPr>
            <w:tcW w:w="1430"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960" w:type="dxa"/>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26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2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4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4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141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c>
          <w:tcPr>
            <w:tcW w:w="90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7</w:t>
            </w:r>
          </w:p>
        </w:tc>
        <w:tc>
          <w:tcPr>
            <w:tcW w:w="12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8</w:t>
            </w:r>
          </w:p>
        </w:tc>
        <w:tc>
          <w:tcPr>
            <w:tcW w:w="114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9</w:t>
            </w:r>
          </w:p>
        </w:tc>
        <w:tc>
          <w:tcPr>
            <w:tcW w:w="102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10</w:t>
            </w:r>
          </w:p>
        </w:tc>
        <w:tc>
          <w:tcPr>
            <w:tcW w:w="88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11</w:t>
            </w:r>
          </w:p>
        </w:tc>
        <w:tc>
          <w:tcPr>
            <w:tcW w:w="1430" w:type="dxa"/>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12</w:t>
            </w:r>
          </w:p>
        </w:tc>
      </w:tr>
      <w:tr>
        <w:tblPrEx>
          <w:tblCellMar>
            <w:top w:w="0" w:type="dxa"/>
            <w:left w:w="108" w:type="dxa"/>
            <w:bottom w:w="0" w:type="dxa"/>
            <w:right w:w="108" w:type="dxa"/>
          </w:tblCellMar>
        </w:tblPrEx>
        <w:trPr>
          <w:trHeight w:val="308" w:hRule="atLeast"/>
        </w:trPr>
        <w:tc>
          <w:tcPr>
            <w:tcW w:w="960" w:type="dxa"/>
            <w:tcBorders>
              <w:top w:val="nil"/>
              <w:left w:val="single" w:color="000000" w:sz="4" w:space="0"/>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8.60</w:t>
            </w:r>
          </w:p>
        </w:tc>
        <w:tc>
          <w:tcPr>
            <w:tcW w:w="126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2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4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7.20</w:t>
            </w:r>
          </w:p>
        </w:tc>
        <w:tc>
          <w:tcPr>
            <w:tcW w:w="141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1.40</w:t>
            </w:r>
          </w:p>
        </w:tc>
        <w:tc>
          <w:tcPr>
            <w:tcW w:w="90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8.59</w:t>
            </w:r>
          </w:p>
        </w:tc>
        <w:tc>
          <w:tcPr>
            <w:tcW w:w="12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114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7.20</w:t>
            </w:r>
          </w:p>
        </w:tc>
        <w:tc>
          <w:tcPr>
            <w:tcW w:w="102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0.00</w:t>
            </w:r>
          </w:p>
        </w:tc>
        <w:tc>
          <w:tcPr>
            <w:tcW w:w="88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7.20</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1.39</w:t>
            </w:r>
          </w:p>
        </w:tc>
      </w:tr>
      <w:tr>
        <w:tblPrEx>
          <w:tblCellMar>
            <w:top w:w="0" w:type="dxa"/>
            <w:left w:w="108" w:type="dxa"/>
            <w:bottom w:w="0" w:type="dxa"/>
            <w:right w:w="108" w:type="dxa"/>
          </w:tblCellMar>
        </w:tblPrEx>
        <w:trPr>
          <w:trHeight w:val="615" w:hRule="atLeast"/>
        </w:trPr>
        <w:tc>
          <w:tcPr>
            <w:tcW w:w="14280" w:type="dxa"/>
            <w:gridSpan w:val="12"/>
            <w:tcBorders>
              <w:top w:val="nil"/>
              <w:left w:val="nil"/>
              <w:bottom w:val="nil"/>
              <w:right w:val="nil"/>
            </w:tcBorders>
            <w:shd w:val="clear" w:color="auto" w:fill="auto"/>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注：本表反映部门本年度“三公”经费支出预决算情况。其中，预算数为“三公”经费年初预算数；决算数是包括当年一般公共预算财政拨款和以前年度结转资金安排的实际支出。</w:t>
            </w:r>
          </w:p>
        </w:tc>
      </w:tr>
    </w:tbl>
    <w:p>
      <w:pPr>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ascii="仿宋_GB2312" w:hAnsi="仿宋_GB2312" w:eastAsia="仿宋_GB2312" w:cs="仿宋_GB2312"/>
          <w:sz w:val="32"/>
          <w:szCs w:val="32"/>
        </w:rPr>
      </w:pPr>
    </w:p>
    <w:tbl>
      <w:tblPr>
        <w:tblStyle w:val="6"/>
        <w:tblW w:w="14529" w:type="dxa"/>
        <w:tblInd w:w="93" w:type="dxa"/>
        <w:tblLayout w:type="autofit"/>
        <w:tblCellMar>
          <w:top w:w="0" w:type="dxa"/>
          <w:left w:w="108" w:type="dxa"/>
          <w:bottom w:w="0" w:type="dxa"/>
          <w:right w:w="108" w:type="dxa"/>
        </w:tblCellMar>
      </w:tblPr>
      <w:tblGrid>
        <w:gridCol w:w="222"/>
        <w:gridCol w:w="222"/>
        <w:gridCol w:w="222"/>
        <w:gridCol w:w="3245"/>
        <w:gridCol w:w="1898"/>
        <w:gridCol w:w="1430"/>
        <w:gridCol w:w="1411"/>
        <w:gridCol w:w="1567"/>
        <w:gridCol w:w="1567"/>
        <w:gridCol w:w="3026"/>
      </w:tblGrid>
      <w:tr>
        <w:tblPrEx>
          <w:tblCellMar>
            <w:top w:w="0" w:type="dxa"/>
            <w:left w:w="108" w:type="dxa"/>
            <w:bottom w:w="0" w:type="dxa"/>
            <w:right w:w="108" w:type="dxa"/>
          </w:tblCellMar>
        </w:tblPrEx>
        <w:trPr>
          <w:trHeight w:val="390" w:hRule="atLeast"/>
        </w:trPr>
        <w:tc>
          <w:tcPr>
            <w:tcW w:w="14529" w:type="dxa"/>
            <w:gridSpan w:val="10"/>
            <w:tcBorders>
              <w:top w:val="nil"/>
              <w:left w:val="nil"/>
              <w:bottom w:val="nil"/>
              <w:right w:val="nil"/>
            </w:tcBorders>
            <w:shd w:val="clear" w:color="auto" w:fill="auto"/>
            <w:noWrap/>
            <w:vAlign w:val="bottom"/>
          </w:tcPr>
          <w:p>
            <w:pPr>
              <w:widowControl/>
              <w:jc w:val="center"/>
              <w:rPr>
                <w:rFonts w:ascii="宋体" w:hAnsi="宋体" w:cs="Arial"/>
                <w:color w:val="000000"/>
                <w:kern w:val="0"/>
                <w:sz w:val="30"/>
                <w:szCs w:val="30"/>
              </w:rPr>
            </w:pPr>
            <w:r>
              <w:rPr>
                <w:rFonts w:hint="eastAsia" w:ascii="宋体" w:hAnsi="宋体" w:cs="Arial"/>
                <w:color w:val="000000"/>
                <w:kern w:val="0"/>
                <w:sz w:val="30"/>
                <w:szCs w:val="30"/>
              </w:rPr>
              <w:t>政府性基金预算财政拨款收入支出决算表</w:t>
            </w:r>
          </w:p>
        </w:tc>
      </w:tr>
      <w:tr>
        <w:tblPrEx>
          <w:tblCellMar>
            <w:top w:w="0" w:type="dxa"/>
            <w:left w:w="108" w:type="dxa"/>
            <w:bottom w:w="0" w:type="dxa"/>
            <w:right w:w="108" w:type="dxa"/>
          </w:tblCellMar>
        </w:tblPrEx>
        <w:trPr>
          <w:trHeight w:val="255" w:hRule="atLeast"/>
        </w:trPr>
        <w:tc>
          <w:tcPr>
            <w:tcW w:w="129"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2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245"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89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2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公开08表</w:t>
            </w:r>
          </w:p>
        </w:tc>
      </w:tr>
      <w:tr>
        <w:tblPrEx>
          <w:tblCellMar>
            <w:top w:w="0" w:type="dxa"/>
            <w:left w:w="108" w:type="dxa"/>
            <w:bottom w:w="0" w:type="dxa"/>
            <w:right w:w="108" w:type="dxa"/>
          </w:tblCellMar>
        </w:tblPrEx>
        <w:trPr>
          <w:trHeight w:val="255" w:hRule="atLeast"/>
        </w:trPr>
        <w:tc>
          <w:tcPr>
            <w:tcW w:w="3630" w:type="dxa"/>
            <w:gridSpan w:val="4"/>
            <w:tcBorders>
              <w:top w:val="nil"/>
              <w:left w:val="nil"/>
              <w:bottom w:val="nil"/>
              <w:right w:val="nil"/>
            </w:tcBorders>
            <w:shd w:val="clear" w:color="auto" w:fill="auto"/>
            <w:noWrap/>
            <w:vAlign w:val="bottom"/>
          </w:tcPr>
          <w:p>
            <w:pPr>
              <w:widowControl/>
              <w:jc w:val="left"/>
              <w:rPr>
                <w:rFonts w:ascii="宋体" w:hAnsi="宋体" w:cs="Arial"/>
                <w:color w:val="000000"/>
                <w:kern w:val="0"/>
                <w:sz w:val="20"/>
                <w:szCs w:val="20"/>
              </w:rPr>
            </w:pPr>
            <w:r>
              <w:rPr>
                <w:rFonts w:hint="eastAsia" w:ascii="宋体" w:hAnsi="宋体" w:cs="Arial"/>
                <w:color w:val="000000"/>
                <w:kern w:val="0"/>
                <w:sz w:val="20"/>
                <w:szCs w:val="20"/>
              </w:rPr>
              <w:t>部门：栾川县旅游产业集聚区管理委员会</w:t>
            </w:r>
          </w:p>
        </w:tc>
        <w:tc>
          <w:tcPr>
            <w:tcW w:w="1898"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30"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411"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1567" w:type="dxa"/>
            <w:tcBorders>
              <w:top w:val="nil"/>
              <w:left w:val="nil"/>
              <w:bottom w:val="nil"/>
              <w:right w:val="nil"/>
            </w:tcBorders>
            <w:shd w:val="clear" w:color="auto" w:fill="auto"/>
            <w:noWrap/>
            <w:vAlign w:val="bottom"/>
          </w:tcPr>
          <w:p>
            <w:pPr>
              <w:widowControl/>
              <w:jc w:val="left"/>
              <w:rPr>
                <w:rFonts w:ascii="Arial" w:hAnsi="Arial" w:cs="Arial"/>
                <w:color w:val="000000"/>
                <w:kern w:val="0"/>
                <w:sz w:val="20"/>
                <w:szCs w:val="20"/>
              </w:rPr>
            </w:pPr>
          </w:p>
        </w:tc>
        <w:tc>
          <w:tcPr>
            <w:tcW w:w="3026" w:type="dxa"/>
            <w:tcBorders>
              <w:top w:val="nil"/>
              <w:left w:val="nil"/>
              <w:bottom w:val="nil"/>
              <w:right w:val="nil"/>
            </w:tcBorders>
            <w:shd w:val="clear" w:color="auto" w:fill="auto"/>
            <w:noWrap/>
            <w:vAlign w:val="bottom"/>
          </w:tcPr>
          <w:p>
            <w:pPr>
              <w:widowControl/>
              <w:jc w:val="right"/>
              <w:rPr>
                <w:rFonts w:ascii="宋体" w:hAnsi="宋体" w:cs="Arial"/>
                <w:color w:val="000000"/>
                <w:kern w:val="0"/>
                <w:sz w:val="20"/>
                <w:szCs w:val="20"/>
              </w:rPr>
            </w:pPr>
            <w:r>
              <w:rPr>
                <w:rFonts w:hint="eastAsia" w:ascii="宋体" w:hAnsi="宋体" w:cs="Arial"/>
                <w:color w:val="000000"/>
                <w:kern w:val="0"/>
                <w:sz w:val="20"/>
                <w:szCs w:val="20"/>
              </w:rPr>
              <w:t>金额单位：万元</w:t>
            </w:r>
          </w:p>
        </w:tc>
      </w:tr>
      <w:tr>
        <w:tblPrEx>
          <w:tblCellMar>
            <w:top w:w="0" w:type="dxa"/>
            <w:left w:w="108" w:type="dxa"/>
            <w:bottom w:w="0" w:type="dxa"/>
            <w:right w:w="108" w:type="dxa"/>
          </w:tblCellMar>
        </w:tblPrEx>
        <w:trPr>
          <w:trHeight w:val="308" w:hRule="atLeast"/>
        </w:trPr>
        <w:tc>
          <w:tcPr>
            <w:tcW w:w="3630"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w:t>
            </w:r>
          </w:p>
        </w:tc>
        <w:tc>
          <w:tcPr>
            <w:tcW w:w="1898"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年初结转和结余</w:t>
            </w:r>
          </w:p>
        </w:tc>
        <w:tc>
          <w:tcPr>
            <w:tcW w:w="1430"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本年收入</w:t>
            </w:r>
          </w:p>
        </w:tc>
        <w:tc>
          <w:tcPr>
            <w:tcW w:w="4545" w:type="dxa"/>
            <w:gridSpan w:val="3"/>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本年支出</w:t>
            </w:r>
          </w:p>
        </w:tc>
        <w:tc>
          <w:tcPr>
            <w:tcW w:w="3026" w:type="dxa"/>
            <w:vMerge w:val="restart"/>
            <w:tcBorders>
              <w:top w:val="single" w:color="000000" w:sz="4" w:space="0"/>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年末结转和结余</w:t>
            </w:r>
          </w:p>
        </w:tc>
      </w:tr>
      <w:tr>
        <w:tblPrEx>
          <w:tblCellMar>
            <w:top w:w="0" w:type="dxa"/>
            <w:left w:w="108" w:type="dxa"/>
            <w:bottom w:w="0" w:type="dxa"/>
            <w:right w:w="108" w:type="dxa"/>
          </w:tblCellMar>
        </w:tblPrEx>
        <w:trPr>
          <w:trHeight w:val="312" w:hRule="atLeast"/>
        </w:trPr>
        <w:tc>
          <w:tcPr>
            <w:tcW w:w="385"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功能分类科目编码</w:t>
            </w:r>
          </w:p>
        </w:tc>
        <w:tc>
          <w:tcPr>
            <w:tcW w:w="3245" w:type="dxa"/>
            <w:vMerge w:val="restart"/>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科目名称</w:t>
            </w:r>
          </w:p>
        </w:tc>
        <w:tc>
          <w:tcPr>
            <w:tcW w:w="189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3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1"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小计</w:t>
            </w:r>
          </w:p>
        </w:tc>
        <w:tc>
          <w:tcPr>
            <w:tcW w:w="156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基本支出</w:t>
            </w:r>
          </w:p>
        </w:tc>
        <w:tc>
          <w:tcPr>
            <w:tcW w:w="1567" w:type="dxa"/>
            <w:vMerge w:val="restart"/>
            <w:tcBorders>
              <w:top w:val="nil"/>
              <w:left w:val="nil"/>
              <w:bottom w:val="single" w:color="000000" w:sz="4" w:space="0"/>
              <w:right w:val="single" w:color="000000" w:sz="4" w:space="0"/>
            </w:tcBorders>
            <w:shd w:val="clear" w:color="FFFFFF" w:fill="C0C0C0"/>
            <w:vAlign w:val="center"/>
          </w:tcPr>
          <w:p>
            <w:pPr>
              <w:widowControl/>
              <w:jc w:val="center"/>
              <w:rPr>
                <w:rFonts w:ascii="宋体" w:hAnsi="宋体" w:cs="Arial"/>
                <w:color w:val="000000"/>
                <w:kern w:val="0"/>
                <w:sz w:val="22"/>
              </w:rPr>
            </w:pPr>
            <w:r>
              <w:rPr>
                <w:rFonts w:hint="eastAsia" w:ascii="宋体" w:hAnsi="宋体" w:cs="Arial"/>
                <w:color w:val="000000"/>
                <w:kern w:val="0"/>
                <w:sz w:val="22"/>
              </w:rPr>
              <w:t>项目支出</w:t>
            </w:r>
          </w:p>
        </w:tc>
        <w:tc>
          <w:tcPr>
            <w:tcW w:w="302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8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2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9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3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2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12" w:hRule="atLeast"/>
        </w:trPr>
        <w:tc>
          <w:tcPr>
            <w:tcW w:w="385" w:type="dxa"/>
            <w:gridSpan w:val="3"/>
            <w:vMerge w:val="continue"/>
            <w:tcBorders>
              <w:top w:val="nil"/>
              <w:left w:val="single" w:color="000000" w:sz="4" w:space="0"/>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245"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898"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30"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411"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1567" w:type="dxa"/>
            <w:vMerge w:val="continue"/>
            <w:tcBorders>
              <w:top w:val="nil"/>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c>
          <w:tcPr>
            <w:tcW w:w="3026" w:type="dxa"/>
            <w:vMerge w:val="continue"/>
            <w:tcBorders>
              <w:top w:val="single" w:color="000000" w:sz="4" w:space="0"/>
              <w:left w:val="nil"/>
              <w:bottom w:val="single" w:color="000000" w:sz="4" w:space="0"/>
              <w:right w:val="single" w:color="000000" w:sz="4" w:space="0"/>
            </w:tcBorders>
            <w:vAlign w:val="center"/>
          </w:tcPr>
          <w:p>
            <w:pPr>
              <w:widowControl/>
              <w:jc w:val="left"/>
              <w:rPr>
                <w:rFonts w:ascii="宋体" w:hAnsi="宋体" w:cs="Arial"/>
                <w:color w:val="000000"/>
                <w:kern w:val="0"/>
                <w:sz w:val="22"/>
              </w:rPr>
            </w:pPr>
          </w:p>
        </w:tc>
      </w:tr>
      <w:tr>
        <w:tblPrEx>
          <w:tblCellMar>
            <w:top w:w="0" w:type="dxa"/>
            <w:left w:w="108" w:type="dxa"/>
            <w:bottom w:w="0" w:type="dxa"/>
            <w:right w:w="108" w:type="dxa"/>
          </w:tblCellMar>
        </w:tblPrEx>
        <w:trPr>
          <w:trHeight w:val="308" w:hRule="atLeast"/>
        </w:trPr>
        <w:tc>
          <w:tcPr>
            <w:tcW w:w="363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栏次</w:t>
            </w:r>
          </w:p>
        </w:tc>
        <w:tc>
          <w:tcPr>
            <w:tcW w:w="1898"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1</w:t>
            </w:r>
          </w:p>
        </w:tc>
        <w:tc>
          <w:tcPr>
            <w:tcW w:w="1430"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2</w:t>
            </w:r>
          </w:p>
        </w:tc>
        <w:tc>
          <w:tcPr>
            <w:tcW w:w="1411"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3</w:t>
            </w:r>
          </w:p>
        </w:tc>
        <w:tc>
          <w:tcPr>
            <w:tcW w:w="156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4</w:t>
            </w:r>
          </w:p>
        </w:tc>
        <w:tc>
          <w:tcPr>
            <w:tcW w:w="1567"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5</w:t>
            </w:r>
          </w:p>
        </w:tc>
        <w:tc>
          <w:tcPr>
            <w:tcW w:w="3026" w:type="dxa"/>
            <w:tcBorders>
              <w:top w:val="nil"/>
              <w:left w:val="nil"/>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6</w:t>
            </w:r>
          </w:p>
        </w:tc>
      </w:tr>
      <w:tr>
        <w:tblPrEx>
          <w:tblCellMar>
            <w:top w:w="0" w:type="dxa"/>
            <w:left w:w="108" w:type="dxa"/>
            <w:bottom w:w="0" w:type="dxa"/>
            <w:right w:w="108" w:type="dxa"/>
          </w:tblCellMar>
        </w:tblPrEx>
        <w:trPr>
          <w:trHeight w:val="308" w:hRule="atLeast"/>
        </w:trPr>
        <w:tc>
          <w:tcPr>
            <w:tcW w:w="3630" w:type="dxa"/>
            <w:gridSpan w:val="4"/>
            <w:tcBorders>
              <w:top w:val="nil"/>
              <w:left w:val="single" w:color="000000" w:sz="4" w:space="0"/>
              <w:bottom w:val="single" w:color="000000" w:sz="4" w:space="0"/>
              <w:right w:val="single" w:color="000000" w:sz="4" w:space="0"/>
            </w:tcBorders>
            <w:shd w:val="clear" w:color="FFFFFF" w:fill="C0C0C0"/>
            <w:noWrap/>
            <w:vAlign w:val="center"/>
          </w:tcPr>
          <w:p>
            <w:pPr>
              <w:widowControl/>
              <w:jc w:val="center"/>
              <w:rPr>
                <w:rFonts w:ascii="宋体" w:hAnsi="宋体" w:cs="Arial"/>
                <w:color w:val="000000"/>
                <w:kern w:val="0"/>
                <w:sz w:val="22"/>
              </w:rPr>
            </w:pPr>
            <w:r>
              <w:rPr>
                <w:rFonts w:hint="eastAsia" w:ascii="宋体" w:hAnsi="宋体" w:cs="Arial"/>
                <w:color w:val="000000"/>
                <w:kern w:val="0"/>
                <w:sz w:val="22"/>
              </w:rPr>
              <w:t>合计</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b/>
                <w:bCs/>
                <w:color w:val="000000"/>
                <w:kern w:val="0"/>
                <w:sz w:val="22"/>
              </w:rPr>
            </w:pPr>
            <w:r>
              <w:rPr>
                <w:rFonts w:hint="eastAsia" w:ascii="宋体" w:hAnsi="宋体" w:cs="Arial"/>
                <w:b/>
                <w:bCs/>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385" w:type="dxa"/>
            <w:gridSpan w:val="3"/>
            <w:tcBorders>
              <w:top w:val="nil"/>
              <w:left w:val="single" w:color="000000" w:sz="4" w:space="0"/>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3245" w:type="dxa"/>
            <w:tcBorders>
              <w:top w:val="nil"/>
              <w:left w:val="nil"/>
              <w:bottom w:val="single" w:color="000000" w:sz="4" w:space="0"/>
              <w:right w:val="single" w:color="000000" w:sz="4" w:space="0"/>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　</w:t>
            </w:r>
          </w:p>
        </w:tc>
        <w:tc>
          <w:tcPr>
            <w:tcW w:w="1898"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30"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411"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1567"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c>
          <w:tcPr>
            <w:tcW w:w="3026" w:type="dxa"/>
            <w:tcBorders>
              <w:top w:val="nil"/>
              <w:left w:val="nil"/>
              <w:bottom w:val="single" w:color="000000" w:sz="4" w:space="0"/>
              <w:right w:val="single" w:color="000000" w:sz="4" w:space="0"/>
            </w:tcBorders>
            <w:shd w:val="clear" w:color="auto" w:fill="auto"/>
            <w:noWrap/>
            <w:vAlign w:val="center"/>
          </w:tcPr>
          <w:p>
            <w:pPr>
              <w:widowControl/>
              <w:jc w:val="right"/>
              <w:rPr>
                <w:rFonts w:ascii="宋体" w:hAnsi="宋体" w:cs="Arial"/>
                <w:color w:val="000000"/>
                <w:kern w:val="0"/>
                <w:sz w:val="22"/>
              </w:rPr>
            </w:pPr>
            <w:r>
              <w:rPr>
                <w:rFonts w:hint="eastAsia" w:ascii="宋体" w:hAnsi="宋体" w:cs="Arial"/>
                <w:color w:val="000000"/>
                <w:kern w:val="0"/>
                <w:sz w:val="22"/>
              </w:rPr>
              <w:t>　</w:t>
            </w:r>
          </w:p>
        </w:tc>
      </w:tr>
      <w:tr>
        <w:tblPrEx>
          <w:tblCellMar>
            <w:top w:w="0" w:type="dxa"/>
            <w:left w:w="108" w:type="dxa"/>
            <w:bottom w:w="0" w:type="dxa"/>
            <w:right w:w="108" w:type="dxa"/>
          </w:tblCellMar>
        </w:tblPrEx>
        <w:trPr>
          <w:trHeight w:val="308" w:hRule="atLeast"/>
        </w:trPr>
        <w:tc>
          <w:tcPr>
            <w:tcW w:w="14529" w:type="dxa"/>
            <w:gridSpan w:val="10"/>
            <w:tcBorders>
              <w:top w:val="nil"/>
              <w:left w:val="nil"/>
              <w:bottom w:val="nil"/>
              <w:right w:val="nil"/>
            </w:tcBorders>
            <w:shd w:val="clear" w:color="auto" w:fill="auto"/>
            <w:noWrap/>
            <w:vAlign w:val="center"/>
          </w:tcPr>
          <w:p>
            <w:pPr>
              <w:widowControl/>
              <w:jc w:val="left"/>
              <w:rPr>
                <w:rFonts w:ascii="宋体" w:hAnsi="宋体" w:cs="Arial"/>
                <w:color w:val="000000"/>
                <w:kern w:val="0"/>
                <w:sz w:val="22"/>
              </w:rPr>
            </w:pPr>
            <w:r>
              <w:rPr>
                <w:rFonts w:hint="eastAsia" w:ascii="宋体" w:hAnsi="宋体" w:cs="Arial"/>
                <w:color w:val="000000"/>
                <w:kern w:val="0"/>
                <w:sz w:val="22"/>
              </w:rPr>
              <w:t>注：本表反映部门本年度政府性基金预算财政拨款收入、支出及结转和结余情况。</w:t>
            </w:r>
          </w:p>
        </w:tc>
      </w:tr>
    </w:tbl>
    <w:p>
      <w:pPr>
        <w:rPr>
          <w:rFonts w:ascii="仿宋_GB2312" w:hAnsi="仿宋_GB2312" w:eastAsia="仿宋_GB2312" w:cs="仿宋_GB2312"/>
          <w:sz w:val="32"/>
          <w:szCs w:val="32"/>
        </w:rPr>
        <w:sectPr>
          <w:pgSz w:w="16838" w:h="11906" w:orient="landscape"/>
          <w:pgMar w:top="1800" w:right="1440" w:bottom="1800" w:left="1440" w:header="720" w:footer="720" w:gutter="0"/>
          <w:pgNumType w:fmt="numberInDash"/>
          <w:cols w:space="720" w:num="1"/>
          <w:docGrid w:type="lines" w:linePitch="312" w:charSpace="0"/>
        </w:sectPr>
      </w:pPr>
    </w:p>
    <w:p>
      <w:pPr>
        <w:widowControl/>
        <w:spacing w:line="590" w:lineRule="exact"/>
        <w:jc w:val="left"/>
        <w:rPr>
          <w:rFonts w:ascii="仿宋_GB2312" w:hAnsi="仿宋_GB2312" w:eastAsia="仿宋_GB2312" w:cs="仿宋_GB2312"/>
          <w:sz w:val="32"/>
          <w:szCs w:val="32"/>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第三部分  2020年度部门决算情况说明</w:t>
      </w:r>
    </w:p>
    <w:p>
      <w:pPr>
        <w:widowControl/>
        <w:jc w:val="left"/>
        <w:rPr>
          <w:rFonts w:ascii="黑体" w:hAnsi="黑体" w:eastAsia="黑体" w:cs="黑体"/>
          <w:sz w:val="48"/>
          <w:szCs w:val="48"/>
        </w:rPr>
        <w:sectPr>
          <w:pgSz w:w="11906" w:h="16838"/>
          <w:pgMar w:top="1440" w:right="1800" w:bottom="1440" w:left="1800" w:header="720" w:footer="720" w:gutter="0"/>
          <w:pgNumType w:fmt="numberInDash"/>
          <w:cols w:space="720" w:num="1"/>
          <w:docGrid w:type="lines" w:linePitch="312" w:charSpace="0"/>
        </w:sectPr>
      </w:pP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一、收入支出决算总体情况说明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2020年度收、支总计均为465.49万元。与上年度相比，收、支总计减少684.61万元，减少59.5%。主要原因是项目经费压缩，无政府性基金预算财政拨款收入。</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二、收入决算情况说明</w:t>
      </w:r>
    </w:p>
    <w:p>
      <w:pPr>
        <w:widowControl/>
        <w:spacing w:line="59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2020年度收入合计355.49万元，其中：财政拨款收入355.49万元，占100.0%。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三、支出决算情况说明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eastAsia="仿宋_GB2312" w:cs="宋体"/>
          <w:kern w:val="0"/>
          <w:sz w:val="32"/>
          <w:szCs w:val="32"/>
          <w:lang w:val="zh-CN"/>
        </w:rPr>
        <w:t>2020年度支出合计355.49万元，其中：基本支出240.05万元，占67.5%；项目支出115.44万元，占32.5%。</w:t>
      </w:r>
      <w:r>
        <w:rPr>
          <w:rFonts w:ascii="仿宋_GB2312" w:hAnsi="仿宋_GB2312" w:eastAsia="仿宋_GB2312" w:cs="仿宋_GB2312"/>
          <w:sz w:val="32"/>
          <w:szCs w:val="32"/>
        </w:rPr>
        <w:t xml:space="preserve"> </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四、财政拨款收入支出决算总体情况说明</w:t>
      </w:r>
    </w:p>
    <w:p>
      <w:pPr>
        <w:widowControl/>
        <w:spacing w:line="590" w:lineRule="exact"/>
        <w:ind w:firstLine="640" w:firstLineChars="200"/>
        <w:rPr>
          <w:rFonts w:ascii="仿宋_GB2312" w:hAnsi="仿宋_GB2312" w:eastAsia="仿宋_GB2312" w:cs="仿宋_GB2312"/>
          <w:sz w:val="48"/>
          <w:szCs w:val="48"/>
        </w:rPr>
      </w:pPr>
      <w:r>
        <w:rPr>
          <w:rFonts w:hint="eastAsia" w:ascii="仿宋_GB2312" w:hAnsi="仿宋_GB2312" w:eastAsia="仿宋_GB2312" w:cs="仿宋_GB2312"/>
          <w:sz w:val="32"/>
          <w:szCs w:val="32"/>
        </w:rPr>
        <w:t>2020年度财政拨款收、支总计均为465.49万元。与上年度相比，财政拨款收、支总计各计减少684.61万元，减少59.5%。主要原因是项目经费压缩，无政府性基金预算财政拨款收入。</w:t>
      </w:r>
    </w:p>
    <w:p>
      <w:pPr>
        <w:widowControl/>
        <w:spacing w:line="590" w:lineRule="exact"/>
        <w:ind w:firstLine="640" w:firstLineChars="200"/>
        <w:rPr>
          <w:rFonts w:ascii="黑体" w:hAnsi="黑体" w:eastAsia="黑体" w:cs="黑体"/>
          <w:sz w:val="32"/>
          <w:szCs w:val="32"/>
        </w:rPr>
      </w:pPr>
      <w:r>
        <w:rPr>
          <w:rFonts w:hint="eastAsia" w:ascii="黑体" w:hAnsi="黑体" w:eastAsia="黑体" w:cs="黑体"/>
          <w:sz w:val="32"/>
          <w:szCs w:val="32"/>
        </w:rPr>
        <w:t>五、一般公共预算财政拨款支出决算情况说明</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（一）总体情况。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2020年度一般公共预算财政拨款支出355.49万元，占支出合计的76.3%。与上年度相比，一般公共预算财政拨款支出减少279.61万元，</w:t>
      </w:r>
      <w:r>
        <w:rPr>
          <w:rFonts w:hint="eastAsia" w:ascii="仿宋_GB2312" w:hAnsi="仿宋_GB2312" w:eastAsia="仿宋_GB2312" w:cs="仿宋_GB2312"/>
          <w:color w:val="000000" w:themeColor="text1"/>
          <w:sz w:val="32"/>
          <w:szCs w:val="32"/>
        </w:rPr>
        <w:t>下降44%。</w:t>
      </w:r>
      <w:r>
        <w:rPr>
          <w:rFonts w:hint="eastAsia" w:ascii="仿宋_GB2312" w:hAnsi="仿宋_GB2312" w:eastAsia="仿宋_GB2312" w:cs="仿宋_GB2312"/>
          <w:sz w:val="32"/>
          <w:szCs w:val="32"/>
        </w:rPr>
        <w:t>主要原因是无政府性基金预算财政拨款收入。</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（二）结构情况。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2020年度一般公共预算财政拨款支出355.49万元，主要用于以下方面：一般公共服务（类）支出355.49万元，占100.0%</w:t>
      </w:r>
    </w:p>
    <w:p>
      <w:pPr>
        <w:widowControl/>
        <w:spacing w:line="59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（三）具体情况。</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2020年度一般公共预算财政拨款支出年初预算为355.49万元，支出决算为355.49万元，完成年初预算的100%。其中：</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1．一般公共服务（类）政府办公厅及相关机构事务（款）行政运行（项）。</w:t>
      </w:r>
      <w:r>
        <w:rPr>
          <w:rFonts w:hint="eastAsia" w:ascii="仿宋_GB2312" w:hAnsi="仿宋_GB2312" w:eastAsia="仿宋_GB2312" w:cs="仿宋_GB2312"/>
          <w:sz w:val="32"/>
          <w:szCs w:val="32"/>
        </w:rPr>
        <w:t>年初预算为240.05万元，支出决算为240.05万元，完成年初预算的100%。</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2．一般公共服务（类）政府办公厅及相关机构事务（款）一般行政管理事务（项）。</w:t>
      </w:r>
      <w:r>
        <w:rPr>
          <w:rFonts w:hint="eastAsia" w:ascii="仿宋_GB2312" w:hAnsi="仿宋_GB2312" w:eastAsia="仿宋_GB2312" w:cs="仿宋_GB2312"/>
          <w:sz w:val="32"/>
          <w:szCs w:val="32"/>
        </w:rPr>
        <w:t>年初预算为115.44万元，支出决算为115.44万元，完成年初预算的100%。</w:t>
      </w:r>
    </w:p>
    <w:p>
      <w:pPr>
        <w:widowControl/>
        <w:spacing w:line="590" w:lineRule="exact"/>
        <w:ind w:firstLine="640" w:firstLineChars="200"/>
        <w:outlineLvl w:val="1"/>
        <w:rPr>
          <w:rFonts w:ascii="黑体" w:hAnsi="黑体" w:eastAsia="黑体" w:cs="黑体"/>
          <w:color w:val="000000" w:themeColor="text1"/>
          <w:sz w:val="32"/>
          <w:szCs w:val="32"/>
        </w:rPr>
      </w:pPr>
      <w:r>
        <w:rPr>
          <w:rFonts w:hint="eastAsia" w:ascii="黑体" w:hAnsi="黑体" w:eastAsia="黑体" w:cs="黑体"/>
          <w:color w:val="000000" w:themeColor="text1"/>
          <w:sz w:val="32"/>
          <w:szCs w:val="32"/>
        </w:rPr>
        <w:t>六、一般公共预算财政拨款基本支出决算情况说明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2020年度一般公共预算财政拨款基本支出</w:t>
      </w:r>
      <w:r>
        <w:rPr>
          <w:rFonts w:hint="eastAsia" w:ascii="仿宋_GB2312" w:hAnsi="仿宋_GB2312" w:eastAsia="仿宋_GB2312" w:cs="仿宋_GB2312"/>
          <w:color w:val="000000" w:themeColor="text1"/>
          <w:sz w:val="32"/>
          <w:szCs w:val="32"/>
        </w:rPr>
        <w:t>240.05</w:t>
      </w:r>
      <w:r>
        <w:rPr>
          <w:rFonts w:hint="eastAsia" w:ascii="仿宋_GB2312" w:hAnsi="仿宋_GB2312" w:eastAsia="仿宋_GB2312" w:cs="仿宋_GB2312"/>
          <w:sz w:val="32"/>
          <w:szCs w:val="32"/>
        </w:rPr>
        <w:t>万元。其中：人员经费235.96万元，主要包括：基本工资、津贴补贴、伙食补助费、绩效工资、机关事业单位基本养老保险缴费、职业年金缴费、其他社会保障缴费、其他工资福利支出、离休费、退休费、抚恤金、生活补助、医疗费、奖励金、住房公积金、采暖补贴、物业服务补贴、其他对个人和家庭的补助支出；公用经费4.10万元，主要包括：办公费、印刷费、咨询费、手续费、水费、电费、邮电费、取暖费、物业管理费、差旅费、因公出国（境）费用、维修（护）费、租赁费、会议费、培训费、公务接待费、专用材料费、劳务费、委托业务费、工会经费、福利费、公务用车运行维护费、其他交通费用、税金及附加费用、其他商品和服务支出、办公设备购置、专用设备购置、信息网络及软件购置更新、其他资本性支出。</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七、一般公共预算财政拨款“三公”经费支出决算情况说明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（一）“三公”经费财政拨款支出决算总体情况说明。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2020年度“三公”经费财政拨款支出预算为8.6万元，支出决算为8.59万元，完成预算的99.9%。2019年度“三公”经费支出决算数与预算数存在差异的主要原因是</w:t>
      </w:r>
      <w:r>
        <w:rPr>
          <w:rFonts w:hint="eastAsia" w:ascii="仿宋_GB2312" w:hAnsi="宋体" w:eastAsia="仿宋_GB2312"/>
          <w:sz w:val="32"/>
          <w:lang w:val="zh-CN"/>
        </w:rPr>
        <w:t>严控公务接待，</w:t>
      </w:r>
      <w:r>
        <w:rPr>
          <w:rFonts w:hint="eastAsia" w:ascii="仿宋_GB2312" w:hAnsi="宋体" w:eastAsia="仿宋_GB2312"/>
          <w:sz w:val="32"/>
        </w:rPr>
        <w:t>严控公车加油等，</w:t>
      </w:r>
      <w:r>
        <w:rPr>
          <w:rFonts w:hint="eastAsia" w:ascii="仿宋_GB2312" w:hAnsi="宋体" w:eastAsia="仿宋_GB2312"/>
          <w:sz w:val="32"/>
          <w:lang w:val="zh-CN"/>
        </w:rPr>
        <w:t>压缩开支</w:t>
      </w:r>
      <w:r>
        <w:rPr>
          <w:rFonts w:hint="eastAsia" w:ascii="仿宋_GB2312" w:hAnsi="仿宋_GB2312" w:eastAsia="仿宋_GB2312" w:cs="仿宋_GB2312"/>
          <w:sz w:val="32"/>
          <w:szCs w:val="32"/>
        </w:rPr>
        <w:t>。</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（二）“三公”经费财政拨款支出决算具体情况说明。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三公”经费财政拨款支出决算中，因公出国（境）费支出决算0万元，完成预算的0%，占0%；公务用车购置及运行费支出决算7.2万元，完成预算的100%，占100%；公务接待费支出决算1.39成预算的99.28%。具体情况如下：</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1．因公出国（境）费</w:t>
      </w:r>
      <w:r>
        <w:rPr>
          <w:rFonts w:hint="eastAsia" w:ascii="仿宋_GB2312" w:hAnsi="仿宋_GB2312" w:eastAsia="仿宋_GB2312" w:cs="仿宋_GB2312"/>
          <w:sz w:val="32"/>
          <w:szCs w:val="32"/>
        </w:rPr>
        <w:t xml:space="preserve">年初预算为0万元，支出决算为0万元。 </w:t>
      </w:r>
    </w:p>
    <w:p>
      <w:pPr>
        <w:widowControl/>
        <w:spacing w:line="590" w:lineRule="exact"/>
        <w:ind w:firstLine="643" w:firstLineChars="200"/>
        <w:rPr>
          <w:rFonts w:ascii="仿宋_GB2312" w:eastAsia="仿宋_GB2312" w:cs="宋体"/>
          <w:kern w:val="0"/>
          <w:sz w:val="32"/>
          <w:szCs w:val="32"/>
          <w:lang w:val="zh-CN"/>
        </w:rPr>
      </w:pPr>
      <w:r>
        <w:rPr>
          <w:rFonts w:hint="eastAsia" w:ascii="仿宋_GB2312" w:hAnsi="仿宋_GB2312" w:eastAsia="仿宋_GB2312" w:cs="仿宋_GB2312"/>
          <w:b/>
          <w:bCs/>
          <w:sz w:val="32"/>
          <w:szCs w:val="32"/>
        </w:rPr>
        <w:t>2．公务用车购置及运行费</w:t>
      </w:r>
      <w:r>
        <w:rPr>
          <w:rFonts w:hint="eastAsia" w:ascii="仿宋_GB2312" w:hAnsi="仿宋_GB2312" w:eastAsia="仿宋_GB2312" w:cs="仿宋_GB2312"/>
          <w:sz w:val="32"/>
          <w:szCs w:val="32"/>
        </w:rPr>
        <w:t>初预算为7.2万元，支出决算为7.2万元，完成年初预算的100%。决算数与年初预算数不存在差异。</w:t>
      </w:r>
      <w:r>
        <w:rPr>
          <w:rFonts w:hint="eastAsia" w:ascii="仿宋_GB2312" w:eastAsia="仿宋_GB2312"/>
          <w:spacing w:val="12"/>
          <w:sz w:val="32"/>
          <w:szCs w:val="32"/>
        </w:rPr>
        <w:t>我单位无自有公务用车，现使用的3辆公务用车均为县公车办统一调配。</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公务用车购置支出</w:t>
      </w:r>
      <w:r>
        <w:rPr>
          <w:rFonts w:hint="eastAsia" w:ascii="仿宋_GB2312" w:hAnsi="仿宋_GB2312" w:eastAsia="仿宋_GB2312" w:cs="仿宋_GB2312"/>
          <w:sz w:val="32"/>
          <w:szCs w:val="32"/>
        </w:rPr>
        <w:t>为0万元，购置车辆0台，其中0车辆、0车0辆。</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公务用车运行支出</w:t>
      </w:r>
      <w:r>
        <w:rPr>
          <w:rFonts w:hint="eastAsia" w:ascii="仿宋_GB2312" w:hAnsi="仿宋_GB2312" w:eastAsia="仿宋_GB2312" w:cs="仿宋_GB2312"/>
          <w:sz w:val="32"/>
          <w:szCs w:val="32"/>
        </w:rPr>
        <w:t>7.2万元。主要用于单位3辆公务用车加油、保险、维修、路桥费等。2020年期末，部门开支财政拨款的公务用车保有量为3量。</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3.公务接待费</w:t>
      </w:r>
      <w:r>
        <w:rPr>
          <w:rFonts w:hint="eastAsia" w:ascii="仿宋_GB2312" w:hAnsi="仿宋_GB2312" w:eastAsia="仿宋_GB2312" w:cs="仿宋_GB2312"/>
          <w:sz w:val="32"/>
          <w:szCs w:val="32"/>
        </w:rPr>
        <w:t>初预算为1.4万元，支出决算为1.39万元，完成年初预算的99.28%,预算数存在差异的主要原因是接待减少。</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外宾接待支出</w:t>
      </w:r>
      <w:r>
        <w:rPr>
          <w:rFonts w:hint="eastAsia" w:ascii="仿宋_GB2312" w:hAnsi="仿宋_GB2312" w:eastAsia="仿宋_GB2312" w:cs="仿宋_GB2312"/>
          <w:sz w:val="32"/>
          <w:szCs w:val="32"/>
        </w:rPr>
        <w:t>0万元。20</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rPr>
        <w:t>年共接待国（境）外来访团组0个、来访外宾0人次（不包括陪同人员）。</w:t>
      </w:r>
    </w:p>
    <w:p>
      <w:pPr>
        <w:widowControl/>
        <w:spacing w:line="590" w:lineRule="exact"/>
        <w:ind w:firstLine="643" w:firstLineChars="200"/>
        <w:rPr>
          <w:rFonts w:ascii="仿宋_GB2312" w:hAnsi="仿宋_GB2312" w:eastAsia="仿宋_GB2312" w:cs="仿宋_GB2312"/>
          <w:sz w:val="32"/>
          <w:szCs w:val="32"/>
        </w:rPr>
      </w:pPr>
      <w:r>
        <w:rPr>
          <w:rFonts w:hint="eastAsia" w:ascii="仿宋_GB2312" w:hAnsi="仿宋_GB2312" w:eastAsia="仿宋_GB2312" w:cs="仿宋_GB2312"/>
          <w:b/>
          <w:bCs/>
          <w:sz w:val="32"/>
          <w:szCs w:val="32"/>
        </w:rPr>
        <w:t>其他国内公务接待支出</w:t>
      </w:r>
      <w:r>
        <w:rPr>
          <w:rFonts w:hint="eastAsia" w:ascii="仿宋_GB2312" w:hAnsi="仿宋_GB2312" w:eastAsia="仿宋_GB2312" w:cs="仿宋_GB2312"/>
          <w:sz w:val="32"/>
          <w:szCs w:val="32"/>
        </w:rPr>
        <w:t>1.39万元。主要用于接待客商。2020年共接待国内来访团组28个、来宾220人次（不包括陪同人员）。</w:t>
      </w:r>
      <w:bookmarkStart w:id="0" w:name="_GoBack"/>
      <w:bookmarkEnd w:id="0"/>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八、预算绩效情况说明</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（一）绩效管理工作开展情况。</w:t>
      </w:r>
    </w:p>
    <w:p>
      <w:pPr>
        <w:pStyle w:val="5"/>
        <w:widowControl/>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以绩效目标实现为导向，进一步加强制度建设，提升自评质量，预算绩效管理取得新成效。</w:t>
      </w:r>
    </w:p>
    <w:p>
      <w:pPr>
        <w:pStyle w:val="5"/>
        <w:widowControl/>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1、抓好绩效目标编制，及时报送绩效目标。</w:t>
      </w:r>
    </w:p>
    <w:p>
      <w:pPr>
        <w:pStyle w:val="5"/>
        <w:widowControl/>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2、开展绩效跟踪监控，加强过程监控。</w:t>
      </w:r>
    </w:p>
    <w:p>
      <w:pPr>
        <w:pStyle w:val="5"/>
        <w:widowControl/>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3、深入开展财政预算支出绩效评价，对专项资金实施绩效自评和项目核查，在此基础上形成自评报告。</w:t>
      </w:r>
    </w:p>
    <w:p>
      <w:pPr>
        <w:pStyle w:val="5"/>
        <w:widowControl/>
        <w:spacing w:before="0" w:beforeAutospacing="0" w:after="0" w:afterAutospacing="0" w:line="450" w:lineRule="atLeast"/>
        <w:ind w:firstLine="640" w:firstLineChars="200"/>
        <w:rPr>
          <w:rFonts w:ascii="仿宋_GB2312" w:hAnsi="仿宋_GB2312" w:eastAsia="仿宋_GB2312" w:cs="仿宋_GB2312"/>
          <w:color w:val="333333"/>
          <w:sz w:val="32"/>
          <w:szCs w:val="32"/>
        </w:rPr>
      </w:pPr>
      <w:r>
        <w:rPr>
          <w:rFonts w:hint="eastAsia" w:ascii="仿宋_GB2312" w:hAnsi="仿宋_GB2312" w:eastAsia="仿宋_GB2312" w:cs="仿宋_GB2312"/>
          <w:color w:val="333333"/>
          <w:sz w:val="32"/>
          <w:szCs w:val="32"/>
        </w:rPr>
        <w:t>4、健全绩效管理工作机制，明确职责分工，努力提高绩效管理工作水平。</w:t>
      </w:r>
    </w:p>
    <w:p>
      <w:pPr>
        <w:widowControl/>
        <w:spacing w:line="590" w:lineRule="exact"/>
        <w:ind w:firstLine="643" w:firstLineChars="200"/>
        <w:outlineLvl w:val="2"/>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（二）项目绩效自评结果。</w:t>
      </w:r>
    </w:p>
    <w:p>
      <w:pPr>
        <w:widowControl/>
        <w:spacing w:line="590" w:lineRule="exact"/>
        <w:ind w:left="420" w:leftChars="200"/>
        <w:rPr>
          <w:rFonts w:ascii="楷体_GB2312" w:hAnsi="楷体_GB2312" w:eastAsia="楷体_GB2312" w:cs="楷体_GB2312"/>
          <w:sz w:val="32"/>
          <w:szCs w:val="32"/>
        </w:rPr>
      </w:pPr>
      <w:r>
        <w:rPr>
          <w:rFonts w:hint="eastAsia" w:ascii="楷体_GB2312" w:hAnsi="楷体_GB2312" w:eastAsia="楷体_GB2312" w:cs="楷体_GB2312"/>
          <w:sz w:val="32"/>
          <w:szCs w:val="32"/>
        </w:rPr>
        <w:t>在各级政府的正确领导下，圆满完成各项工作。</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九、政府性基金预算财政拨款支出决算情况说明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2020年度政府性基金预算财政拨款支出年初无预算。</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十、机关运行经费支出情况说明</w:t>
      </w:r>
    </w:p>
    <w:p>
      <w:pPr>
        <w:widowControl/>
        <w:spacing w:line="59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2020年度机关运行经费初预算为4.10万元，支出决算为4.10万元，完成年初预算的100%。</w:t>
      </w:r>
    </w:p>
    <w:p>
      <w:pPr>
        <w:widowControl/>
        <w:spacing w:line="590" w:lineRule="exact"/>
        <w:ind w:firstLine="640" w:firstLineChars="200"/>
        <w:outlineLvl w:val="1"/>
        <w:rPr>
          <w:rFonts w:ascii="黑体" w:hAnsi="黑体" w:eastAsia="黑体" w:cs="黑体"/>
          <w:kern w:val="0"/>
          <w:sz w:val="32"/>
          <w:szCs w:val="32"/>
        </w:rPr>
      </w:pPr>
      <w:r>
        <w:rPr>
          <w:rFonts w:hint="eastAsia" w:ascii="黑体" w:hAnsi="黑体" w:eastAsia="黑体" w:cs="黑体"/>
          <w:kern w:val="0"/>
          <w:sz w:val="32"/>
          <w:szCs w:val="32"/>
        </w:rPr>
        <w:t>十一、政府采购支出情况说明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kern w:val="0"/>
          <w:sz w:val="32"/>
          <w:szCs w:val="32"/>
        </w:rPr>
        <w:t>2020年度政府采购支出总额0万元，其中：政</w:t>
      </w:r>
      <w:r>
        <w:rPr>
          <w:rFonts w:hint="eastAsia" w:ascii="仿宋_GB2312" w:hAnsi="仿宋_GB2312" w:eastAsia="仿宋_GB2312" w:cs="仿宋_GB2312"/>
          <w:sz w:val="32"/>
          <w:szCs w:val="32"/>
        </w:rPr>
        <w:t>府采购货物支出0万元、政府采购工程支出0万元、政府采购服务支出0万元。授予中小企业合同金额0万元，占政府采购支出总额的0%，其中：授予小微企业合同金额0万元，占政府采购支出总额的0%。</w:t>
      </w:r>
    </w:p>
    <w:p>
      <w:pPr>
        <w:widowControl/>
        <w:spacing w:line="590" w:lineRule="exact"/>
        <w:ind w:firstLine="640" w:firstLineChars="200"/>
        <w:outlineLvl w:val="1"/>
        <w:rPr>
          <w:rFonts w:ascii="黑体" w:hAnsi="黑体" w:eastAsia="黑体" w:cs="黑体"/>
          <w:sz w:val="32"/>
          <w:szCs w:val="32"/>
        </w:rPr>
      </w:pPr>
      <w:r>
        <w:rPr>
          <w:rFonts w:hint="eastAsia" w:ascii="黑体" w:hAnsi="黑体" w:eastAsia="黑体" w:cs="黑体"/>
          <w:sz w:val="32"/>
          <w:szCs w:val="32"/>
        </w:rPr>
        <w:t>十二、国有资产占用情况说明</w:t>
      </w:r>
    </w:p>
    <w:p>
      <w:pPr>
        <w:widowControl/>
        <w:spacing w:line="59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年期末，我部门共有车辆0辆，其中：省级领导干部用车0辆、主要领导干部用车0辆、机要通信用车0辆、应急保障车0辆、执法执勤用车0辆、特种专业技术用车0辆、离退休干部用车0辆、其他用车0辆；单位价值50万元以上通用设备0台（套），单位价值100万元以上专用设备0台（套）。</w:t>
      </w:r>
    </w:p>
    <w:p>
      <w:pPr>
        <w:widowControl/>
        <w:jc w:val="left"/>
        <w:rPr>
          <w:rFonts w:ascii="楷体_GB2312" w:hAnsi="楷体_GB2312" w:eastAsia="楷体_GB2312" w:cs="楷体_GB2312"/>
          <w:sz w:val="32"/>
          <w:szCs w:val="32"/>
        </w:rPr>
        <w:sectPr>
          <w:pgSz w:w="11906" w:h="16838"/>
          <w:pgMar w:top="1440" w:right="1800" w:bottom="1440" w:left="1800" w:header="720" w:footer="720" w:gutter="0"/>
          <w:pgNumType w:fmt="numberInDash"/>
          <w:cols w:space="720" w:num="1"/>
          <w:docGrid w:type="lines" w:linePitch="312" w:charSpace="0"/>
        </w:sect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widowControl/>
        <w:jc w:val="left"/>
        <w:rPr>
          <w:rFonts w:ascii="黑体" w:hAnsi="宋体" w:eastAsia="黑体" w:cs="宋体"/>
          <w:kern w:val="0"/>
          <w:sz w:val="28"/>
          <w:szCs w:val="28"/>
        </w:rPr>
      </w:pPr>
    </w:p>
    <w:p>
      <w:pPr>
        <w:jc w:val="center"/>
        <w:outlineLvl w:val="0"/>
        <w:rPr>
          <w:rFonts w:ascii="黑体" w:hAnsi="黑体" w:eastAsia="黑体" w:cs="黑体"/>
          <w:sz w:val="48"/>
          <w:szCs w:val="48"/>
        </w:rPr>
      </w:pPr>
      <w:r>
        <w:rPr>
          <w:rFonts w:hint="eastAsia" w:ascii="黑体" w:hAnsi="黑体" w:eastAsia="黑体" w:cs="黑体"/>
          <w:sz w:val="48"/>
          <w:szCs w:val="48"/>
        </w:rPr>
        <w:t>第四部分  名词解释</w:t>
      </w:r>
    </w:p>
    <w:p>
      <w:pPr>
        <w:jc w:val="center"/>
        <w:rPr>
          <w:rFonts w:ascii="黑体" w:hAnsi="黑体" w:eastAsia="黑体" w:cs="黑体"/>
          <w:sz w:val="48"/>
          <w:szCs w:val="48"/>
        </w:rPr>
      </w:pPr>
    </w:p>
    <w:p>
      <w:pPr>
        <w:jc w:val="center"/>
        <w:outlineLvl w:val="0"/>
        <w:rPr>
          <w:rFonts w:ascii="黑体" w:hAnsi="黑体" w:eastAsia="黑体" w:cs="黑体"/>
          <w:sz w:val="48"/>
          <w:szCs w:val="48"/>
        </w:rPr>
        <w:sectPr>
          <w:pgSz w:w="11906" w:h="16838"/>
          <w:pgMar w:top="1440" w:right="1531" w:bottom="1440" w:left="1587" w:header="850" w:footer="992" w:gutter="0"/>
          <w:pgNumType w:fmt="numberInDash"/>
          <w:cols w:space="720" w:num="1"/>
          <w:docGrid w:type="lines" w:linePitch="317" w:charSpace="0"/>
        </w:sectPr>
      </w:pP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一、财政拨款收入：单位从同级政府财政部门取得的财政预算资金。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二、事业收入：事业单位开展专业业务活动及其辅助活动取得的收入。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三、上级补助收入：事业单位从主管部门和上级单位取得的非财政补助收入。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四、附属单位上缴收入：事业单位取得附属独立核算单位根据有关规定上缴的收入。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五、经营收入：事业单位在专业业务活动及其辅助活动之外开展非独立核算经营活动取得的收入。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六、其他收入：单位取得的除“财政拨款收入”、“事业收入”、“上级补助收入”、“附属单位上缴收入”、“经营收入”以外的各项收入。</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七、用事业基金弥补收支差额：事业单位在当年收入不足以安排当年支出的情况下，使用以前年度积累的事业基金（事业单位当年收支相抵后按国家规定提取、用于弥补以后年度收支差额的基金）弥补当年收支缺口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八、基本支出：为保障机构正常运转、完成日常工作任务而发生的人员支出和公用支出。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九、项目支出：基本支出之外为完成特定行政任务和事业发展目标所发生的支出。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公”经费：纳入同级财政预决算管理“三公”经费，指部门使用财政拨款安排的因公出国（境）费、公务用车购置及运行费和公务接待费。其中，因公出国（境）费反映单位公务出国（境）的国际旅费、国外城市间交通费、住宿费、伙食费、培训费、公杂费等支出；公务用车购置及运行费反映反映单位公务用车车辆购置支出（含车辆购置税）及租用费、燃料费、维修费、过路过桥费、保险费、安全奖励费用等支出；公务接待费反映单位按规定开支的各类公务接待（含外宾接待）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一、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十二、工资福利支出：单位支付给在职职工和编制外长期聘用人员的各类劳动报酬，以及为上述人员缴纳的各项社会保险费等。</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十三、商品和服务支出：单位购买商品和服务的支出。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十四、对个人和家庭的补助支出：单位用于对个人和家庭的补助支出。</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十五、年末结转：本年度或以前年度预算安排，已执行但尚未完成或因客观条件发生变化无法按原计划实施，需延迟到以后年度按有关规定继续使用的资金。</w:t>
      </w:r>
    </w:p>
    <w:p>
      <w:pPr>
        <w:widowControl/>
        <w:spacing w:line="59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十六、年末结余：本年度或以前年度预算安排，已执行完毕或因客观条件发生变化无法按原预算安排实施，不需要再使用或无法按原预算安排继续使用的资金。</w:t>
      </w:r>
    </w:p>
    <w:sectPr>
      <w:pgSz w:w="11906" w:h="16838"/>
      <w:pgMar w:top="1928" w:right="1474" w:bottom="1701"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8" o:spid="_x0000_s3078"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- 21 -</w:t>
                </w:r>
                <w:r>
                  <w:rPr>
                    <w:rFonts w:hint="eastAsia"/>
                    <w:sz w:val="18"/>
                  </w:rPr>
                  <w:fldChar w:fldCharType="end"/>
                </w:r>
              </w:p>
            </w:txbxContent>
          </v:textbox>
        </v:shape>
      </w:pict>
    </w:r>
    <w:r>
      <w:pict>
        <v:shape id="文本框 1027" o:spid="_x0000_s3075"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3079" o:spid="_x0000_s307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- 20 -</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71BE17"/>
    <w:multiLevelType w:val="singleLevel"/>
    <w:tmpl w:val="5971BE17"/>
    <w:lvl w:ilvl="0" w:tentative="0">
      <w:start w:val="1"/>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evenAndOddHeaders w:val="1"/>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
    </o:shapelayout>
  </w:hdrShapeDefaults>
  <w:compat>
    <w:spaceForUL/>
    <w:balanceSingleByteDoubleByteWidth/>
    <w:doNotLeaveBackslashAlone/>
    <w:doNotExpandShiftReturn/>
    <w:adjustLineHeightInTable/>
    <w:useFELayout/>
    <w:compatSetting w:name="compatibilityMode" w:uri="http://schemas.microsoft.com/office/word" w:val="12"/>
  </w:compat>
  <w:rsids>
    <w:rsidRoot w:val="000270E8"/>
    <w:rsid w:val="0001397D"/>
    <w:rsid w:val="000270E8"/>
    <w:rsid w:val="000338C6"/>
    <w:rsid w:val="000459FE"/>
    <w:rsid w:val="00057AFD"/>
    <w:rsid w:val="00076410"/>
    <w:rsid w:val="000C073B"/>
    <w:rsid w:val="001003F8"/>
    <w:rsid w:val="00106D10"/>
    <w:rsid w:val="00111193"/>
    <w:rsid w:val="00112AF6"/>
    <w:rsid w:val="001430BF"/>
    <w:rsid w:val="00144159"/>
    <w:rsid w:val="00164293"/>
    <w:rsid w:val="001718A8"/>
    <w:rsid w:val="00182842"/>
    <w:rsid w:val="001905F2"/>
    <w:rsid w:val="001B0E9F"/>
    <w:rsid w:val="001B3CC4"/>
    <w:rsid w:val="001D61B1"/>
    <w:rsid w:val="001E5115"/>
    <w:rsid w:val="001F5040"/>
    <w:rsid w:val="002006EB"/>
    <w:rsid w:val="00236D44"/>
    <w:rsid w:val="00260D70"/>
    <w:rsid w:val="00282C7F"/>
    <w:rsid w:val="00287811"/>
    <w:rsid w:val="00294711"/>
    <w:rsid w:val="002B3F94"/>
    <w:rsid w:val="002E6A86"/>
    <w:rsid w:val="003020A6"/>
    <w:rsid w:val="00304D04"/>
    <w:rsid w:val="00305B88"/>
    <w:rsid w:val="00315FEB"/>
    <w:rsid w:val="0037089F"/>
    <w:rsid w:val="00383CE7"/>
    <w:rsid w:val="003B4164"/>
    <w:rsid w:val="003E5ACA"/>
    <w:rsid w:val="0042585F"/>
    <w:rsid w:val="00431847"/>
    <w:rsid w:val="00445CAC"/>
    <w:rsid w:val="00472E19"/>
    <w:rsid w:val="00487869"/>
    <w:rsid w:val="004D5275"/>
    <w:rsid w:val="004E491E"/>
    <w:rsid w:val="00504FC0"/>
    <w:rsid w:val="00507364"/>
    <w:rsid w:val="005139EE"/>
    <w:rsid w:val="00513F3B"/>
    <w:rsid w:val="00546F7C"/>
    <w:rsid w:val="0055075E"/>
    <w:rsid w:val="005A0C2F"/>
    <w:rsid w:val="005A2A86"/>
    <w:rsid w:val="005B1AE2"/>
    <w:rsid w:val="005E7B52"/>
    <w:rsid w:val="006228C4"/>
    <w:rsid w:val="006247AE"/>
    <w:rsid w:val="006512DD"/>
    <w:rsid w:val="00656BEF"/>
    <w:rsid w:val="00656D75"/>
    <w:rsid w:val="00657E86"/>
    <w:rsid w:val="00664FB8"/>
    <w:rsid w:val="00673EF7"/>
    <w:rsid w:val="0069002D"/>
    <w:rsid w:val="00693C1A"/>
    <w:rsid w:val="0069449E"/>
    <w:rsid w:val="006B36E6"/>
    <w:rsid w:val="006B6181"/>
    <w:rsid w:val="006C07F0"/>
    <w:rsid w:val="006C644A"/>
    <w:rsid w:val="006C7D84"/>
    <w:rsid w:val="007148E8"/>
    <w:rsid w:val="00733DAA"/>
    <w:rsid w:val="00742BA0"/>
    <w:rsid w:val="00745DC6"/>
    <w:rsid w:val="00753545"/>
    <w:rsid w:val="00764156"/>
    <w:rsid w:val="007706D7"/>
    <w:rsid w:val="00782227"/>
    <w:rsid w:val="007879ED"/>
    <w:rsid w:val="007A48A3"/>
    <w:rsid w:val="007C029F"/>
    <w:rsid w:val="007C7F49"/>
    <w:rsid w:val="007D2A21"/>
    <w:rsid w:val="0080479E"/>
    <w:rsid w:val="00843461"/>
    <w:rsid w:val="0084355E"/>
    <w:rsid w:val="00872946"/>
    <w:rsid w:val="0088023A"/>
    <w:rsid w:val="008858FB"/>
    <w:rsid w:val="00894B23"/>
    <w:rsid w:val="00894B41"/>
    <w:rsid w:val="008B5427"/>
    <w:rsid w:val="008C57FC"/>
    <w:rsid w:val="00903F6B"/>
    <w:rsid w:val="009106A2"/>
    <w:rsid w:val="009173F9"/>
    <w:rsid w:val="00975A04"/>
    <w:rsid w:val="009A450D"/>
    <w:rsid w:val="009F546E"/>
    <w:rsid w:val="009F72C9"/>
    <w:rsid w:val="00A079F0"/>
    <w:rsid w:val="00A16182"/>
    <w:rsid w:val="00A55C98"/>
    <w:rsid w:val="00A57BF7"/>
    <w:rsid w:val="00A83D8A"/>
    <w:rsid w:val="00A920B2"/>
    <w:rsid w:val="00A924DA"/>
    <w:rsid w:val="00A93E7D"/>
    <w:rsid w:val="00AA260E"/>
    <w:rsid w:val="00AA3651"/>
    <w:rsid w:val="00AA44CB"/>
    <w:rsid w:val="00AA67CD"/>
    <w:rsid w:val="00AD6761"/>
    <w:rsid w:val="00AE600E"/>
    <w:rsid w:val="00B0083B"/>
    <w:rsid w:val="00B11407"/>
    <w:rsid w:val="00B2011D"/>
    <w:rsid w:val="00B209B8"/>
    <w:rsid w:val="00B22831"/>
    <w:rsid w:val="00B249F3"/>
    <w:rsid w:val="00B710DD"/>
    <w:rsid w:val="00B73432"/>
    <w:rsid w:val="00BC7FB3"/>
    <w:rsid w:val="00BE5A85"/>
    <w:rsid w:val="00BF3BD6"/>
    <w:rsid w:val="00BF5718"/>
    <w:rsid w:val="00C3106E"/>
    <w:rsid w:val="00C60609"/>
    <w:rsid w:val="00C8354C"/>
    <w:rsid w:val="00C84348"/>
    <w:rsid w:val="00C95CC1"/>
    <w:rsid w:val="00CA3F44"/>
    <w:rsid w:val="00CA46AA"/>
    <w:rsid w:val="00CD5394"/>
    <w:rsid w:val="00CE212D"/>
    <w:rsid w:val="00CE4B38"/>
    <w:rsid w:val="00CF4C0C"/>
    <w:rsid w:val="00D014A1"/>
    <w:rsid w:val="00D1095D"/>
    <w:rsid w:val="00D1321A"/>
    <w:rsid w:val="00D30ADF"/>
    <w:rsid w:val="00D47811"/>
    <w:rsid w:val="00D6315E"/>
    <w:rsid w:val="00D652C2"/>
    <w:rsid w:val="00D711B6"/>
    <w:rsid w:val="00D74EE2"/>
    <w:rsid w:val="00D83E19"/>
    <w:rsid w:val="00D92386"/>
    <w:rsid w:val="00DA00C9"/>
    <w:rsid w:val="00DB13CF"/>
    <w:rsid w:val="00DB200E"/>
    <w:rsid w:val="00DB65F5"/>
    <w:rsid w:val="00DF7341"/>
    <w:rsid w:val="00E01C3E"/>
    <w:rsid w:val="00E13099"/>
    <w:rsid w:val="00E4339F"/>
    <w:rsid w:val="00E629EA"/>
    <w:rsid w:val="00E6777C"/>
    <w:rsid w:val="00EB05A3"/>
    <w:rsid w:val="00ED38B7"/>
    <w:rsid w:val="00EE051D"/>
    <w:rsid w:val="00EE315B"/>
    <w:rsid w:val="00F0131A"/>
    <w:rsid w:val="00F14C17"/>
    <w:rsid w:val="00F17041"/>
    <w:rsid w:val="00F35DAB"/>
    <w:rsid w:val="00F44937"/>
    <w:rsid w:val="00F56012"/>
    <w:rsid w:val="00F61A47"/>
    <w:rsid w:val="00F70E21"/>
    <w:rsid w:val="00F84422"/>
    <w:rsid w:val="00F95455"/>
    <w:rsid w:val="00FA574D"/>
    <w:rsid w:val="00FB157E"/>
    <w:rsid w:val="00FD771C"/>
    <w:rsid w:val="00FE7AD9"/>
    <w:rsid w:val="01322275"/>
    <w:rsid w:val="01DC6F05"/>
    <w:rsid w:val="02A3489A"/>
    <w:rsid w:val="02CA138D"/>
    <w:rsid w:val="033646FC"/>
    <w:rsid w:val="03C75F80"/>
    <w:rsid w:val="0478364D"/>
    <w:rsid w:val="053D4C0D"/>
    <w:rsid w:val="0557532E"/>
    <w:rsid w:val="0799329C"/>
    <w:rsid w:val="086F16A7"/>
    <w:rsid w:val="0A0F7225"/>
    <w:rsid w:val="0A2B7D82"/>
    <w:rsid w:val="0ADC40E9"/>
    <w:rsid w:val="0AE607F4"/>
    <w:rsid w:val="0B451598"/>
    <w:rsid w:val="0BEC73F4"/>
    <w:rsid w:val="0C392698"/>
    <w:rsid w:val="10BD36F6"/>
    <w:rsid w:val="11BF0649"/>
    <w:rsid w:val="123E3E08"/>
    <w:rsid w:val="13183CE7"/>
    <w:rsid w:val="13D22E22"/>
    <w:rsid w:val="161C2DFF"/>
    <w:rsid w:val="16373578"/>
    <w:rsid w:val="16D3336B"/>
    <w:rsid w:val="17806C36"/>
    <w:rsid w:val="17A74F62"/>
    <w:rsid w:val="18A47774"/>
    <w:rsid w:val="1B2E6FD8"/>
    <w:rsid w:val="1B877D21"/>
    <w:rsid w:val="1C4319A9"/>
    <w:rsid w:val="1E443B4B"/>
    <w:rsid w:val="1E994F4A"/>
    <w:rsid w:val="1EAF0224"/>
    <w:rsid w:val="1F2230A4"/>
    <w:rsid w:val="20210932"/>
    <w:rsid w:val="202448E0"/>
    <w:rsid w:val="21302EEA"/>
    <w:rsid w:val="22376FB5"/>
    <w:rsid w:val="23E152D7"/>
    <w:rsid w:val="255D43C8"/>
    <w:rsid w:val="26876BDD"/>
    <w:rsid w:val="2714632A"/>
    <w:rsid w:val="27B0539E"/>
    <w:rsid w:val="29365CF8"/>
    <w:rsid w:val="299469B3"/>
    <w:rsid w:val="2A805789"/>
    <w:rsid w:val="2ADC0D75"/>
    <w:rsid w:val="2B4A0E52"/>
    <w:rsid w:val="2C975890"/>
    <w:rsid w:val="2DEF21BB"/>
    <w:rsid w:val="2E4A2F05"/>
    <w:rsid w:val="2EBB3B19"/>
    <w:rsid w:val="2ECC1061"/>
    <w:rsid w:val="2FA476AD"/>
    <w:rsid w:val="303F7540"/>
    <w:rsid w:val="31DD00BF"/>
    <w:rsid w:val="3293174C"/>
    <w:rsid w:val="32BB38D4"/>
    <w:rsid w:val="32C9376D"/>
    <w:rsid w:val="33780472"/>
    <w:rsid w:val="33AF0905"/>
    <w:rsid w:val="355932F4"/>
    <w:rsid w:val="35611882"/>
    <w:rsid w:val="36746FC3"/>
    <w:rsid w:val="368763AE"/>
    <w:rsid w:val="395D59E7"/>
    <w:rsid w:val="39A93932"/>
    <w:rsid w:val="3A915562"/>
    <w:rsid w:val="3B8D4765"/>
    <w:rsid w:val="3C000DBA"/>
    <w:rsid w:val="3DC045D3"/>
    <w:rsid w:val="3DD0464F"/>
    <w:rsid w:val="3E504FFB"/>
    <w:rsid w:val="3E615CD0"/>
    <w:rsid w:val="3E9C47F6"/>
    <w:rsid w:val="3F8B0112"/>
    <w:rsid w:val="3FAB3095"/>
    <w:rsid w:val="3FE45947"/>
    <w:rsid w:val="41242965"/>
    <w:rsid w:val="421C686B"/>
    <w:rsid w:val="435671EA"/>
    <w:rsid w:val="440809E9"/>
    <w:rsid w:val="442407A6"/>
    <w:rsid w:val="442A2C5F"/>
    <w:rsid w:val="44805EA1"/>
    <w:rsid w:val="45710696"/>
    <w:rsid w:val="46142B1B"/>
    <w:rsid w:val="47E60DD0"/>
    <w:rsid w:val="48735039"/>
    <w:rsid w:val="492C684B"/>
    <w:rsid w:val="49500594"/>
    <w:rsid w:val="49E7604E"/>
    <w:rsid w:val="4BF67CDD"/>
    <w:rsid w:val="4D173441"/>
    <w:rsid w:val="4D603DD6"/>
    <w:rsid w:val="4EBF010F"/>
    <w:rsid w:val="4F471EB0"/>
    <w:rsid w:val="51331326"/>
    <w:rsid w:val="51740A7F"/>
    <w:rsid w:val="51A5541E"/>
    <w:rsid w:val="51C96242"/>
    <w:rsid w:val="53906AE1"/>
    <w:rsid w:val="54F46F60"/>
    <w:rsid w:val="55A37BEA"/>
    <w:rsid w:val="56362CD2"/>
    <w:rsid w:val="5784687B"/>
    <w:rsid w:val="57846959"/>
    <w:rsid w:val="578E6A87"/>
    <w:rsid w:val="592345CB"/>
    <w:rsid w:val="5AC2203A"/>
    <w:rsid w:val="5CBB3334"/>
    <w:rsid w:val="5D115FAF"/>
    <w:rsid w:val="62811722"/>
    <w:rsid w:val="62E75A72"/>
    <w:rsid w:val="64571880"/>
    <w:rsid w:val="649125B6"/>
    <w:rsid w:val="652F4C1A"/>
    <w:rsid w:val="666D37F1"/>
    <w:rsid w:val="67087D8F"/>
    <w:rsid w:val="671F687E"/>
    <w:rsid w:val="67F415F8"/>
    <w:rsid w:val="682640D1"/>
    <w:rsid w:val="684B73E5"/>
    <w:rsid w:val="6A047A2A"/>
    <w:rsid w:val="6EFB7548"/>
    <w:rsid w:val="6F3831C3"/>
    <w:rsid w:val="6F8B71C1"/>
    <w:rsid w:val="70753482"/>
    <w:rsid w:val="707B522A"/>
    <w:rsid w:val="73194D05"/>
    <w:rsid w:val="73A83B0E"/>
    <w:rsid w:val="744D3EF9"/>
    <w:rsid w:val="74794411"/>
    <w:rsid w:val="75867C40"/>
    <w:rsid w:val="75B10B26"/>
    <w:rsid w:val="76432199"/>
    <w:rsid w:val="76F44829"/>
    <w:rsid w:val="77A267C0"/>
    <w:rsid w:val="77F57941"/>
    <w:rsid w:val="78882278"/>
    <w:rsid w:val="78B118A6"/>
    <w:rsid w:val="79135044"/>
    <w:rsid w:val="7A7D0F99"/>
    <w:rsid w:val="7D896C5D"/>
    <w:rsid w:val="7E4A0E7C"/>
    <w:rsid w:val="7EFD44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unhideWhenUsed/>
    <w:qFormat/>
    <w:uiPriority w:val="99"/>
    <w:rPr>
      <w:sz w:val="18"/>
      <w:szCs w:val="18"/>
    </w:r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100" w:beforeAutospacing="1" w:after="100" w:afterAutospacing="1"/>
      <w:jc w:val="left"/>
    </w:pPr>
    <w:rPr>
      <w:rFonts w:ascii="Times New Roman" w:hAnsi="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FollowedHyperlink"/>
    <w:unhideWhenUsed/>
    <w:qFormat/>
    <w:uiPriority w:val="99"/>
    <w:rPr>
      <w:color w:val="800080"/>
      <w:u w:val="single"/>
    </w:rPr>
  </w:style>
  <w:style w:type="character" w:styleId="10">
    <w:name w:val="Hyperlink"/>
    <w:unhideWhenUsed/>
    <w:qFormat/>
    <w:uiPriority w:val="99"/>
    <w:rPr>
      <w:color w:val="0000FF"/>
      <w:u w:val="single"/>
    </w:rPr>
  </w:style>
  <w:style w:type="character" w:customStyle="1" w:styleId="11">
    <w:name w:val="页脚 Char"/>
    <w:link w:val="3"/>
    <w:qFormat/>
    <w:uiPriority w:val="99"/>
    <w:rPr>
      <w:kern w:val="2"/>
      <w:sz w:val="18"/>
      <w:szCs w:val="18"/>
    </w:rPr>
  </w:style>
  <w:style w:type="character" w:customStyle="1" w:styleId="12">
    <w:name w:val="批注框文本 Char"/>
    <w:basedOn w:val="8"/>
    <w:link w:val="2"/>
    <w:semiHidden/>
    <w:qFormat/>
    <w:uiPriority w:val="99"/>
    <w:rPr>
      <w:kern w:val="2"/>
      <w:sz w:val="18"/>
      <w:szCs w:val="18"/>
    </w:rPr>
  </w:style>
  <w:style w:type="character" w:customStyle="1" w:styleId="13">
    <w:name w:val="font01"/>
    <w:basedOn w:val="8"/>
    <w:qFormat/>
    <w:uiPriority w:val="0"/>
    <w:rPr>
      <w:rFonts w:hint="eastAsia" w:ascii="宋体" w:hAnsi="宋体" w:eastAsia="宋体" w:cs="宋体"/>
      <w:color w:val="000000"/>
      <w:sz w:val="22"/>
      <w:szCs w:val="22"/>
      <w:u w:val="none"/>
    </w:rPr>
  </w:style>
  <w:style w:type="character" w:customStyle="1" w:styleId="14">
    <w:name w:val="font21"/>
    <w:basedOn w:val="8"/>
    <w:qFormat/>
    <w:uiPriority w:val="0"/>
    <w:rPr>
      <w:rFonts w:hint="eastAsia" w:ascii="宋体" w:hAnsi="宋体" w:eastAsia="宋体" w:cs="宋体"/>
      <w:color w:val="000000"/>
      <w:sz w:val="22"/>
      <w:szCs w:val="22"/>
      <w:u w:val="none"/>
    </w:rPr>
  </w:style>
  <w:style w:type="character" w:customStyle="1" w:styleId="15">
    <w:name w:val="页眉 Char"/>
    <w:link w:val="4"/>
    <w:qFormat/>
    <w:uiPriority w:val="99"/>
    <w:rPr>
      <w:kern w:val="2"/>
      <w:sz w:val="18"/>
      <w:szCs w:val="18"/>
    </w:rPr>
  </w:style>
  <w:style w:type="character" w:customStyle="1" w:styleId="16">
    <w:name w:val="font51"/>
    <w:basedOn w:val="8"/>
    <w:qFormat/>
    <w:uiPriority w:val="0"/>
    <w:rPr>
      <w:rFonts w:hint="eastAsia" w:ascii="宋体" w:hAnsi="宋体" w:eastAsia="宋体" w:cs="宋体"/>
      <w:color w:val="000000"/>
      <w:sz w:val="24"/>
      <w:szCs w:val="24"/>
      <w:u w:val="none"/>
    </w:rPr>
  </w:style>
  <w:style w:type="character" w:customStyle="1" w:styleId="17">
    <w:name w:val="font11"/>
    <w:basedOn w:val="8"/>
    <w:qFormat/>
    <w:uiPriority w:val="0"/>
    <w:rPr>
      <w:rFonts w:hint="eastAsia" w:ascii="宋体" w:hAnsi="宋体" w:eastAsia="宋体" w:cs="宋体"/>
      <w:color w:val="000000"/>
      <w:sz w:val="20"/>
      <w:szCs w:val="20"/>
      <w:u w:val="none"/>
    </w:rPr>
  </w:style>
  <w:style w:type="character" w:customStyle="1" w:styleId="18">
    <w:name w:val="font41"/>
    <w:basedOn w:val="8"/>
    <w:qFormat/>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3078"/>
    <customShpInfo spid="_x0000_s3075"/>
    <customShpInfo spid="_x0000_s307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 User</Company>
  <Pages>29</Pages>
  <Words>7315</Words>
  <Characters>9235</Characters>
  <Lines>81</Lines>
  <Paragraphs>22</Paragraphs>
  <TotalTime>1</TotalTime>
  <ScaleCrop>false</ScaleCrop>
  <LinksUpToDate>false</LinksUpToDate>
  <CharactersWithSpaces>9713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2020-09-25T02:48:00Z</dcterms:created>
  <dc:creator>管理者</dc:creator>
  <cp:lastModifiedBy>John</cp:lastModifiedBy>
  <cp:lastPrinted>2021-09-25T09:25:00Z</cp:lastPrinted>
  <dcterms:modified xsi:type="dcterms:W3CDTF">2021-09-27T03:04:58Z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0981A0C890AC43DFA2D10E3DC4C81C7E</vt:lpwstr>
  </property>
</Properties>
</file>