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栾川县卫生和计划生育委员会</w:t>
      </w: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201</w:t>
      </w:r>
      <w:r>
        <w:rPr>
          <w:rFonts w:hint="eastAsia" w:ascii="黑体" w:hAnsi="黑体" w:eastAsia="黑体" w:cs="黑体"/>
          <w:color w:val="auto"/>
          <w:sz w:val="52"/>
          <w:szCs w:val="52"/>
          <w:highlight w:val="none"/>
          <w:lang w:val="en-US" w:eastAsia="zh-CN"/>
        </w:rPr>
        <w:t>8</w:t>
      </w:r>
      <w:r>
        <w:rPr>
          <w:rFonts w:hint="eastAsia" w:ascii="黑体" w:hAnsi="黑体" w:eastAsia="黑体" w:cs="黑体"/>
          <w:color w:val="auto"/>
          <w:sz w:val="52"/>
          <w:szCs w:val="52"/>
          <w:highlight w:val="none"/>
          <w:lang w:eastAsia="zh-CN"/>
        </w:rPr>
        <w:t>年度</w:t>
      </w:r>
      <w:r>
        <w:rPr>
          <w:rFonts w:hint="eastAsia" w:ascii="黑体" w:hAnsi="黑体" w:eastAsia="黑体" w:cs="黑体"/>
          <w:color w:val="auto"/>
          <w:sz w:val="52"/>
          <w:szCs w:val="52"/>
          <w:highlight w:val="none"/>
        </w:rPr>
        <w:t>部门决算</w:t>
      </w:r>
      <w:r>
        <w:rPr>
          <w:rFonts w:hint="eastAsia" w:ascii="黑体" w:hAnsi="黑体" w:eastAsia="黑体" w:cs="黑体"/>
          <w:color w:val="auto"/>
          <w:sz w:val="52"/>
          <w:szCs w:val="52"/>
          <w:highlight w:val="none"/>
          <w:lang w:eastAsia="zh-CN"/>
        </w:rPr>
        <w:t>公开说明</w:t>
      </w: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52"/>
          <w:szCs w:val="52"/>
          <w:highlight w:val="none"/>
          <w:lang w:eastAsia="zh-CN"/>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二〇一九年八月</w:t>
      </w:r>
    </w:p>
    <w:p>
      <w:pPr>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目　　录</w:t>
      </w:r>
    </w:p>
    <w:p>
      <w:pPr>
        <w:jc w:val="left"/>
        <w:rPr>
          <w:rFonts w:hint="eastAsia" w:ascii="黑体" w:hAnsi="黑体" w:eastAsia="黑体" w:cs="黑体"/>
          <w:color w:val="auto"/>
          <w:sz w:val="32"/>
          <w:szCs w:val="32"/>
          <w:highlight w:val="none"/>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eastAsia="zh-CN"/>
        </w:rPr>
        <w:t>栾川县卫计委</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8</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8</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二、关于收入决算情况说明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十一、政府采购支出情况说明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w:t>
      </w:r>
      <w:r>
        <w:rPr>
          <w:rFonts w:hint="eastAsia" w:ascii="宋体" w:hAnsi="宋体" w:cs="宋体"/>
          <w:color w:val="auto"/>
          <w:sz w:val="32"/>
          <w:szCs w:val="32"/>
          <w:highlight w:val="none"/>
          <w:lang w:eastAsia="zh-CN"/>
        </w:rPr>
        <w:t>二</w:t>
      </w:r>
      <w:r>
        <w:rPr>
          <w:rFonts w:hint="eastAsia" w:ascii="宋体" w:hAnsi="宋体" w:eastAsia="宋体" w:cs="宋体"/>
          <w:color w:val="auto"/>
          <w:sz w:val="32"/>
          <w:szCs w:val="32"/>
          <w:highlight w:val="none"/>
          <w:lang w:eastAsia="zh-CN"/>
        </w:rPr>
        <w:t>、国有资产占用情况说明</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jc w:val="both"/>
        <w:rPr>
          <w:rFonts w:hint="eastAsia" w:ascii="黑体" w:hAnsi="黑体" w:eastAsia="黑体" w:cs="黑体"/>
          <w:color w:val="auto"/>
          <w:sz w:val="52"/>
          <w:szCs w:val="52"/>
          <w:highlight w:val="none"/>
          <w:lang w:eastAsia="zh-CN"/>
        </w:rPr>
      </w:pPr>
    </w:p>
    <w:p>
      <w:pPr>
        <w:widowControl/>
        <w:ind w:firstLine="1320" w:firstLineChars="30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44"/>
          <w:szCs w:val="44"/>
          <w:highlight w:val="none"/>
          <w:lang w:val="en-US" w:eastAsia="zh-CN"/>
        </w:rPr>
        <w:t>第一部分 栾川县卫计委概况</w:t>
      </w:r>
    </w:p>
    <w:p>
      <w:pPr>
        <w:widowControl/>
        <w:jc w:val="left"/>
        <w:rPr>
          <w:rFonts w:hint="eastAsia" w:ascii="黑体" w:hAnsi="黑体" w:eastAsia="黑体" w:cs="黑体"/>
          <w:color w:val="auto"/>
          <w:kern w:val="0"/>
          <w:sz w:val="32"/>
          <w:szCs w:val="32"/>
          <w:highlight w:val="none"/>
          <w:lang w:val="en-US" w:eastAsia="zh-CN"/>
        </w:rPr>
      </w:pPr>
    </w:p>
    <w:p>
      <w:pPr>
        <w:widowControl/>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栾川县卫生和计划生育委员会是县政府举办的工作部门，为正科级。现有职工58人。主要职责：</w:t>
      </w:r>
    </w:p>
    <w:p>
      <w:pPr>
        <w:numPr>
          <w:ilvl w:val="0"/>
          <w:numId w:val="2"/>
        </w:numPr>
        <w:ind w:left="319" w:leftChars="152" w:firstLine="320" w:firstLineChars="10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贯彻执行党和国家、省、市关于卫生和计划生育工作的法律、法规、规章和方针、政策；负责拟订全县卫生和计划生育、中医药事业发展的地方性法规、规章草案和政策规划，制定卫生和计划生育地方标准和技术规范。负责协调推进全县医疗卫生保障工作，统筹规划全县卫生和计划生育服务资源配置，指导全县卫生和计划生育规划的编制和实施。履行政府办医职能，负责公立医院发展规划、章程制定、重大项目实施、财政投入、运行监管、绩效考核等。</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lang w:val="en-US" w:eastAsia="zh-CN"/>
        </w:rPr>
        <w:t xml:space="preserve">  </w:t>
      </w:r>
      <w:r>
        <w:rPr>
          <w:rFonts w:hint="eastAsia" w:ascii="仿宋" w:hAnsi="仿宋" w:eastAsia="仿宋" w:cs="仿宋"/>
          <w:b w:val="0"/>
          <w:i w:val="0"/>
          <w:caps w:val="0"/>
          <w:color w:val="auto"/>
          <w:spacing w:val="0"/>
          <w:sz w:val="32"/>
          <w:szCs w:val="32"/>
        </w:rPr>
        <w:t>（二）负责制定全县疾病预防控制规划、免疫规划、严重危害人民健康的公共卫生问题的干预措施并组织落实；组织制定卫生应急和紧急医学救援预案、突发公共卫生事件监测和风险评估计划，组织和指导全县突发公共卫生事件预防控制和各类突发公共事件的医疗卫生救援，根据授权发布突发公共卫生事件应急处置信息。</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lang w:val="en-US" w:eastAsia="zh-CN"/>
        </w:rPr>
        <w:t xml:space="preserve">  </w:t>
      </w:r>
      <w:r>
        <w:rPr>
          <w:rFonts w:hint="eastAsia" w:ascii="仿宋" w:hAnsi="仿宋" w:eastAsia="仿宋" w:cs="仿宋"/>
          <w:b w:val="0"/>
          <w:i w:val="0"/>
          <w:caps w:val="0"/>
          <w:color w:val="auto"/>
          <w:spacing w:val="0"/>
          <w:sz w:val="32"/>
          <w:szCs w:val="32"/>
        </w:rPr>
        <w:t>（三）按照职责分工承担公共场所生活饮用水卫生和消毒产品、涉及饮用水卫生安全产品、学校卫生、医疗卫生、职业卫生、放射卫生、传染病防治、计划生育和中医服务的监督管理；整顿和规范医疗服务市场；组织开展食品安全风险监测、评估工作。</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lang w:val="en-US" w:eastAsia="zh-CN"/>
        </w:rPr>
        <w:t xml:space="preserve">  </w:t>
      </w:r>
      <w:r>
        <w:rPr>
          <w:rFonts w:hint="eastAsia" w:ascii="仿宋" w:hAnsi="仿宋" w:eastAsia="仿宋" w:cs="仿宋"/>
          <w:b w:val="0"/>
          <w:i w:val="0"/>
          <w:caps w:val="0"/>
          <w:color w:val="auto"/>
          <w:spacing w:val="0"/>
          <w:sz w:val="32"/>
          <w:szCs w:val="32"/>
        </w:rPr>
        <w:t>（四）负责组织拟订并实施基层卫生和计划生育服务、妇幼卫生发展规划和政策措施，指导全县基层卫生和计划生育、妇幼卫生服务体系建设，推进基本公共卫生和计划生育服务均等化，完善基层运行新机制和乡村医生管理制度。</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lang w:val="en-US" w:eastAsia="zh-CN"/>
        </w:rPr>
        <w:t xml:space="preserve"> </w:t>
      </w:r>
      <w:r>
        <w:rPr>
          <w:rFonts w:hint="eastAsia" w:ascii="仿宋" w:hAnsi="仿宋" w:eastAsia="仿宋" w:cs="仿宋"/>
          <w:b w:val="0"/>
          <w:i w:val="0"/>
          <w:caps w:val="0"/>
          <w:color w:val="auto"/>
          <w:spacing w:val="0"/>
          <w:sz w:val="32"/>
          <w:szCs w:val="32"/>
        </w:rPr>
        <w:t>（五）负责制定全县医疗机构和医疗服务全行业管理办法。制定医疗机构及其医疗服务、医疗技术、医疗质量、医疗安全以及采供血机构管理的规范并组织实施，会同有关部门贯彻执行国家卫生专业技术人员准入、资格标准，制定和实施卫生专业技术人员执业规则和服务规范，建立医疗服务评价和监督管理体系。</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六）负责国家医改试点相关工作。组织推进公立医院改革，负责协调处理改制医院遗留问题，负责卫生发展资金账户的资金审核上报等工作，负责改制医院对外合作、资产管理等工作。建立公益性为导向的绩效考核和评价运行机制，建设和谐医患关系，提出医疗服务和药品价格政策的建议。</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（七）贯彻落实国家药物政策和国家基本药物制度。参与实施国家药品法典和国家基本药物目录。组织实施基本药物采购、配送、使用的政策措施。提出我县国家基本药物价格政策建议。</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（八）制定全县农村卫生发展规划和政策措施，规划并指导农村卫生服务体系建设，负责新型农村合作医疗的综合管理。</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九）贯彻落实生育政策，组织实施促进全县出生人口性别平衡的政策措施；依法组织开展统计调查，监测计划生育发展动态，开展信息分析工作，提出发布计划生育安全预警预报信息建议。制定计划生育技术服务管理制度并监督实施。制定优生优育和提高出生人口素质的政策措施并组织实施，推动实施计划生育生殖健康促进计划，降低出生缺陷人口数量。</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组织建立计划生育利益导向、计划生育特殊困难家庭扶助和促进计划生育家庭发展等制度、机制。会同有关部门督促、检查、指导各级政府和有关单位落实人口和计划生育工作责任、措施、投入到位；负责协调推进有关部门、群众团体建立与经济社会发展政策衔接机制，提出稳定适度低生育水平的政策措施。</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（十一）制定流动人口计划生育服务管理制度并组织落实，推动建立流动人口计划生育信息共享和公共服务工作机制。</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二）指导卫生和计划生育系统干部队伍公共服务网络体系建设，组织拟订全县卫生和计划生育人才发展规划，指导卫生和计划生育人才队伍建设。加强全科医生等急需紧缺专业人才培养，贯彻落实国家住院医师和专科医师规范化培训制度。组织卫生和计划生育国际交流合作与卫生援外工作。</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三）组织拟订全县卫生和计划生育科技发展规划，组织实施卫生和计划生育相关科研项目。参与制定医学教育发展规划，协同指导院校医学教育和计划生育教育，组织指导开展毕业后医学教育和继续医学教育。</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（十四）完善全县卫生和计划生育综合监督执法体系，规范执法行为，监督检查法律、法规和政策措施的落实，组织查处重大违法行为。监督落实计划生育目标管理责任制和一票否决制。</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（十五）组织全县卫生和计划生育宣传、健康教育、健康促进工作；指导、规范卫生和计划生育宣传品管理工作。</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（十六）组织推进全县卫生和计划生育信息化建设，完善全员人口信息数据库，推进全县居民健康、出生、预防、医疗、保险等信息资源共享，参与国家、省及有关部门人口基础信息库建设。</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（十七）制定全县中医药中长期发展规划，并纳入卫生和计划生育事业发展总体规划和战略目标。</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（十八）承担全县保健工作宏观指导和在县内重要会议、重大活动的卫生保障工作。</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（十九）负责全县卫生和计划生育系统职业道德教育、法制教育，促进行业社会主义精神文明建设。</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（二十）负责本部门突发公共事件的应急管理工作,贯彻落实突发公共事件应急预案,预防和处置本部门的突发公共事件。</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（二十一）承担县爱国卫生运动委员会、县防治艾滋病工作委员会、县人口和计划生育领导小组的日常工作。</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（二十二）负责本部门及所属事业单位网上名称管理工作。</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（二十三）承办县政府交办的其他事项。</w:t>
      </w:r>
    </w:p>
    <w:p>
      <w:pPr>
        <w:numPr>
          <w:ilvl w:val="0"/>
          <w:numId w:val="0"/>
        </w:numPr>
        <w:ind w:leftChars="200"/>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numPr>
          <w:ilvl w:val="0"/>
          <w:numId w:val="0"/>
        </w:numPr>
        <w:ind w:leftChars="20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rPr>
        <w:t>（一）办公室</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（二）基妇股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（三）医政股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（四）计划生育基层指导股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（五）宣教科教股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（六）流动人口服务管理股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（七）卫生和计划生育信息股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（八）行政审批（政策法规）股</w:t>
      </w:r>
      <w:r>
        <w:rPr>
          <w:rFonts w:hint="eastAsia" w:ascii="仿宋" w:hAnsi="仿宋" w:eastAsia="仿宋" w:cs="仿宋"/>
          <w:b w:val="0"/>
          <w:i w:val="0"/>
          <w:caps w:val="0"/>
          <w:color w:val="auto"/>
          <w:spacing w:val="0"/>
          <w:sz w:val="32"/>
          <w:szCs w:val="32"/>
        </w:rPr>
        <w:br w:type="textWrapping"/>
      </w:r>
      <w:r>
        <w:rPr>
          <w:rFonts w:hint="eastAsia" w:ascii="仿宋" w:hAnsi="仿宋" w:eastAsia="仿宋" w:cs="仿宋"/>
          <w:b w:val="0"/>
          <w:i w:val="0"/>
          <w:caps w:val="0"/>
          <w:color w:val="auto"/>
          <w:spacing w:val="0"/>
          <w:sz w:val="32"/>
          <w:szCs w:val="32"/>
        </w:rPr>
        <w:t>纪检（监察）机构按有关规定设置。</w:t>
      </w:r>
    </w:p>
    <w:p>
      <w:pPr>
        <w:numPr>
          <w:ilvl w:val="0"/>
          <w:numId w:val="0"/>
        </w:numPr>
        <w:ind w:leftChars="200" w:firstLine="640" w:firstLineChars="200"/>
        <w:rPr>
          <w:rFonts w:hint="eastAsia" w:ascii="仿宋" w:hAnsi="仿宋" w:eastAsia="仿宋" w:cs="仿宋"/>
          <w:b w:val="0"/>
          <w:i w:val="0"/>
          <w:caps w:val="0"/>
          <w:color w:val="auto"/>
          <w:spacing w:val="0"/>
          <w:sz w:val="32"/>
          <w:szCs w:val="32"/>
          <w:lang w:eastAsia="zh-CN"/>
        </w:rPr>
      </w:pPr>
      <w:r>
        <w:rPr>
          <w:rFonts w:hint="eastAsia" w:ascii="仿宋_GB2312" w:hAnsi="仿宋_GB2312" w:eastAsia="仿宋_GB2312" w:cs="仿宋_GB2312"/>
          <w:kern w:val="0"/>
          <w:sz w:val="32"/>
          <w:szCs w:val="32"/>
          <w:lang w:eastAsia="zh-CN"/>
        </w:rPr>
        <w:t>栾川县卫生和计划生育委员会</w:t>
      </w:r>
      <w:r>
        <w:rPr>
          <w:rFonts w:hint="eastAsia" w:ascii="仿宋_GB2312" w:hAnsi="仿宋_GB2312" w:eastAsia="仿宋_GB2312" w:cs="仿宋_GB2312"/>
          <w:kern w:val="0"/>
          <w:sz w:val="32"/>
          <w:szCs w:val="32"/>
        </w:rPr>
        <w:t>部门决算</w:t>
      </w:r>
      <w:r>
        <w:rPr>
          <w:rFonts w:hint="eastAsia" w:ascii="仿宋" w:hAnsi="仿宋" w:eastAsia="仿宋" w:cs="仿宋"/>
          <w:b w:val="0"/>
          <w:i w:val="0"/>
          <w:caps w:val="0"/>
          <w:color w:val="auto"/>
          <w:spacing w:val="0"/>
          <w:sz w:val="32"/>
          <w:szCs w:val="32"/>
          <w:lang w:eastAsia="zh-CN"/>
        </w:rPr>
        <w:t>为本级决算。</w:t>
      </w:r>
    </w:p>
    <w:p>
      <w:pPr>
        <w:numPr>
          <w:ilvl w:val="0"/>
          <w:numId w:val="0"/>
        </w:numPr>
        <w:ind w:leftChars="200"/>
        <w:rPr>
          <w:rFonts w:hint="eastAsia" w:ascii="仿宋" w:hAnsi="仿宋" w:eastAsia="仿宋" w:cs="仿宋"/>
          <w:b w:val="0"/>
          <w:i w:val="0"/>
          <w:caps w:val="0"/>
          <w:color w:val="auto"/>
          <w:spacing w:val="0"/>
          <w:sz w:val="32"/>
          <w:szCs w:val="32"/>
        </w:rPr>
      </w:pPr>
    </w:p>
    <w:p>
      <w:pPr>
        <w:numPr>
          <w:ilvl w:val="0"/>
          <w:numId w:val="0"/>
        </w:numPr>
        <w:ind w:leftChars="200"/>
        <w:rPr>
          <w:rFonts w:hint="eastAsia" w:ascii="仿宋" w:hAnsi="仿宋" w:eastAsia="仿宋" w:cs="仿宋"/>
          <w:b w:val="0"/>
          <w:i w:val="0"/>
          <w:caps w:val="0"/>
          <w:color w:val="auto"/>
          <w:spacing w:val="0"/>
          <w:sz w:val="32"/>
          <w:szCs w:val="32"/>
        </w:rPr>
      </w:pPr>
    </w:p>
    <w:p>
      <w:pPr>
        <w:numPr>
          <w:ilvl w:val="0"/>
          <w:numId w:val="0"/>
        </w:numPr>
        <w:ind w:leftChars="200" w:firstLine="880" w:firstLineChars="200"/>
        <w:rPr>
          <w:rFonts w:hint="eastAsia" w:ascii="黑体" w:hAnsi="黑体" w:eastAsia="黑体" w:cs="黑体"/>
          <w:b w:val="0"/>
          <w:i w:val="0"/>
          <w:caps w:val="0"/>
          <w:color w:val="auto"/>
          <w:spacing w:val="0"/>
          <w:sz w:val="44"/>
          <w:szCs w:val="44"/>
          <w:lang w:val="en-US" w:eastAsia="zh-CN"/>
        </w:rPr>
      </w:pPr>
      <w:r>
        <w:rPr>
          <w:rFonts w:hint="eastAsia" w:ascii="黑体" w:hAnsi="黑体" w:eastAsia="黑体" w:cs="黑体"/>
          <w:b w:val="0"/>
          <w:i w:val="0"/>
          <w:caps w:val="0"/>
          <w:color w:val="auto"/>
          <w:spacing w:val="0"/>
          <w:sz w:val="44"/>
          <w:szCs w:val="44"/>
          <w:lang w:eastAsia="zh-CN"/>
        </w:rPr>
        <w:t>第二部分</w:t>
      </w:r>
      <w:r>
        <w:rPr>
          <w:rFonts w:hint="eastAsia" w:ascii="黑体" w:hAnsi="黑体" w:eastAsia="黑体" w:cs="黑体"/>
          <w:b w:val="0"/>
          <w:i w:val="0"/>
          <w:caps w:val="0"/>
          <w:color w:val="auto"/>
          <w:spacing w:val="0"/>
          <w:sz w:val="44"/>
          <w:szCs w:val="44"/>
          <w:lang w:val="en-US" w:eastAsia="zh-CN"/>
        </w:rPr>
        <w:t xml:space="preserve"> 2018年部门决算表</w:t>
      </w:r>
    </w:p>
    <w:p>
      <w:pPr>
        <w:numPr>
          <w:ilvl w:val="0"/>
          <w:numId w:val="0"/>
        </w:numPr>
        <w:rPr>
          <w:rFonts w:hint="eastAsia" w:ascii="黑体" w:hAnsi="黑体" w:eastAsia="黑体" w:cs="黑体"/>
          <w:color w:val="auto"/>
          <w:kern w:val="0"/>
          <w:sz w:val="32"/>
          <w:szCs w:val="32"/>
          <w:highlight w:val="none"/>
          <w:lang w:val="en-US"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sectPr>
          <w:pgSz w:w="11906" w:h="16838"/>
          <w:pgMar w:top="1440" w:right="1800" w:bottom="1440" w:left="1746" w:header="851" w:footer="992" w:gutter="0"/>
          <w:cols w:space="425" w:num="1"/>
          <w:docGrid w:type="lines" w:linePitch="312" w:charSpace="0"/>
        </w:sectPr>
      </w:pPr>
    </w:p>
    <w:tbl>
      <w:tblPr>
        <w:tblStyle w:val="4"/>
        <w:tblW w:w="12675" w:type="dxa"/>
        <w:tblInd w:w="0" w:type="dxa"/>
        <w:shd w:val="clear" w:color="auto" w:fill="auto"/>
        <w:tblLayout w:type="fixed"/>
        <w:tblCellMar>
          <w:top w:w="0" w:type="dxa"/>
          <w:left w:w="0" w:type="dxa"/>
          <w:bottom w:w="0" w:type="dxa"/>
          <w:right w:w="0" w:type="dxa"/>
        </w:tblCellMar>
      </w:tblPr>
      <w:tblGrid>
        <w:gridCol w:w="4572"/>
        <w:gridCol w:w="675"/>
        <w:gridCol w:w="1410"/>
        <w:gridCol w:w="3630"/>
        <w:gridCol w:w="590"/>
        <w:gridCol w:w="1798"/>
      </w:tblGrid>
      <w:tr>
        <w:tblPrEx>
          <w:shd w:val="clear" w:color="auto" w:fill="auto"/>
          <w:tblCellMar>
            <w:top w:w="0" w:type="dxa"/>
            <w:left w:w="0" w:type="dxa"/>
            <w:bottom w:w="0" w:type="dxa"/>
            <w:right w:w="0" w:type="dxa"/>
          </w:tblCellMar>
        </w:tblPrEx>
        <w:trPr>
          <w:trHeight w:val="777" w:hRule="atLeast"/>
        </w:trPr>
        <w:tc>
          <w:tcPr>
            <w:tcW w:w="12675"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400" w:hRule="atLeast"/>
        </w:trPr>
        <w:tc>
          <w:tcPr>
            <w:tcW w:w="457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00" w:hRule="atLeast"/>
        </w:trPr>
        <w:tc>
          <w:tcPr>
            <w:tcW w:w="45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0" w:hRule="atLeast"/>
        </w:trPr>
        <w:tc>
          <w:tcPr>
            <w:tcW w:w="66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018"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8"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2030.04 </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1714.08 </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2030.04 </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2025.72 </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10.94 </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15.26 </w:t>
            </w: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2040.98 </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5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2040.98 </w:t>
            </w:r>
          </w:p>
        </w:tc>
      </w:tr>
      <w:tr>
        <w:tblPrEx>
          <w:tblCellMar>
            <w:top w:w="0" w:type="dxa"/>
            <w:left w:w="0" w:type="dxa"/>
            <w:bottom w:w="0" w:type="dxa"/>
            <w:right w:w="0" w:type="dxa"/>
          </w:tblCellMar>
        </w:tblPrEx>
        <w:trPr>
          <w:trHeight w:val="400" w:hRule="atLeast"/>
        </w:trPr>
        <w:tc>
          <w:tcPr>
            <w:tcW w:w="1267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tbl>
      <w:tblPr>
        <w:tblStyle w:val="4"/>
        <w:tblW w:w="13988" w:type="dxa"/>
        <w:tblInd w:w="0" w:type="dxa"/>
        <w:shd w:val="clear" w:color="auto" w:fill="auto"/>
        <w:tblLayout w:type="fixed"/>
        <w:tblCellMar>
          <w:top w:w="0" w:type="dxa"/>
          <w:left w:w="0" w:type="dxa"/>
          <w:bottom w:w="0" w:type="dxa"/>
          <w:right w:w="0" w:type="dxa"/>
        </w:tblCellMar>
      </w:tblPr>
      <w:tblGrid>
        <w:gridCol w:w="239"/>
        <w:gridCol w:w="240"/>
        <w:gridCol w:w="244"/>
        <w:gridCol w:w="3461"/>
        <w:gridCol w:w="1431"/>
        <w:gridCol w:w="1512"/>
        <w:gridCol w:w="919"/>
        <w:gridCol w:w="888"/>
        <w:gridCol w:w="872"/>
        <w:gridCol w:w="950"/>
        <w:gridCol w:w="3232"/>
      </w:tblGrid>
      <w:tr>
        <w:tblPrEx>
          <w:shd w:val="clear" w:color="auto" w:fill="auto"/>
          <w:tblCellMar>
            <w:top w:w="0" w:type="dxa"/>
            <w:left w:w="0" w:type="dxa"/>
            <w:bottom w:w="0" w:type="dxa"/>
            <w:right w:w="0" w:type="dxa"/>
          </w:tblCellMar>
        </w:tblPrEx>
        <w:trPr>
          <w:trHeight w:val="40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400" w:hRule="atLeast"/>
        </w:trPr>
        <w:tc>
          <w:tcPr>
            <w:tcW w:w="23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3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400" w:hRule="atLeast"/>
        </w:trPr>
        <w:tc>
          <w:tcPr>
            <w:tcW w:w="4184"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14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8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0" w:hRule="atLeast"/>
        </w:trPr>
        <w:tc>
          <w:tcPr>
            <w:tcW w:w="418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32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400" w:hRule="atLeast"/>
        </w:trPr>
        <w:tc>
          <w:tcPr>
            <w:tcW w:w="72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46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18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00" w:hRule="atLeast"/>
        </w:trPr>
        <w:tc>
          <w:tcPr>
            <w:tcW w:w="418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2030.04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2030.04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1718.08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1718.08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医疗卫生与计划生育管理事务</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34.10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34.10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34.10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34.10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28.94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28.94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1391.17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1391.17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1379.37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1379.37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311.96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311.96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269.96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269.96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7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3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社会发展</w:t>
            </w:r>
          </w:p>
        </w:tc>
        <w:tc>
          <w:tcPr>
            <w:tcW w:w="1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269.96 </w:t>
            </w:r>
          </w:p>
        </w:tc>
        <w:tc>
          <w:tcPr>
            <w:tcW w:w="15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269.96 </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bl>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tbl>
      <w:tblPr>
        <w:tblStyle w:val="4"/>
        <w:tblW w:w="12750" w:type="dxa"/>
        <w:tblInd w:w="0" w:type="dxa"/>
        <w:shd w:val="clear" w:color="auto" w:fill="auto"/>
        <w:tblLayout w:type="fixed"/>
        <w:tblCellMar>
          <w:top w:w="0" w:type="dxa"/>
          <w:left w:w="0" w:type="dxa"/>
          <w:bottom w:w="0" w:type="dxa"/>
          <w:right w:w="0" w:type="dxa"/>
        </w:tblCellMar>
      </w:tblPr>
      <w:tblGrid>
        <w:gridCol w:w="990"/>
        <w:gridCol w:w="2890"/>
        <w:gridCol w:w="1710"/>
        <w:gridCol w:w="1695"/>
        <w:gridCol w:w="1725"/>
        <w:gridCol w:w="1185"/>
        <w:gridCol w:w="1101"/>
        <w:gridCol w:w="1454"/>
      </w:tblGrid>
      <w:tr>
        <w:tblPrEx>
          <w:shd w:val="clear" w:color="auto" w:fill="auto"/>
          <w:tblCellMar>
            <w:top w:w="0" w:type="dxa"/>
            <w:left w:w="0" w:type="dxa"/>
            <w:bottom w:w="0" w:type="dxa"/>
            <w:right w:w="0" w:type="dxa"/>
          </w:tblCellMar>
        </w:tblPrEx>
        <w:trPr>
          <w:trHeight w:val="400" w:hRule="atLeast"/>
        </w:trPr>
        <w:tc>
          <w:tcPr>
            <w:tcW w:w="1275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400" w:hRule="atLeast"/>
        </w:trPr>
        <w:tc>
          <w:tcPr>
            <w:tcW w:w="1275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400" w:hRule="atLeast"/>
        </w:trPr>
        <w:tc>
          <w:tcPr>
            <w:tcW w:w="559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5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0" w:hRule="atLeast"/>
        </w:trPr>
        <w:tc>
          <w:tcPr>
            <w:tcW w:w="3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00" w:hRule="atLeast"/>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88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00" w:hRule="atLeast"/>
        </w:trPr>
        <w:tc>
          <w:tcPr>
            <w:tcW w:w="388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2025.72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586.16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1439.56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1714.08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586.16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1127.92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医疗卫生与计划生育管理事务</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28.94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28.94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1391.17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331.80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1059.37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1379.37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320.00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1059.37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社会发展</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275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bl>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tbl>
      <w:tblPr>
        <w:tblStyle w:val="4"/>
        <w:tblW w:w="13545" w:type="dxa"/>
        <w:tblInd w:w="0" w:type="dxa"/>
        <w:shd w:val="clear" w:color="auto" w:fill="auto"/>
        <w:tblLayout w:type="fixed"/>
        <w:tblCellMar>
          <w:top w:w="0" w:type="dxa"/>
          <w:left w:w="0" w:type="dxa"/>
          <w:bottom w:w="0" w:type="dxa"/>
          <w:right w:w="0" w:type="dxa"/>
        </w:tblCellMar>
      </w:tblPr>
      <w:tblGrid>
        <w:gridCol w:w="3105"/>
        <w:gridCol w:w="536"/>
        <w:gridCol w:w="1665"/>
        <w:gridCol w:w="3045"/>
        <w:gridCol w:w="536"/>
        <w:gridCol w:w="800"/>
        <w:gridCol w:w="1668"/>
        <w:gridCol w:w="2190"/>
      </w:tblGrid>
      <w:tr>
        <w:tblPrEx>
          <w:shd w:val="clear" w:color="auto" w:fill="auto"/>
          <w:tblCellMar>
            <w:top w:w="0" w:type="dxa"/>
            <w:left w:w="0" w:type="dxa"/>
            <w:bottom w:w="0" w:type="dxa"/>
            <w:right w:w="0" w:type="dxa"/>
          </w:tblCellMar>
        </w:tblPrEx>
        <w:trPr>
          <w:trHeight w:val="400" w:hRule="atLeast"/>
        </w:trPr>
        <w:tc>
          <w:tcPr>
            <w:tcW w:w="13545"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400" w:hRule="atLeast"/>
        </w:trPr>
        <w:tc>
          <w:tcPr>
            <w:tcW w:w="13545"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400" w:hRule="atLeast"/>
        </w:trPr>
        <w:tc>
          <w:tcPr>
            <w:tcW w:w="530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304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5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0" w:hRule="atLeast"/>
        </w:trPr>
        <w:tc>
          <w:tcPr>
            <w:tcW w:w="5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239"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00" w:hRule="atLeast"/>
        </w:trPr>
        <w:tc>
          <w:tcPr>
            <w:tcW w:w="31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0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1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400" w:hRule="atLeast"/>
        </w:trPr>
        <w:tc>
          <w:tcPr>
            <w:tcW w:w="31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2030.04 </w:t>
            </w: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1714.08 </w:t>
            </w: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1714.08 </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2030.04 </w:t>
            </w: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2025.72 </w:t>
            </w: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2025.72 </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10.94 </w:t>
            </w: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15.26 </w:t>
            </w: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15.26 </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10.94 </w:t>
            </w: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3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2040.98 </w:t>
            </w:r>
          </w:p>
        </w:tc>
        <w:tc>
          <w:tcPr>
            <w:tcW w:w="3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2040.98 </w:t>
            </w:r>
          </w:p>
        </w:tc>
        <w:tc>
          <w:tcPr>
            <w:tcW w:w="1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2040.98 </w:t>
            </w:r>
          </w:p>
        </w:tc>
        <w:tc>
          <w:tcPr>
            <w:tcW w:w="2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54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jc w:val="both"/>
        <w:rPr>
          <w:rFonts w:hint="eastAsia" w:ascii="黑体" w:hAnsi="黑体" w:eastAsia="黑体" w:cs="黑体"/>
          <w:color w:val="auto"/>
          <w:sz w:val="28"/>
          <w:szCs w:val="28"/>
          <w:highlight w:val="none"/>
          <w:lang w:eastAsia="zh-CN"/>
        </w:rPr>
      </w:pPr>
    </w:p>
    <w:tbl>
      <w:tblPr>
        <w:tblStyle w:val="4"/>
        <w:tblW w:w="11580" w:type="dxa"/>
        <w:tblInd w:w="0" w:type="dxa"/>
        <w:shd w:val="clear" w:color="auto" w:fill="auto"/>
        <w:tblLayout w:type="fixed"/>
        <w:tblCellMar>
          <w:top w:w="0" w:type="dxa"/>
          <w:left w:w="0" w:type="dxa"/>
          <w:bottom w:w="0" w:type="dxa"/>
          <w:right w:w="0" w:type="dxa"/>
        </w:tblCellMar>
      </w:tblPr>
      <w:tblGrid>
        <w:gridCol w:w="1320"/>
        <w:gridCol w:w="2890"/>
        <w:gridCol w:w="1960"/>
        <w:gridCol w:w="1794"/>
        <w:gridCol w:w="3616"/>
      </w:tblGrid>
      <w:tr>
        <w:tblPrEx>
          <w:shd w:val="clear" w:color="auto" w:fill="auto"/>
          <w:tblCellMar>
            <w:top w:w="0" w:type="dxa"/>
            <w:left w:w="0" w:type="dxa"/>
            <w:bottom w:w="0" w:type="dxa"/>
            <w:right w:w="0" w:type="dxa"/>
          </w:tblCellMar>
        </w:tblPrEx>
        <w:trPr>
          <w:trHeight w:val="400" w:hRule="atLeast"/>
        </w:trPr>
        <w:tc>
          <w:tcPr>
            <w:tcW w:w="1158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400" w:hRule="atLeast"/>
        </w:trPr>
        <w:tc>
          <w:tcPr>
            <w:tcW w:w="1158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400" w:hRule="atLeast"/>
        </w:trPr>
        <w:tc>
          <w:tcPr>
            <w:tcW w:w="421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196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7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1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0" w:hRule="atLeast"/>
        </w:trPr>
        <w:tc>
          <w:tcPr>
            <w:tcW w:w="4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7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400" w:hRule="atLeast"/>
        </w:trPr>
        <w:tc>
          <w:tcPr>
            <w:tcW w:w="13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00" w:hRule="atLeast"/>
        </w:trPr>
        <w:tc>
          <w:tcPr>
            <w:tcW w:w="13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421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6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94"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16"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400" w:hRule="atLeast"/>
        </w:trPr>
        <w:tc>
          <w:tcPr>
            <w:tcW w:w="421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2025.72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586.16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1439.56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1714.08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586.16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1127.92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医疗卫生与计划生育管理事务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254.36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30.10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28.94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28.94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1391.17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331.80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1059.37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1379.37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320.00 </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1059.37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311.64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其他农业支出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r>
      <w:tr>
        <w:tblPrEx>
          <w:tblCellMar>
            <w:top w:w="0" w:type="dxa"/>
            <w:left w:w="0" w:type="dxa"/>
            <w:bottom w:w="0" w:type="dxa"/>
            <w:right w:w="0" w:type="dxa"/>
          </w:tblCellMar>
        </w:tblPrEx>
        <w:trPr>
          <w:trHeight w:val="400"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28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社会发展</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269.64 </w:t>
            </w:r>
          </w:p>
        </w:tc>
      </w:tr>
      <w:tr>
        <w:tblPrEx>
          <w:tblCellMar>
            <w:top w:w="0" w:type="dxa"/>
            <w:left w:w="0" w:type="dxa"/>
            <w:bottom w:w="0" w:type="dxa"/>
            <w:right w:w="0" w:type="dxa"/>
          </w:tblCellMar>
        </w:tblPrEx>
        <w:trPr>
          <w:trHeight w:val="400" w:hRule="atLeast"/>
        </w:trPr>
        <w:tc>
          <w:tcPr>
            <w:tcW w:w="115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注：本表反映部门本年度一般公共预算财政拨款支出情况。本表金额转换为万元时，因四舍五入可能存在尾差。</w:t>
            </w:r>
          </w:p>
        </w:tc>
      </w:tr>
    </w:tbl>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tbl>
      <w:tblPr>
        <w:tblStyle w:val="4"/>
        <w:tblW w:w="13110" w:type="dxa"/>
        <w:tblInd w:w="0" w:type="dxa"/>
        <w:shd w:val="clear" w:color="auto" w:fill="auto"/>
        <w:tblLayout w:type="fixed"/>
        <w:tblCellMar>
          <w:top w:w="0" w:type="dxa"/>
          <w:left w:w="0" w:type="dxa"/>
          <w:bottom w:w="0" w:type="dxa"/>
          <w:right w:w="0" w:type="dxa"/>
        </w:tblCellMar>
      </w:tblPr>
      <w:tblGrid>
        <w:gridCol w:w="633"/>
        <w:gridCol w:w="2890"/>
        <w:gridCol w:w="773"/>
        <w:gridCol w:w="633"/>
        <w:gridCol w:w="2230"/>
        <w:gridCol w:w="779"/>
        <w:gridCol w:w="633"/>
        <w:gridCol w:w="3770"/>
        <w:gridCol w:w="769"/>
      </w:tblGrid>
      <w:tr>
        <w:tblPrEx>
          <w:shd w:val="clear" w:color="auto" w:fill="auto"/>
          <w:tblCellMar>
            <w:top w:w="0" w:type="dxa"/>
            <w:left w:w="0" w:type="dxa"/>
            <w:bottom w:w="0" w:type="dxa"/>
            <w:right w:w="0" w:type="dxa"/>
          </w:tblCellMar>
        </w:tblPrEx>
        <w:trPr>
          <w:trHeight w:val="320" w:hRule="atLeast"/>
        </w:trPr>
        <w:tc>
          <w:tcPr>
            <w:tcW w:w="1311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trHeight w:val="320" w:hRule="atLeast"/>
        </w:trPr>
        <w:tc>
          <w:tcPr>
            <w:tcW w:w="1311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CellMar>
            <w:top w:w="0" w:type="dxa"/>
            <w:left w:w="0" w:type="dxa"/>
            <w:bottom w:w="0" w:type="dxa"/>
            <w:right w:w="0" w:type="dxa"/>
          </w:tblCellMar>
        </w:tblPrEx>
        <w:trPr>
          <w:trHeight w:val="320" w:hRule="atLeast"/>
        </w:trPr>
        <w:tc>
          <w:tcPr>
            <w:tcW w:w="429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63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3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20" w:hRule="atLeast"/>
        </w:trPr>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814"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20" w:hRule="atLeast"/>
        </w:trPr>
        <w:tc>
          <w:tcPr>
            <w:tcW w:w="6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2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7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20" w:hRule="atLeast"/>
        </w:trPr>
        <w:tc>
          <w:tcPr>
            <w:tcW w:w="6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235.20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347.15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150.09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50.94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4.09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0.90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3.15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4.55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0.55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3.42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2.46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14.75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0.09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0.82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1.31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267.04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36.06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对民间非营利组织和群众性自治补贴</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其他对个人和家庭补助</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16.90 </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35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239.01 </w:t>
            </w:r>
          </w:p>
        </w:tc>
        <w:tc>
          <w:tcPr>
            <w:tcW w:w="80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347.15 </w:t>
            </w:r>
          </w:p>
        </w:tc>
      </w:tr>
      <w:tr>
        <w:tblPrEx>
          <w:tblCellMar>
            <w:top w:w="0" w:type="dxa"/>
            <w:left w:w="0" w:type="dxa"/>
            <w:bottom w:w="0" w:type="dxa"/>
            <w:right w:w="0" w:type="dxa"/>
          </w:tblCellMar>
        </w:tblPrEx>
        <w:trPr>
          <w:trHeight w:val="320" w:hRule="atLeast"/>
        </w:trPr>
        <w:tc>
          <w:tcPr>
            <w:tcW w:w="1311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tbl>
      <w:tblPr>
        <w:tblStyle w:val="4"/>
        <w:tblW w:w="13725" w:type="dxa"/>
        <w:tblInd w:w="0" w:type="dxa"/>
        <w:shd w:val="clear" w:color="auto" w:fill="auto"/>
        <w:tblLayout w:type="fixed"/>
        <w:tblCellMar>
          <w:top w:w="0" w:type="dxa"/>
          <w:left w:w="0" w:type="dxa"/>
          <w:bottom w:w="0" w:type="dxa"/>
          <w:right w:w="0" w:type="dxa"/>
        </w:tblCellMar>
      </w:tblPr>
      <w:tblGrid>
        <w:gridCol w:w="1170"/>
        <w:gridCol w:w="990"/>
        <w:gridCol w:w="1275"/>
        <w:gridCol w:w="1020"/>
        <w:gridCol w:w="990"/>
        <w:gridCol w:w="1245"/>
        <w:gridCol w:w="1080"/>
        <w:gridCol w:w="1050"/>
        <w:gridCol w:w="1185"/>
        <w:gridCol w:w="1035"/>
        <w:gridCol w:w="1275"/>
        <w:gridCol w:w="1410"/>
      </w:tblGrid>
      <w:tr>
        <w:tblPrEx>
          <w:shd w:val="clear" w:color="auto" w:fill="auto"/>
          <w:tblCellMar>
            <w:top w:w="0" w:type="dxa"/>
            <w:left w:w="0" w:type="dxa"/>
            <w:bottom w:w="0" w:type="dxa"/>
            <w:right w:w="0" w:type="dxa"/>
          </w:tblCellMar>
        </w:tblPrEx>
        <w:trPr>
          <w:trHeight w:val="540" w:hRule="atLeast"/>
        </w:trPr>
        <w:tc>
          <w:tcPr>
            <w:tcW w:w="13725"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500" w:hRule="atLeast"/>
        </w:trPr>
        <w:tc>
          <w:tcPr>
            <w:tcW w:w="13725"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CellMar>
            <w:top w:w="0" w:type="dxa"/>
            <w:left w:w="0" w:type="dxa"/>
            <w:bottom w:w="0" w:type="dxa"/>
            <w:right w:w="0" w:type="dxa"/>
          </w:tblCellMar>
        </w:tblPrEx>
        <w:trPr>
          <w:trHeight w:val="500" w:hRule="atLeast"/>
        </w:trPr>
        <w:tc>
          <w:tcPr>
            <w:tcW w:w="5445"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部门：栾川县卫生和计划生育委员会（本级）</w:t>
            </w: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4905"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00" w:hRule="atLeast"/>
        </w:trPr>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03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500" w:hRule="atLeast"/>
        </w:trPr>
        <w:tc>
          <w:tcPr>
            <w:tcW w:w="11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60" w:hRule="atLeast"/>
        </w:trPr>
        <w:tc>
          <w:tcPr>
            <w:tcW w:w="11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11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5"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5"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5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85"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35"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5"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7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 </w:t>
            </w:r>
          </w:p>
        </w:tc>
      </w:tr>
      <w:tr>
        <w:tblPrEx>
          <w:tblCellMar>
            <w:top w:w="0" w:type="dxa"/>
            <w:left w:w="0" w:type="dxa"/>
            <w:bottom w:w="0" w:type="dxa"/>
            <w:right w:w="0" w:type="dxa"/>
          </w:tblCellMar>
        </w:tblPrEx>
        <w:trPr>
          <w:trHeight w:val="780" w:hRule="atLeast"/>
        </w:trPr>
        <w:tc>
          <w:tcPr>
            <w:tcW w:w="1372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pPr>
    </w:p>
    <w:tbl>
      <w:tblPr>
        <w:tblStyle w:val="4"/>
        <w:tblW w:w="13988" w:type="dxa"/>
        <w:tblInd w:w="0" w:type="dxa"/>
        <w:shd w:val="clear" w:color="auto" w:fill="auto"/>
        <w:tblLayout w:type="fixed"/>
        <w:tblCellMar>
          <w:top w:w="0" w:type="dxa"/>
          <w:left w:w="0" w:type="dxa"/>
          <w:bottom w:w="0" w:type="dxa"/>
          <w:right w:w="0" w:type="dxa"/>
        </w:tblCellMar>
      </w:tblPr>
      <w:tblGrid>
        <w:gridCol w:w="1087"/>
        <w:gridCol w:w="999"/>
        <w:gridCol w:w="1796"/>
        <w:gridCol w:w="1446"/>
        <w:gridCol w:w="1475"/>
        <w:gridCol w:w="1536"/>
        <w:gridCol w:w="1536"/>
        <w:gridCol w:w="4113"/>
      </w:tblGrid>
      <w:tr>
        <w:tblPrEx>
          <w:shd w:val="clear" w:color="auto" w:fill="auto"/>
          <w:tblCellMar>
            <w:top w:w="0" w:type="dxa"/>
            <w:left w:w="0" w:type="dxa"/>
            <w:bottom w:w="0" w:type="dxa"/>
            <w:right w:w="0" w:type="dxa"/>
          </w:tblCellMar>
        </w:tblPrEx>
        <w:trPr>
          <w:trHeight w:val="39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40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400" w:hRule="atLeast"/>
        </w:trPr>
        <w:tc>
          <w:tcPr>
            <w:tcW w:w="388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部门：栾川县卫生和计划生育委员会（本级）</w:t>
            </w:r>
          </w:p>
        </w:tc>
        <w:tc>
          <w:tcPr>
            <w:tcW w:w="144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64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CellMar>
            <w:top w:w="0" w:type="dxa"/>
            <w:left w:w="0" w:type="dxa"/>
            <w:bottom w:w="0" w:type="dxa"/>
            <w:right w:w="0" w:type="dxa"/>
          </w:tblCellMar>
        </w:tblPrEx>
        <w:trPr>
          <w:trHeight w:val="400"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54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1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400" w:hRule="atLeast"/>
        </w:trPr>
        <w:tc>
          <w:tcPr>
            <w:tcW w:w="10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99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1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208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00" w:hRule="atLeast"/>
        </w:trPr>
        <w:tc>
          <w:tcPr>
            <w:tcW w:w="208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0" w:hRule="atLeast"/>
        </w:trPr>
        <w:tc>
          <w:tcPr>
            <w:tcW w:w="10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0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0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0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说明：我部门没有政府性基金收入，也没有使用政府性基金安排的支出，故本表无数据。</w:t>
      </w:r>
    </w:p>
    <w:p>
      <w:pPr>
        <w:jc w:val="both"/>
        <w:rPr>
          <w:rFonts w:hint="eastAsia" w:ascii="黑体" w:hAnsi="黑体" w:eastAsia="黑体" w:cs="黑体"/>
          <w:color w:val="auto"/>
          <w:sz w:val="28"/>
          <w:szCs w:val="28"/>
          <w:highlight w:val="none"/>
          <w:lang w:eastAsia="zh-CN"/>
        </w:rPr>
      </w:pPr>
    </w:p>
    <w:p>
      <w:pPr>
        <w:jc w:val="both"/>
        <w:rPr>
          <w:rFonts w:hint="eastAsia" w:ascii="黑体" w:hAnsi="黑体" w:eastAsia="黑体" w:cs="黑体"/>
          <w:color w:val="auto"/>
          <w:sz w:val="28"/>
          <w:szCs w:val="28"/>
          <w:highlight w:val="none"/>
          <w:lang w:eastAsia="zh-CN"/>
        </w:rPr>
        <w:sectPr>
          <w:pgSz w:w="16838" w:h="11906" w:orient="landscape"/>
          <w:pgMar w:top="1746" w:right="1440" w:bottom="1803" w:left="1440" w:header="851" w:footer="992" w:gutter="0"/>
          <w:cols w:space="0" w:num="1"/>
          <w:rtlGutter w:val="0"/>
          <w:docGrid w:type="lines" w:linePitch="321" w:charSpace="0"/>
        </w:sectPr>
      </w:pPr>
    </w:p>
    <w:p>
      <w:pPr>
        <w:numPr>
          <w:ilvl w:val="0"/>
          <w:numId w:val="3"/>
        </w:numPr>
        <w:jc w:val="both"/>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 xml:space="preserve"> 2018年度部门决算情况说明</w:t>
      </w:r>
    </w:p>
    <w:p>
      <w:pPr>
        <w:numPr>
          <w:ilvl w:val="0"/>
          <w:numId w:val="0"/>
        </w:numPr>
        <w:jc w:val="both"/>
        <w:rPr>
          <w:rFonts w:hint="default" w:ascii="黑体" w:hAnsi="黑体" w:eastAsia="黑体" w:cs="黑体"/>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全年决算收入2030.04万元，2017年全年决算收入2396.25万元，比上年减少366.21万元。2018年支出2025.72万元，2017年支出2389.31万元，比上年减少363.59万元。收入下降15.28%，支出下降15.22%，减少主要原因：计划生育事务、计划生育补助项目资金减少较多。</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2018年度收入合计2030.04万元，其中：财政拨款收入2030.04万元，占100%。比</w:t>
      </w:r>
      <w:r>
        <w:rPr>
          <w:rFonts w:hint="eastAsia" w:ascii="仿宋_GB2312" w:hAnsi="仿宋_GB2312" w:eastAsia="仿宋_GB2312" w:cs="仿宋_GB2312"/>
          <w:sz w:val="32"/>
          <w:szCs w:val="32"/>
          <w:lang w:val="en-US" w:eastAsia="zh-CN"/>
        </w:rPr>
        <w:t>2017年财政拨款收入2396.25万元减少366.21万元，收入下降15.28%，减少主要原因：计划生育事务、计划生育补助项目资金减少较多。</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2018年度支出合计2025.72万元，其中：基本支出586.16万元，占28.9%；项目支出1439.56万元，占71.1%。比</w:t>
      </w:r>
      <w:r>
        <w:rPr>
          <w:rFonts w:hint="eastAsia" w:ascii="仿宋_GB2312" w:hAnsi="仿宋_GB2312" w:eastAsia="仿宋_GB2312" w:cs="仿宋_GB2312"/>
          <w:sz w:val="32"/>
          <w:szCs w:val="32"/>
          <w:lang w:val="en-US" w:eastAsia="zh-CN"/>
        </w:rPr>
        <w:t>2017年支出2389.31万元减少363.59万元，支出下降15.22%，减少主要原因：计划生育事务、计划生育补助项目资金收入减少，支出相应减少。</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财政拨款收入2030.04万元，2017年财政拨款收入2396.25万元，比上年减少366.21万元。2018年财政拨款支出2025.72万元，2017年财政拨款支出2389.31万元，比上年减少363.59万元。财政拨款收入下降15.28%，财政拨款支出下降15.22%，减少主要原因：计划生育事务、计划生育补助项目资金收入减少，支出相应减少。</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一般公共预算财政拨款支出决算情况说明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zh-CN"/>
        </w:rPr>
        <w:t>（一）总体情况：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2018年度一般公共预算财政拨款支出2025.72万元，占支出合计的100%。与上年支出2389.31万元相比减少363.59万元，下降</w:t>
      </w:r>
      <w:r>
        <w:rPr>
          <w:rFonts w:hint="eastAsia" w:ascii="仿宋_GB2312" w:hAnsi="仿宋_GB2312" w:eastAsia="仿宋_GB2312" w:cs="仿宋_GB2312"/>
          <w:sz w:val="32"/>
          <w:szCs w:val="32"/>
          <w:lang w:val="en-US" w:eastAsia="zh-CN"/>
        </w:rPr>
        <w:t>15.22%。减少主要原因：计划生育事务、计划生育补助项目资金收入减少，支出相应减少。</w:t>
      </w:r>
    </w:p>
    <w:p>
      <w:pPr>
        <w:topLinePunct/>
        <w:jc w:val="left"/>
        <w:rPr>
          <w:rFonts w:hint="eastAsia" w:ascii="仿宋" w:hAnsi="仿宋" w:eastAsia="仿宋" w:cs="仿宋"/>
          <w:sz w:val="32"/>
          <w:szCs w:val="32"/>
          <w:lang w:val="zh-CN"/>
        </w:rPr>
      </w:pPr>
      <w:r>
        <w:rPr>
          <w:rFonts w:hint="eastAsia" w:ascii="仿宋" w:hAnsi="仿宋" w:eastAsia="仿宋" w:cs="仿宋"/>
          <w:sz w:val="32"/>
          <w:szCs w:val="32"/>
          <w:lang w:val="zh-CN"/>
        </w:rPr>
        <w:t>（二）结构情况：</w:t>
      </w:r>
    </w:p>
    <w:p>
      <w:pPr>
        <w:topLinePun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lang w:val="zh-CN"/>
        </w:rPr>
        <w:t>2018年度一般公共预算财政拨款支出</w:t>
      </w:r>
      <w:r>
        <w:rPr>
          <w:rFonts w:hint="eastAsia" w:ascii="仿宋" w:hAnsi="仿宋" w:eastAsia="仿宋" w:cs="仿宋"/>
          <w:sz w:val="32"/>
          <w:szCs w:val="32"/>
          <w:lang w:val="en-US" w:eastAsia="zh-CN"/>
        </w:rPr>
        <w:t>2025.72</w:t>
      </w:r>
      <w:r>
        <w:rPr>
          <w:rFonts w:hint="eastAsia" w:ascii="仿宋" w:hAnsi="仿宋" w:eastAsia="仿宋" w:cs="仿宋"/>
          <w:sz w:val="32"/>
          <w:szCs w:val="32"/>
          <w:lang w:val="zh-CN"/>
        </w:rPr>
        <w:t>万元，主要用于以下两方面：医疗卫生与计划生育支出（类）</w:t>
      </w:r>
      <w:r>
        <w:rPr>
          <w:rFonts w:hint="eastAsia" w:ascii="仿宋" w:hAnsi="仿宋" w:eastAsia="仿宋" w:cs="仿宋"/>
          <w:sz w:val="32"/>
          <w:szCs w:val="32"/>
          <w:lang w:val="en-US" w:eastAsia="zh-CN"/>
        </w:rPr>
        <w:t>1714.08</w:t>
      </w:r>
      <w:r>
        <w:rPr>
          <w:rFonts w:hint="eastAsia" w:ascii="仿宋" w:hAnsi="仿宋" w:eastAsia="仿宋" w:cs="仿宋"/>
          <w:sz w:val="32"/>
          <w:szCs w:val="32"/>
          <w:lang w:val="zh-CN"/>
        </w:rPr>
        <w:t>万元，占</w:t>
      </w:r>
      <w:r>
        <w:rPr>
          <w:rFonts w:hint="eastAsia" w:ascii="仿宋" w:hAnsi="仿宋" w:eastAsia="仿宋" w:cs="仿宋"/>
          <w:sz w:val="32"/>
          <w:szCs w:val="32"/>
          <w:lang w:val="en-US" w:eastAsia="zh-CN"/>
        </w:rPr>
        <w:t>84.62</w:t>
      </w:r>
      <w:r>
        <w:rPr>
          <w:rFonts w:hint="eastAsia" w:ascii="仿宋" w:hAnsi="仿宋" w:eastAsia="仿宋" w:cs="仿宋"/>
          <w:sz w:val="32"/>
          <w:szCs w:val="32"/>
          <w:lang w:val="zh-CN"/>
        </w:rPr>
        <w:t>%；农林水支出（类）</w:t>
      </w:r>
      <w:r>
        <w:rPr>
          <w:rFonts w:hint="eastAsia" w:ascii="仿宋" w:hAnsi="仿宋" w:eastAsia="仿宋" w:cs="仿宋"/>
          <w:sz w:val="32"/>
          <w:szCs w:val="32"/>
          <w:lang w:val="en-US" w:eastAsia="zh-CN"/>
        </w:rPr>
        <w:t>311.64</w:t>
      </w:r>
      <w:r>
        <w:rPr>
          <w:rFonts w:hint="eastAsia" w:ascii="仿宋" w:hAnsi="仿宋" w:eastAsia="仿宋" w:cs="仿宋"/>
          <w:sz w:val="32"/>
          <w:szCs w:val="32"/>
          <w:lang w:val="zh-CN"/>
        </w:rPr>
        <w:t>万元，占</w:t>
      </w:r>
      <w:r>
        <w:rPr>
          <w:rFonts w:hint="eastAsia" w:ascii="仿宋" w:hAnsi="仿宋" w:eastAsia="仿宋" w:cs="仿宋"/>
          <w:sz w:val="32"/>
          <w:szCs w:val="32"/>
          <w:lang w:val="en-US" w:eastAsia="zh-CN"/>
        </w:rPr>
        <w:t>15.38</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zh-CN"/>
        </w:rPr>
        <w:t>（三）</w:t>
      </w:r>
      <w:r>
        <w:rPr>
          <w:rFonts w:hint="eastAsia" w:ascii="仿宋" w:hAnsi="仿宋" w:eastAsia="仿宋" w:cs="仿宋"/>
          <w:color w:val="auto"/>
          <w:sz w:val="32"/>
          <w:szCs w:val="32"/>
          <w:highlight w:val="none"/>
          <w:lang w:val="en-US" w:eastAsia="zh-CN"/>
        </w:rPr>
        <w:t>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1．医疗卫生与计划生育支出（类）医疗卫生与计划生育管理事务（款）行政运行（项）。</w:t>
      </w:r>
      <w:r>
        <w:rPr>
          <w:rFonts w:hint="eastAsia" w:ascii="仿宋_GB2312" w:hAnsi="仿宋_GB2312" w:eastAsia="仿宋_GB2312" w:cs="仿宋_GB2312"/>
          <w:b w:val="0"/>
          <w:bCs w:val="0"/>
          <w:color w:val="auto"/>
          <w:sz w:val="32"/>
          <w:szCs w:val="32"/>
          <w:highlight w:val="none"/>
          <w:lang w:val="en-US" w:eastAsia="zh-CN"/>
        </w:rPr>
        <w:t>年初预算为254.36万元，</w:t>
      </w:r>
      <w:r>
        <w:rPr>
          <w:rFonts w:hint="eastAsia" w:ascii="仿宋_GB2312" w:hAnsi="仿宋_GB2312" w:eastAsia="仿宋_GB2312" w:cs="仿宋_GB2312"/>
          <w:color w:val="auto"/>
          <w:sz w:val="32"/>
          <w:szCs w:val="32"/>
          <w:highlight w:val="none"/>
          <w:lang w:val="en-US" w:eastAsia="zh-CN"/>
        </w:rPr>
        <w:t>支出决算为254.36万元，完成年初预算的100%。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2．医疗卫生与计划生育支出（类）公立医院（款）其他公立医院支出（项）。</w:t>
      </w:r>
      <w:r>
        <w:rPr>
          <w:rFonts w:hint="eastAsia" w:ascii="仿宋_GB2312" w:hAnsi="仿宋_GB2312" w:eastAsia="仿宋_GB2312" w:cs="仿宋_GB2312"/>
          <w:b w:val="0"/>
          <w:bCs w:val="0"/>
          <w:color w:val="auto"/>
          <w:sz w:val="32"/>
          <w:szCs w:val="32"/>
          <w:highlight w:val="none"/>
          <w:lang w:val="en-US" w:eastAsia="zh-CN"/>
        </w:rPr>
        <w:t>年初预算为9.51万元，</w:t>
      </w:r>
      <w:r>
        <w:rPr>
          <w:rFonts w:hint="eastAsia" w:ascii="仿宋_GB2312" w:hAnsi="仿宋_GB2312" w:eastAsia="仿宋_GB2312" w:cs="仿宋_GB2312"/>
          <w:color w:val="auto"/>
          <w:sz w:val="32"/>
          <w:szCs w:val="32"/>
          <w:highlight w:val="none"/>
          <w:lang w:val="en-US" w:eastAsia="zh-CN"/>
        </w:rPr>
        <w:t>支出决算为9.51万元，完成年初预算的100%。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 w:hAnsi="仿宋" w:eastAsia="仿宋" w:cs="仿宋"/>
          <w:sz w:val="30"/>
          <w:szCs w:val="30"/>
          <w:lang w:val="zh-CN"/>
        </w:rPr>
      </w:pPr>
      <w:r>
        <w:rPr>
          <w:rFonts w:hint="eastAsia" w:ascii="仿宋_GB2312" w:hAnsi="仿宋_GB2312" w:eastAsia="仿宋_GB2312" w:cs="仿宋_GB2312"/>
          <w:b/>
          <w:bCs/>
          <w:color w:val="auto"/>
          <w:sz w:val="32"/>
          <w:szCs w:val="32"/>
          <w:highlight w:val="none"/>
          <w:lang w:val="en-US" w:eastAsia="zh-CN"/>
        </w:rPr>
        <w:t>3．医疗卫生与计划生育支出（类）基层医疗卫生机构（款）其他基层医疗卫生机构支出（项）。</w:t>
      </w:r>
      <w:r>
        <w:rPr>
          <w:rFonts w:hint="eastAsia" w:ascii="仿宋_GB2312" w:hAnsi="仿宋_GB2312" w:eastAsia="仿宋_GB2312" w:cs="仿宋_GB2312"/>
          <w:b w:val="0"/>
          <w:bCs w:val="0"/>
          <w:color w:val="auto"/>
          <w:sz w:val="32"/>
          <w:szCs w:val="32"/>
          <w:highlight w:val="none"/>
          <w:lang w:val="en-US" w:eastAsia="zh-CN"/>
        </w:rPr>
        <w:t>年初预算为34.1万元，</w:t>
      </w:r>
      <w:r>
        <w:rPr>
          <w:rFonts w:hint="eastAsia" w:ascii="仿宋_GB2312" w:hAnsi="仿宋_GB2312" w:eastAsia="仿宋_GB2312" w:cs="仿宋_GB2312"/>
          <w:color w:val="auto"/>
          <w:sz w:val="32"/>
          <w:szCs w:val="32"/>
          <w:highlight w:val="none"/>
          <w:lang w:val="en-US" w:eastAsia="zh-CN"/>
        </w:rPr>
        <w:t>支出决算为30.1万元；完成年初预算88.26%。</w:t>
      </w:r>
      <w:r>
        <w:rPr>
          <w:rFonts w:hint="eastAsia" w:ascii="仿宋" w:hAnsi="仿宋" w:eastAsia="仿宋" w:cs="仿宋"/>
          <w:sz w:val="30"/>
          <w:szCs w:val="30"/>
          <w:lang w:val="zh-CN"/>
        </w:rPr>
        <w:t>决算数与年初预算数存在差异的主要原因是基层医疗卫生机构绩效未完成，经费未拨付。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4．医疗卫生与计划生育支出（类）公共卫生（款）重大公共卫生专项（项）。</w:t>
      </w:r>
      <w:r>
        <w:rPr>
          <w:rFonts w:hint="eastAsia" w:ascii="仿宋" w:hAnsi="仿宋" w:eastAsia="仿宋" w:cs="仿宋"/>
          <w:sz w:val="30"/>
          <w:szCs w:val="30"/>
          <w:lang w:val="en-US" w:eastAsia="zh-CN"/>
        </w:rPr>
        <w:t>年初预算为18.94万元，</w:t>
      </w:r>
      <w:r>
        <w:rPr>
          <w:rFonts w:hint="eastAsia" w:ascii="仿宋_GB2312" w:hAnsi="仿宋_GB2312" w:eastAsia="仿宋_GB2312" w:cs="仿宋_GB2312"/>
          <w:color w:val="auto"/>
          <w:sz w:val="32"/>
          <w:szCs w:val="32"/>
          <w:highlight w:val="none"/>
          <w:lang w:val="en-US" w:eastAsia="zh-CN"/>
        </w:rPr>
        <w:t>支出决算为18.94万元，完成年初预算的100%。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5．医疗卫生与计划生育支出（类）公共卫生（款）其他公共卫生支出（项）。</w:t>
      </w:r>
      <w:r>
        <w:rPr>
          <w:rFonts w:hint="eastAsia" w:ascii="仿宋" w:hAnsi="仿宋" w:eastAsia="仿宋" w:cs="仿宋"/>
          <w:sz w:val="30"/>
          <w:szCs w:val="30"/>
          <w:lang w:val="en-US" w:eastAsia="zh-CN"/>
        </w:rPr>
        <w:t>年初预算为10万元，</w:t>
      </w:r>
      <w:r>
        <w:rPr>
          <w:rFonts w:hint="eastAsia" w:ascii="仿宋_GB2312" w:hAnsi="仿宋_GB2312" w:eastAsia="仿宋_GB2312" w:cs="仿宋_GB2312"/>
          <w:color w:val="auto"/>
          <w:sz w:val="32"/>
          <w:szCs w:val="32"/>
          <w:highlight w:val="none"/>
          <w:lang w:val="en-US" w:eastAsia="zh-CN"/>
        </w:rPr>
        <w:t>支出决算为10万元，完成年初预算的100%。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6．医疗卫生与计划生育支出（类）计划生育事务（款）计划生育机构（项）。</w:t>
      </w:r>
      <w:r>
        <w:rPr>
          <w:rFonts w:hint="eastAsia" w:ascii="仿宋" w:hAnsi="仿宋" w:eastAsia="仿宋" w:cs="仿宋"/>
          <w:sz w:val="30"/>
          <w:szCs w:val="30"/>
          <w:lang w:val="en-US" w:eastAsia="zh-CN"/>
        </w:rPr>
        <w:t>年初预算为11.8万元，</w:t>
      </w:r>
      <w:r>
        <w:rPr>
          <w:rFonts w:hint="eastAsia" w:ascii="仿宋_GB2312" w:hAnsi="仿宋_GB2312" w:eastAsia="仿宋_GB2312" w:cs="仿宋_GB2312"/>
          <w:color w:val="auto"/>
          <w:sz w:val="32"/>
          <w:szCs w:val="32"/>
          <w:highlight w:val="none"/>
          <w:lang w:val="en-US" w:eastAsia="zh-CN"/>
        </w:rPr>
        <w:t>支出决算为11.8万元，完成年初预算的100%。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7．医疗卫生与计划生育支出（类）计划生育事务（款）计划生育服务（项）。</w:t>
      </w:r>
      <w:r>
        <w:rPr>
          <w:rFonts w:hint="eastAsia" w:ascii="仿宋" w:hAnsi="仿宋" w:eastAsia="仿宋" w:cs="仿宋"/>
          <w:sz w:val="30"/>
          <w:szCs w:val="30"/>
          <w:lang w:val="en-US" w:eastAsia="zh-CN"/>
        </w:rPr>
        <w:t>年初预算为1379.37万元，</w:t>
      </w:r>
      <w:r>
        <w:rPr>
          <w:rFonts w:hint="eastAsia" w:ascii="仿宋_GB2312" w:hAnsi="仿宋_GB2312" w:eastAsia="仿宋_GB2312" w:cs="仿宋_GB2312"/>
          <w:color w:val="auto"/>
          <w:sz w:val="32"/>
          <w:szCs w:val="32"/>
          <w:highlight w:val="none"/>
          <w:lang w:val="en-US" w:eastAsia="zh-CN"/>
        </w:rPr>
        <w:t>支出决算为1379.37万元，完成年初预算的100%。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8．农林水支出（类）农业（款）其他农业支出（项）。</w:t>
      </w:r>
      <w:r>
        <w:rPr>
          <w:rFonts w:hint="eastAsia" w:ascii="仿宋" w:hAnsi="仿宋" w:eastAsia="仿宋" w:cs="仿宋"/>
          <w:sz w:val="30"/>
          <w:szCs w:val="30"/>
          <w:lang w:val="en-US" w:eastAsia="zh-CN"/>
        </w:rPr>
        <w:t>年初预算为42万元，</w:t>
      </w:r>
      <w:r>
        <w:rPr>
          <w:rFonts w:hint="eastAsia" w:ascii="仿宋_GB2312" w:hAnsi="仿宋_GB2312" w:eastAsia="仿宋_GB2312" w:cs="仿宋_GB2312"/>
          <w:color w:val="auto"/>
          <w:sz w:val="32"/>
          <w:szCs w:val="32"/>
          <w:highlight w:val="none"/>
          <w:lang w:val="en-US" w:eastAsia="zh-CN"/>
        </w:rPr>
        <w:t>支出决算为42万元，完成年初预算的100%。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9．农林水支出（类）扶贫（款）社会发展（项）。</w:t>
      </w:r>
      <w:r>
        <w:rPr>
          <w:rFonts w:hint="eastAsia" w:ascii="仿宋" w:hAnsi="仿宋" w:eastAsia="仿宋" w:cs="仿宋"/>
          <w:sz w:val="30"/>
          <w:szCs w:val="30"/>
          <w:lang w:val="en-US" w:eastAsia="zh-CN"/>
        </w:rPr>
        <w:t>年初预算为269.96万元，</w:t>
      </w:r>
      <w:r>
        <w:rPr>
          <w:rFonts w:hint="eastAsia" w:ascii="仿宋_GB2312" w:hAnsi="仿宋_GB2312" w:eastAsia="仿宋_GB2312" w:cs="仿宋_GB2312"/>
          <w:color w:val="auto"/>
          <w:sz w:val="32"/>
          <w:szCs w:val="32"/>
          <w:highlight w:val="none"/>
          <w:lang w:val="en-US" w:eastAsia="zh-CN"/>
        </w:rPr>
        <w:t>支出决算为269.64万元，完成年初预算的99.88%。</w:t>
      </w:r>
      <w:r>
        <w:rPr>
          <w:rFonts w:hint="eastAsia" w:ascii="仿宋" w:hAnsi="仿宋" w:eastAsia="仿宋" w:cs="仿宋"/>
          <w:sz w:val="30"/>
          <w:szCs w:val="30"/>
          <w:lang w:val="zh-CN"/>
        </w:rPr>
        <w:t>决算数与年初预算数存在差异的主要原因是卫生室建设评审核减费用。</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2018年度一般公共预算财政拨款基本支出586.16万元。与2017年度一般公共预算财政拨款基本支出596.38万元相比，减少10.22万元，下降1%。减少主要原因：公用经费减少。具体情况如下：</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工资福利支出235.19万元，主要包括：基本工资、津贴补贴、伙食补助费、基本养老保险缴费、职业年金缴费、住房公积金。</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对个人和家庭的补助支出3.82万元，主要是退休人员费用。</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公用经费347.15万元，主要包括：办公费、印刷费、水费、电费、邮电费、取暖费、差旅费、维修（护）费、会议费、公务接待费、劳务费、委托业务费、工会经费、公务用车运行维护费等。</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zh-CN"/>
        </w:rPr>
        <w:t>（一）“三公”经费财政拨款支出决算总体情况说明：</w:t>
      </w:r>
    </w:p>
    <w:p>
      <w:pPr>
        <w:spacing w:beforeLines="0" w:afterLines="0"/>
        <w:ind w:firstLine="640" w:firstLineChars="200"/>
        <w:jc w:val="left"/>
        <w:rPr>
          <w:rFonts w:hint="eastAsia" w:ascii="仿宋" w:hAnsi="仿宋" w:eastAsia="仿宋" w:cs="仿宋"/>
          <w:sz w:val="32"/>
          <w:szCs w:val="32"/>
          <w:lang w:val="zh-CN"/>
        </w:rPr>
      </w:pPr>
      <w:r>
        <w:rPr>
          <w:rFonts w:hint="eastAsia" w:ascii="仿宋_GB2312" w:hAnsi="仿宋_GB2312" w:eastAsia="仿宋_GB2312" w:cs="仿宋_GB2312"/>
          <w:color w:val="auto"/>
          <w:sz w:val="32"/>
          <w:szCs w:val="32"/>
          <w:highlight w:val="none"/>
          <w:lang w:val="en-US" w:eastAsia="zh-CN"/>
        </w:rPr>
        <w:t>2018年度“三公”经费财政拨款支出预算为8万元，支出决算为7.3万元，完成预算的91.25%。</w:t>
      </w:r>
      <w:r>
        <w:rPr>
          <w:rFonts w:hint="eastAsia" w:ascii="仿宋" w:hAnsi="仿宋" w:eastAsia="仿宋" w:cs="仿宋"/>
          <w:sz w:val="32"/>
          <w:szCs w:val="32"/>
          <w:lang w:val="zh-CN"/>
        </w:rPr>
        <w:t>2018年度“三公”经费支出决算数与预算数存在差异的主要原因是加强公务用车管理，压缩公务接待费用支出。</w:t>
      </w:r>
    </w:p>
    <w:p>
      <w:pPr>
        <w:numPr>
          <w:ilvl w:val="0"/>
          <w:numId w:val="0"/>
        </w:numPr>
        <w:spacing w:beforeLines="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（二）“三公”经费财政拨款支出决算具体情况说明：</w:t>
      </w:r>
    </w:p>
    <w:p>
      <w:pPr>
        <w:numPr>
          <w:ilvl w:val="0"/>
          <w:numId w:val="0"/>
        </w:numPr>
        <w:spacing w:beforeLines="0" w:afterLines="0"/>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lang w:val="zh-CN"/>
        </w:rPr>
        <w:t>2018年度“三公”经费财政拨款支出决算中，因公出国（境）费支出决算0万元，完成预算的0%，占0%；公务用车购置及运行费支出决算</w:t>
      </w:r>
      <w:r>
        <w:rPr>
          <w:rFonts w:hint="eastAsia" w:ascii="仿宋" w:hAnsi="仿宋" w:eastAsia="仿宋" w:cs="仿宋"/>
          <w:sz w:val="32"/>
          <w:szCs w:val="32"/>
          <w:lang w:val="en-US" w:eastAsia="zh-CN"/>
        </w:rPr>
        <w:t>4.75</w:t>
      </w:r>
      <w:r>
        <w:rPr>
          <w:rFonts w:hint="eastAsia" w:ascii="仿宋" w:hAnsi="仿宋" w:eastAsia="仿宋" w:cs="仿宋"/>
          <w:sz w:val="32"/>
          <w:szCs w:val="32"/>
          <w:lang w:val="zh-CN"/>
        </w:rPr>
        <w:t>万元，完成年初预算的</w:t>
      </w:r>
      <w:r>
        <w:rPr>
          <w:rFonts w:hint="eastAsia" w:ascii="仿宋" w:hAnsi="仿宋" w:eastAsia="仿宋" w:cs="仿宋"/>
          <w:sz w:val="32"/>
          <w:szCs w:val="32"/>
          <w:lang w:val="en-US" w:eastAsia="zh-CN"/>
        </w:rPr>
        <w:t>95</w:t>
      </w:r>
      <w:r>
        <w:rPr>
          <w:rFonts w:hint="eastAsia" w:ascii="仿宋" w:hAnsi="仿宋" w:eastAsia="仿宋" w:cs="仿宋"/>
          <w:sz w:val="32"/>
          <w:szCs w:val="32"/>
          <w:lang w:val="zh-CN"/>
        </w:rPr>
        <w:t>%，占</w:t>
      </w:r>
      <w:r>
        <w:rPr>
          <w:rFonts w:hint="eastAsia" w:ascii="仿宋" w:hAnsi="仿宋" w:eastAsia="仿宋" w:cs="仿宋"/>
          <w:sz w:val="32"/>
          <w:szCs w:val="32"/>
          <w:lang w:val="en-US" w:eastAsia="zh-CN"/>
        </w:rPr>
        <w:t>65</w:t>
      </w:r>
      <w:r>
        <w:rPr>
          <w:rFonts w:hint="eastAsia" w:ascii="仿宋" w:hAnsi="仿宋" w:eastAsia="仿宋" w:cs="仿宋"/>
          <w:sz w:val="32"/>
          <w:szCs w:val="32"/>
          <w:lang w:val="zh-CN"/>
        </w:rPr>
        <w:t>%；公务接待费支出决算</w:t>
      </w:r>
      <w:r>
        <w:rPr>
          <w:rFonts w:hint="eastAsia" w:ascii="仿宋" w:hAnsi="仿宋" w:eastAsia="仿宋" w:cs="仿宋"/>
          <w:sz w:val="32"/>
          <w:szCs w:val="32"/>
          <w:lang w:val="en-US" w:eastAsia="zh-CN"/>
        </w:rPr>
        <w:t>2.55</w:t>
      </w:r>
      <w:r>
        <w:rPr>
          <w:rFonts w:hint="eastAsia" w:ascii="仿宋" w:hAnsi="仿宋" w:eastAsia="仿宋" w:cs="仿宋"/>
          <w:sz w:val="32"/>
          <w:szCs w:val="32"/>
          <w:lang w:val="zh-CN"/>
        </w:rPr>
        <w:t>万元，完成年初预算的</w:t>
      </w:r>
      <w:r>
        <w:rPr>
          <w:rFonts w:hint="eastAsia" w:ascii="仿宋" w:hAnsi="仿宋" w:eastAsia="仿宋" w:cs="仿宋"/>
          <w:sz w:val="32"/>
          <w:szCs w:val="32"/>
          <w:lang w:val="en-US" w:eastAsia="zh-CN"/>
        </w:rPr>
        <w:t>85</w:t>
      </w:r>
      <w:r>
        <w:rPr>
          <w:rFonts w:hint="eastAsia" w:ascii="仿宋" w:hAnsi="仿宋" w:eastAsia="仿宋" w:cs="仿宋"/>
          <w:sz w:val="32"/>
          <w:szCs w:val="32"/>
          <w:lang w:val="zh-CN"/>
        </w:rPr>
        <w:t>%，占</w:t>
      </w:r>
      <w:r>
        <w:rPr>
          <w:rFonts w:hint="eastAsia" w:ascii="仿宋" w:hAnsi="仿宋" w:eastAsia="仿宋" w:cs="仿宋"/>
          <w:sz w:val="32"/>
          <w:szCs w:val="32"/>
          <w:lang w:val="en-US" w:eastAsia="zh-CN"/>
        </w:rPr>
        <w:t>35</w:t>
      </w:r>
      <w:r>
        <w:rPr>
          <w:rFonts w:hint="eastAsia" w:ascii="仿宋" w:hAnsi="仿宋" w:eastAsia="仿宋" w:cs="仿宋"/>
          <w:sz w:val="32"/>
          <w:szCs w:val="32"/>
          <w:lang w:val="zh-CN"/>
        </w:rPr>
        <w:t>%。</w:t>
      </w:r>
      <w:r>
        <w:rPr>
          <w:rFonts w:hint="eastAsia" w:ascii="仿宋_GB2312" w:hAnsi="仿宋_GB2312" w:eastAsia="仿宋_GB2312" w:cs="仿宋_GB2312"/>
          <w:color w:val="auto"/>
          <w:sz w:val="32"/>
          <w:szCs w:val="32"/>
          <w:highlight w:val="none"/>
          <w:lang w:val="en-US" w:eastAsia="zh-CN"/>
        </w:rPr>
        <w:t>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zh-CN"/>
        </w:rPr>
        <w:t>因公出国（境）费年初预算为0万元，支出决算为0万元，完成年初预算的0%。全年因公出国（境）团组0个，累计0人次。</w:t>
      </w:r>
    </w:p>
    <w:p>
      <w:pPr>
        <w:topLinePunct/>
        <w:ind w:firstLine="640" w:firstLineChars="200"/>
        <w:jc w:val="left"/>
        <w:rPr>
          <w:rFonts w:hint="eastAsia" w:ascii="仿宋" w:hAnsi="仿宋" w:eastAsia="仿宋" w:cs="仿宋"/>
          <w:sz w:val="32"/>
          <w:szCs w:val="32"/>
          <w:lang w:val="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sz w:val="32"/>
          <w:szCs w:val="32"/>
          <w:lang w:val="zh-CN"/>
        </w:rPr>
        <w:t>公务用车购置及运行费初预算为</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万元，支出决算为0</w:t>
      </w:r>
      <w:r>
        <w:rPr>
          <w:rFonts w:hint="eastAsia" w:ascii="仿宋" w:hAnsi="仿宋" w:eastAsia="仿宋" w:cs="仿宋"/>
          <w:sz w:val="32"/>
          <w:szCs w:val="32"/>
          <w:lang w:val="en-US" w:eastAsia="zh-CN"/>
        </w:rPr>
        <w:t>4.75</w:t>
      </w:r>
      <w:r>
        <w:rPr>
          <w:rFonts w:hint="eastAsia" w:ascii="仿宋" w:hAnsi="仿宋" w:eastAsia="仿宋" w:cs="仿宋"/>
          <w:sz w:val="32"/>
          <w:szCs w:val="32"/>
          <w:lang w:val="zh-CN"/>
        </w:rPr>
        <w:t>万元，完成年初预算的</w:t>
      </w:r>
      <w:r>
        <w:rPr>
          <w:rFonts w:hint="eastAsia" w:ascii="仿宋" w:hAnsi="仿宋" w:eastAsia="仿宋" w:cs="仿宋"/>
          <w:sz w:val="32"/>
          <w:szCs w:val="32"/>
          <w:lang w:val="en-US" w:eastAsia="zh-CN"/>
        </w:rPr>
        <w:t>95</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lang w:val="zh-CN"/>
        </w:rPr>
        <w:t>其中：公务用车购置支出为0万元，购置车辆0辆。公务用车运行支出</w:t>
      </w:r>
      <w:r>
        <w:rPr>
          <w:rFonts w:hint="eastAsia" w:ascii="仿宋" w:hAnsi="仿宋" w:eastAsia="仿宋" w:cs="仿宋"/>
          <w:sz w:val="32"/>
          <w:szCs w:val="32"/>
          <w:lang w:val="en-US" w:eastAsia="zh-CN"/>
        </w:rPr>
        <w:t>4.75</w:t>
      </w:r>
      <w:r>
        <w:rPr>
          <w:rFonts w:hint="eastAsia" w:ascii="仿宋" w:hAnsi="仿宋" w:eastAsia="仿宋" w:cs="仿宋"/>
          <w:sz w:val="32"/>
          <w:szCs w:val="32"/>
          <w:lang w:val="zh-CN"/>
        </w:rPr>
        <w:t>万元。</w:t>
      </w:r>
      <w:r>
        <w:rPr>
          <w:rFonts w:hint="eastAsia" w:ascii="仿宋_GB2312" w:hAnsi="仿宋_GB2312" w:eastAsia="仿宋_GB2312" w:cs="仿宋_GB2312"/>
          <w:color w:val="auto"/>
          <w:sz w:val="32"/>
          <w:szCs w:val="32"/>
          <w:highlight w:val="none"/>
          <w:lang w:val="en-US" w:eastAsia="zh-CN"/>
        </w:rPr>
        <w:t>比2017年支出5.85万元减少1.1万元，原因是加强公务用车管理，减少不必要的用车。</w:t>
      </w:r>
    </w:p>
    <w:p>
      <w:pPr>
        <w:topLinePun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lang w:val="zh-CN"/>
        </w:rPr>
        <w:t>2018年期末，部门开支财政拨款的公务用车保有量为</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3.国内公务接待费支出情况：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lang w:val="zh-CN"/>
        </w:rPr>
      </w:pPr>
      <w:r>
        <w:rPr>
          <w:rFonts w:hint="eastAsia" w:ascii="仿宋_GB2312" w:hAnsi="仿宋_GB2312" w:eastAsia="仿宋_GB2312" w:cs="仿宋_GB2312"/>
          <w:color w:val="auto"/>
          <w:sz w:val="32"/>
          <w:szCs w:val="32"/>
          <w:highlight w:val="none"/>
          <w:lang w:val="en-US" w:eastAsia="zh-CN"/>
        </w:rPr>
        <w:t>2018年公务接待费支出预算3万元，支出决算2.55万元，</w:t>
      </w:r>
      <w:r>
        <w:rPr>
          <w:rFonts w:hint="eastAsia" w:ascii="仿宋" w:hAnsi="仿宋" w:eastAsia="仿宋" w:cs="仿宋"/>
          <w:sz w:val="32"/>
          <w:szCs w:val="32"/>
          <w:lang w:val="zh-CN"/>
        </w:rPr>
        <w:t>完成年初预算的</w:t>
      </w:r>
      <w:r>
        <w:rPr>
          <w:rFonts w:hint="eastAsia" w:ascii="仿宋" w:hAnsi="仿宋" w:eastAsia="仿宋" w:cs="仿宋"/>
          <w:sz w:val="32"/>
          <w:szCs w:val="32"/>
          <w:lang w:val="en-US" w:eastAsia="zh-CN"/>
        </w:rPr>
        <w:t>85</w:t>
      </w:r>
      <w:r>
        <w:rPr>
          <w:rFonts w:hint="eastAsia" w:ascii="仿宋" w:hAnsi="仿宋" w:eastAsia="仿宋" w:cs="仿宋"/>
          <w:sz w:val="32"/>
          <w:szCs w:val="32"/>
          <w:lang w:val="zh-CN"/>
        </w:rPr>
        <w:t>%。决算数与年初预算数存在差异的主要原因是根据中央八项规定，本单位在招待方面一切从简，一般单位来人接待都在单位吃公务餐，所以预算和决算有差异。</w:t>
      </w:r>
    </w:p>
    <w:p>
      <w:pPr>
        <w:widowControl/>
        <w:spacing w:line="590" w:lineRule="exact"/>
        <w:ind w:firstLine="640" w:firstLineChars="200"/>
        <w:rPr>
          <w:rFonts w:hint="eastAsia" w:ascii="仿宋" w:hAnsi="仿宋" w:eastAsia="仿宋_GB2312" w:cs="仿宋"/>
          <w:sz w:val="32"/>
          <w:szCs w:val="32"/>
          <w:lang w:val="zh-CN" w:eastAsia="zh-CN"/>
        </w:rPr>
      </w:pPr>
      <w:r>
        <w:rPr>
          <w:rFonts w:hint="eastAsia" w:ascii="仿宋" w:hAnsi="仿宋" w:eastAsia="仿宋" w:cs="仿宋"/>
          <w:sz w:val="32"/>
          <w:szCs w:val="32"/>
          <w:lang w:val="en-US" w:eastAsia="zh-CN"/>
        </w:rPr>
        <w:t>2018年国内</w:t>
      </w:r>
      <w:r>
        <w:rPr>
          <w:rFonts w:hint="eastAsia" w:ascii="仿宋_GB2312" w:hAnsi="仿宋_GB2312" w:eastAsia="仿宋_GB2312" w:cs="仿宋_GB2312"/>
          <w:color w:val="auto"/>
          <w:sz w:val="32"/>
          <w:szCs w:val="32"/>
          <w:highlight w:val="none"/>
          <w:lang w:val="en-US" w:eastAsia="zh-CN"/>
        </w:rPr>
        <w:t>公务接待2.55万元，主要用于卫生计生事务公务来往接待。2018年</w:t>
      </w:r>
      <w:r>
        <w:rPr>
          <w:rFonts w:hint="eastAsia" w:ascii="仿宋_GB2312" w:hAnsi="仿宋_GB2312" w:eastAsia="仿宋_GB2312" w:cs="仿宋_GB2312"/>
          <w:sz w:val="32"/>
          <w:szCs w:val="32"/>
        </w:rPr>
        <w:t>共接待国内来访</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color w:val="auto"/>
          <w:sz w:val="32"/>
          <w:szCs w:val="32"/>
          <w:highlight w:val="none"/>
          <w:lang w:val="en-US" w:eastAsia="zh-CN"/>
        </w:rPr>
        <w:t>26个，共248人次</w:t>
      </w:r>
      <w:r>
        <w:rPr>
          <w:rFonts w:hint="eastAsia" w:ascii="仿宋_GB2312" w:hAnsi="仿宋_GB2312" w:eastAsia="仿宋_GB2312" w:cs="仿宋_GB2312"/>
          <w:sz w:val="32"/>
          <w:szCs w:val="32"/>
        </w:rPr>
        <w:t>（不包括陪同人员</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2018年公务接待费比2017年减少0.45万元，下降15%。减少的主要原因是根据</w:t>
      </w:r>
      <w:r>
        <w:rPr>
          <w:rFonts w:hint="eastAsia" w:ascii="仿宋" w:hAnsi="仿宋" w:eastAsia="仿宋" w:cs="仿宋"/>
          <w:sz w:val="32"/>
          <w:szCs w:val="32"/>
          <w:lang w:val="zh-CN"/>
        </w:rPr>
        <w:t>中央八项规定，我单位在招待方面一切从简，来访单位人员接待都在单位吃公务餐，所以</w:t>
      </w:r>
      <w:r>
        <w:rPr>
          <w:rFonts w:hint="eastAsia" w:ascii="仿宋" w:hAnsi="仿宋" w:eastAsia="仿宋" w:cs="仿宋"/>
          <w:sz w:val="32"/>
          <w:szCs w:val="32"/>
          <w:lang w:val="en-US" w:eastAsia="zh-CN"/>
        </w:rPr>
        <w:t>2018年公务接待费用减少。</w:t>
      </w:r>
    </w:p>
    <w:p>
      <w:pPr>
        <w:topLinePun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lang w:val="zh-CN"/>
        </w:rPr>
        <w:t>国（境）外接待情况：外宾接待支出0万元。2018年共接待国（境）外来访团组0个、来访外宾0人次（不包括陪同人员）。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八、预算绩效完成情况说明</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1、绩效管理工作开展情况：</w:t>
      </w:r>
      <w:r>
        <w:rPr>
          <w:rFonts w:hint="eastAsia" w:ascii="仿宋" w:hAnsi="仿宋" w:eastAsia="仿宋" w:cs="仿宋"/>
          <w:color w:val="auto"/>
          <w:sz w:val="32"/>
          <w:szCs w:val="32"/>
        </w:rPr>
        <w:t>以绩效目标实现为导向，进一步加强制度建设，提升自评质量，预算绩效管理取得</w:t>
      </w:r>
      <w:r>
        <w:rPr>
          <w:rFonts w:hint="eastAsia" w:ascii="仿宋" w:hAnsi="仿宋" w:eastAsia="仿宋" w:cs="仿宋"/>
          <w:color w:val="auto"/>
          <w:sz w:val="32"/>
          <w:szCs w:val="32"/>
          <w:lang w:eastAsia="zh-CN"/>
        </w:rPr>
        <w:t>一定</w:t>
      </w:r>
      <w:r>
        <w:rPr>
          <w:rFonts w:hint="eastAsia" w:ascii="仿宋" w:hAnsi="仿宋" w:eastAsia="仿宋" w:cs="仿宋"/>
          <w:color w:val="auto"/>
          <w:sz w:val="32"/>
          <w:szCs w:val="32"/>
        </w:rPr>
        <w:t>成</w:t>
      </w:r>
      <w:r>
        <w:rPr>
          <w:rFonts w:hint="eastAsia" w:ascii="仿宋" w:hAnsi="仿宋" w:eastAsia="仿宋" w:cs="仿宋"/>
          <w:color w:val="auto"/>
          <w:sz w:val="32"/>
          <w:szCs w:val="32"/>
          <w:lang w:eastAsia="zh-CN"/>
        </w:rPr>
        <w:t>成效。一是</w:t>
      </w:r>
      <w:r>
        <w:rPr>
          <w:rFonts w:hint="eastAsia" w:ascii="仿宋" w:hAnsi="仿宋" w:eastAsia="仿宋" w:cs="仿宋"/>
          <w:color w:val="auto"/>
          <w:sz w:val="32"/>
          <w:szCs w:val="32"/>
        </w:rPr>
        <w:t>抓好绩效目标编制，及时报送绩效目标。</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开展绩效跟踪监控，加强过程监控。</w:t>
      </w:r>
      <w:r>
        <w:rPr>
          <w:rFonts w:hint="eastAsia" w:ascii="仿宋" w:hAnsi="仿宋" w:eastAsia="仿宋" w:cs="仿宋"/>
          <w:color w:val="auto"/>
          <w:sz w:val="32"/>
          <w:szCs w:val="32"/>
          <w:lang w:eastAsia="zh-CN"/>
        </w:rPr>
        <w:t>三是</w:t>
      </w:r>
      <w:r>
        <w:rPr>
          <w:rFonts w:hint="eastAsia" w:ascii="仿宋" w:hAnsi="仿宋" w:eastAsia="仿宋" w:cs="仿宋"/>
          <w:color w:val="auto"/>
          <w:sz w:val="32"/>
          <w:szCs w:val="32"/>
        </w:rPr>
        <w:t>深入开展财政预算支出绩效评价，对专项资金实施绩效自评和项目核查，在此基础上形成自评报告。</w:t>
      </w:r>
      <w:r>
        <w:rPr>
          <w:rFonts w:hint="eastAsia" w:ascii="仿宋" w:hAnsi="仿宋" w:eastAsia="仿宋" w:cs="仿宋"/>
          <w:color w:val="auto"/>
          <w:sz w:val="32"/>
          <w:szCs w:val="32"/>
          <w:lang w:eastAsia="zh-CN"/>
        </w:rPr>
        <w:t>四是</w:t>
      </w:r>
      <w:r>
        <w:rPr>
          <w:rFonts w:hint="eastAsia" w:ascii="仿宋" w:hAnsi="仿宋" w:eastAsia="仿宋" w:cs="仿宋"/>
          <w:color w:val="auto"/>
          <w:sz w:val="32"/>
          <w:szCs w:val="32"/>
        </w:rPr>
        <w:t>健全绩效管理工作机制，明确职责分工，努力提高绩效管理工作水平。</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2、项目绩效自评结果：</w:t>
      </w:r>
      <w:r>
        <w:rPr>
          <w:rFonts w:ascii="仿宋" w:hAnsi="仿宋" w:eastAsia="仿宋" w:cs="仿宋"/>
          <w:b w:val="0"/>
          <w:i w:val="0"/>
          <w:caps w:val="0"/>
          <w:color w:val="000000"/>
          <w:spacing w:val="0"/>
          <w:sz w:val="32"/>
          <w:szCs w:val="32"/>
          <w:shd w:val="clear" w:fill="FFFFFF"/>
        </w:rPr>
        <w:t>我</w:t>
      </w:r>
      <w:r>
        <w:rPr>
          <w:rFonts w:hint="eastAsia" w:ascii="仿宋" w:hAnsi="仿宋" w:eastAsia="仿宋" w:cs="仿宋"/>
          <w:b w:val="0"/>
          <w:i w:val="0"/>
          <w:caps w:val="0"/>
          <w:color w:val="000000"/>
          <w:spacing w:val="0"/>
          <w:sz w:val="32"/>
          <w:szCs w:val="32"/>
          <w:shd w:val="clear" w:fill="FFFFFF"/>
          <w:lang w:eastAsia="zh-CN"/>
        </w:rPr>
        <w:t>部门</w:t>
      </w:r>
      <w:r>
        <w:rPr>
          <w:rFonts w:ascii="仿宋" w:hAnsi="仿宋" w:eastAsia="仿宋" w:cs="仿宋"/>
          <w:b w:val="0"/>
          <w:i w:val="0"/>
          <w:caps w:val="0"/>
          <w:color w:val="000000"/>
          <w:spacing w:val="0"/>
          <w:sz w:val="32"/>
          <w:szCs w:val="32"/>
          <w:shd w:val="clear" w:fill="FFFFFF"/>
        </w:rPr>
        <w:t>定期对项目实施情况和</w:t>
      </w:r>
      <w:r>
        <w:rPr>
          <w:rFonts w:hint="eastAsia" w:ascii="仿宋" w:hAnsi="仿宋" w:eastAsia="仿宋" w:cs="仿宋"/>
          <w:b w:val="0"/>
          <w:i w:val="0"/>
          <w:caps w:val="0"/>
          <w:color w:val="000000"/>
          <w:spacing w:val="0"/>
          <w:sz w:val="32"/>
          <w:szCs w:val="32"/>
          <w:shd w:val="clear" w:fill="FFFFFF"/>
          <w:lang w:eastAsia="zh-CN"/>
        </w:rPr>
        <w:t>经</w:t>
      </w:r>
      <w:r>
        <w:rPr>
          <w:rFonts w:ascii="仿宋" w:hAnsi="仿宋" w:eastAsia="仿宋" w:cs="仿宋"/>
          <w:b w:val="0"/>
          <w:i w:val="0"/>
          <w:caps w:val="0"/>
          <w:color w:val="000000"/>
          <w:spacing w:val="0"/>
          <w:sz w:val="32"/>
          <w:szCs w:val="32"/>
          <w:shd w:val="clear" w:fill="FFFFFF"/>
        </w:rPr>
        <w:t>费使用情况进行跟踪检查，对能实现预期绩效目标的项目予以充分肯定，对进展缓慢，预期绩效目标较差的项目，及时进行协调和提出整改措施，确保项目实施工作正常运行，达到预期绩效目标。</w:t>
      </w:r>
      <w:r>
        <w:rPr>
          <w:rFonts w:hint="eastAsia" w:ascii="仿宋" w:hAnsi="仿宋" w:eastAsia="仿宋" w:cs="仿宋"/>
          <w:b w:val="0"/>
          <w:i w:val="0"/>
          <w:caps w:val="0"/>
          <w:color w:val="000000"/>
          <w:spacing w:val="0"/>
          <w:sz w:val="32"/>
          <w:szCs w:val="32"/>
          <w:shd w:val="clear" w:fill="FFFFFF"/>
          <w:lang w:eastAsia="zh-CN"/>
        </w:rPr>
        <w:t>全部</w:t>
      </w:r>
      <w:r>
        <w:rPr>
          <w:rFonts w:ascii="仿宋" w:hAnsi="仿宋" w:eastAsia="仿宋" w:cs="仿宋"/>
          <w:b w:val="0"/>
          <w:i w:val="0"/>
          <w:caps w:val="0"/>
          <w:color w:val="000000"/>
          <w:spacing w:val="0"/>
          <w:sz w:val="32"/>
          <w:szCs w:val="32"/>
          <w:shd w:val="clear" w:fill="FFFFFF"/>
        </w:rPr>
        <w:t>项目的运行完全按照我单位内部管理制度、县委县政府及财政的有关规定执行。</w:t>
      </w:r>
      <w:r>
        <w:rPr>
          <w:rFonts w:hint="eastAsia" w:ascii="仿宋" w:hAnsi="仿宋" w:eastAsia="仿宋" w:cs="仿宋"/>
          <w:b w:val="0"/>
          <w:i w:val="0"/>
          <w:caps w:val="0"/>
          <w:color w:val="000000"/>
          <w:spacing w:val="0"/>
          <w:sz w:val="32"/>
          <w:szCs w:val="32"/>
          <w:shd w:val="clear" w:fill="FFFFFF"/>
        </w:rPr>
        <w:t>单位内部不定期进行抽查，严格人员作风，不存在违规违法的问题。各个项目资金使用与具体项目实施内容相符，绩效总目标和阶段性目标都已按照计划完成。</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2018年度政府性基金预算财政拨款支出年初预算为0万元。</w:t>
      </w:r>
      <w:bookmarkStart w:id="0" w:name="_GoBack"/>
      <w:bookmarkEnd w:id="0"/>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254.36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254.36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2018年度机关运行经费支出254.36万元，较2017年度252.59万元增加1.77万元，主要为办公费用增加。</w:t>
      </w:r>
    </w:p>
    <w:p>
      <w:pPr>
        <w:spacing w:beforeLines="0" w:afterLines="0"/>
        <w:jc w:val="left"/>
        <w:rPr>
          <w:rFonts w:hint="eastAsia" w:ascii="黑体" w:hAnsi="黑体" w:eastAsia="黑体" w:cs="黑体"/>
          <w:sz w:val="32"/>
          <w:szCs w:val="32"/>
          <w:lang w:val="zh-CN"/>
        </w:rPr>
      </w:pPr>
      <w:r>
        <w:rPr>
          <w:rFonts w:hint="eastAsia" w:ascii="黑体" w:hAnsi="黑体" w:eastAsia="黑体" w:cs="黑体"/>
          <w:sz w:val="32"/>
          <w:szCs w:val="32"/>
          <w:lang w:val="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2018年度政府采购支出总额0万元。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期末，栾川县卫计委固定资产总值421.57万元。其中房屋价值55.25万元；办公车辆2辆，价值30.53万元；其他通用设备和家具335.78万元。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ind w:firstLine="1760" w:firstLineChars="4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第四部分  名词解释</w:t>
      </w:r>
    </w:p>
    <w:p>
      <w:pPr>
        <w:ind w:firstLine="1760" w:firstLineChars="400"/>
        <w:rPr>
          <w:rFonts w:hint="default" w:ascii="黑体" w:hAnsi="黑体" w:eastAsia="黑体" w:cs="黑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单位从同级政府财政部门取得的各类财政拨款。</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六、其他收入：单位取得的除“财政拨款收入”、“事业收入”、“上级补助收入”、“附属单位上缴收入”、“经营收入”等以外的收入。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仿宋_GB2312" w:eastAsia="黑体"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numPr>
          <w:ilvl w:val="0"/>
          <w:numId w:val="0"/>
        </w:numPr>
        <w:jc w:val="both"/>
        <w:rPr>
          <w:rFonts w:hint="default" w:ascii="黑体" w:hAnsi="黑体" w:eastAsia="黑体" w:cs="黑体"/>
          <w:color w:val="auto"/>
          <w:sz w:val="44"/>
          <w:szCs w:val="44"/>
          <w:highlight w:val="none"/>
          <w:lang w:val="en-US" w:eastAsia="zh-CN"/>
        </w:rPr>
      </w:pPr>
    </w:p>
    <w:sectPr>
      <w:pgSz w:w="11906" w:h="16838"/>
      <w:pgMar w:top="1440" w:right="1803" w:bottom="1440" w:left="1746"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6531E"/>
    <w:multiLevelType w:val="singleLevel"/>
    <w:tmpl w:val="D386531E"/>
    <w:lvl w:ilvl="0" w:tentative="0">
      <w:start w:val="3"/>
      <w:numFmt w:val="chineseCounting"/>
      <w:suff w:val="space"/>
      <w:lvlText w:val="第%1部分"/>
      <w:lvlJc w:val="left"/>
      <w:rPr>
        <w:rFonts w:hint="eastAsia"/>
      </w:rPr>
    </w:lvl>
  </w:abstractNum>
  <w:abstractNum w:abstractNumId="1">
    <w:nsid w:val="047C712C"/>
    <w:multiLevelType w:val="singleLevel"/>
    <w:tmpl w:val="047C712C"/>
    <w:lvl w:ilvl="0" w:tentative="0">
      <w:start w:val="1"/>
      <w:numFmt w:val="decimal"/>
      <w:suff w:val="nothing"/>
      <w:lvlText w:val="%1、"/>
      <w:lvlJc w:val="left"/>
    </w:lvl>
  </w:abstractNum>
  <w:abstractNum w:abstractNumId="2">
    <w:nsid w:val="2022F12B"/>
    <w:multiLevelType w:val="singleLevel"/>
    <w:tmpl w:val="2022F12B"/>
    <w:lvl w:ilvl="0" w:tentative="0">
      <w:start w:val="1"/>
      <w:numFmt w:val="chineseCounting"/>
      <w:suff w:val="nothing"/>
      <w:lvlText w:val="（%1）"/>
      <w:lvlJc w:val="left"/>
      <w:rPr>
        <w:rFonts w:hint="eastAsia"/>
      </w:rPr>
    </w:lvl>
  </w:abstractNum>
  <w:abstractNum w:abstractNumId="3">
    <w:nsid w:val="2C8BF60C"/>
    <w:multiLevelType w:val="singleLevel"/>
    <w:tmpl w:val="2C8BF60C"/>
    <w:lvl w:ilvl="0" w:tentative="0">
      <w:start w:val="5"/>
      <w:numFmt w:val="chineseCounting"/>
      <w:suff w:val="nothing"/>
      <w:lvlText w:val="%1、"/>
      <w:lvlJc w:val="left"/>
      <w:rPr>
        <w:rFonts w:hint="eastAsia"/>
      </w:rPr>
    </w:lvl>
  </w:abstractNum>
  <w:abstractNum w:abstractNumId="4">
    <w:nsid w:val="5971BE17"/>
    <w:multiLevelType w:val="singleLevel"/>
    <w:tmpl w:val="5971BE17"/>
    <w:lvl w:ilvl="0" w:tentative="0">
      <w:start w:val="1"/>
      <w:numFmt w:val="chineseCounting"/>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F90"/>
    <w:rsid w:val="00603414"/>
    <w:rsid w:val="01F95CF1"/>
    <w:rsid w:val="024C1418"/>
    <w:rsid w:val="0340027A"/>
    <w:rsid w:val="05006DBF"/>
    <w:rsid w:val="05CE3174"/>
    <w:rsid w:val="06626602"/>
    <w:rsid w:val="072A461C"/>
    <w:rsid w:val="088F3C73"/>
    <w:rsid w:val="0A604E39"/>
    <w:rsid w:val="0AE04EF9"/>
    <w:rsid w:val="0AFA4C6D"/>
    <w:rsid w:val="0B5A0833"/>
    <w:rsid w:val="0B666E91"/>
    <w:rsid w:val="0BED7BC3"/>
    <w:rsid w:val="10574EAD"/>
    <w:rsid w:val="110F7AF2"/>
    <w:rsid w:val="112D4272"/>
    <w:rsid w:val="12E75A2A"/>
    <w:rsid w:val="14995367"/>
    <w:rsid w:val="17061986"/>
    <w:rsid w:val="17956BCA"/>
    <w:rsid w:val="18D911A7"/>
    <w:rsid w:val="19503EE2"/>
    <w:rsid w:val="19D60762"/>
    <w:rsid w:val="1AB363BB"/>
    <w:rsid w:val="1ACD4380"/>
    <w:rsid w:val="1B3761D1"/>
    <w:rsid w:val="1CA7450F"/>
    <w:rsid w:val="1D92257E"/>
    <w:rsid w:val="1DFB2A26"/>
    <w:rsid w:val="1E360F53"/>
    <w:rsid w:val="1F695DEF"/>
    <w:rsid w:val="1FBE6B94"/>
    <w:rsid w:val="211C591C"/>
    <w:rsid w:val="219B149A"/>
    <w:rsid w:val="219F0D19"/>
    <w:rsid w:val="22051F22"/>
    <w:rsid w:val="22E97FB5"/>
    <w:rsid w:val="24044C64"/>
    <w:rsid w:val="24C866E6"/>
    <w:rsid w:val="25052B83"/>
    <w:rsid w:val="25451A3D"/>
    <w:rsid w:val="256D1468"/>
    <w:rsid w:val="25C517B6"/>
    <w:rsid w:val="26912F1E"/>
    <w:rsid w:val="27AD3653"/>
    <w:rsid w:val="2931224B"/>
    <w:rsid w:val="299C6117"/>
    <w:rsid w:val="2A895601"/>
    <w:rsid w:val="2A8D78A8"/>
    <w:rsid w:val="2B3E2EC3"/>
    <w:rsid w:val="2B3F1265"/>
    <w:rsid w:val="2C7F5C27"/>
    <w:rsid w:val="2CFC1A8A"/>
    <w:rsid w:val="2D5E2002"/>
    <w:rsid w:val="2E8E7C00"/>
    <w:rsid w:val="2EA07F93"/>
    <w:rsid w:val="2FD53037"/>
    <w:rsid w:val="2FEE1358"/>
    <w:rsid w:val="30E04CED"/>
    <w:rsid w:val="30F30441"/>
    <w:rsid w:val="31E25C64"/>
    <w:rsid w:val="35CB1B16"/>
    <w:rsid w:val="38ED30E4"/>
    <w:rsid w:val="39175C99"/>
    <w:rsid w:val="3952657B"/>
    <w:rsid w:val="39AF7E6B"/>
    <w:rsid w:val="3ACE7521"/>
    <w:rsid w:val="3B50396B"/>
    <w:rsid w:val="3D912F49"/>
    <w:rsid w:val="3DF5219C"/>
    <w:rsid w:val="3FB054C7"/>
    <w:rsid w:val="40775DD0"/>
    <w:rsid w:val="41154ACF"/>
    <w:rsid w:val="416E21AF"/>
    <w:rsid w:val="435022E4"/>
    <w:rsid w:val="48D96EAC"/>
    <w:rsid w:val="49536F22"/>
    <w:rsid w:val="496900DC"/>
    <w:rsid w:val="496D6FE8"/>
    <w:rsid w:val="49874225"/>
    <w:rsid w:val="49B71A01"/>
    <w:rsid w:val="4AED2818"/>
    <w:rsid w:val="4B620B3C"/>
    <w:rsid w:val="4D2C40E7"/>
    <w:rsid w:val="4D643120"/>
    <w:rsid w:val="4D811C19"/>
    <w:rsid w:val="4EF91329"/>
    <w:rsid w:val="4F8651FB"/>
    <w:rsid w:val="4FDF0992"/>
    <w:rsid w:val="524F20CA"/>
    <w:rsid w:val="52EC1D51"/>
    <w:rsid w:val="52FF33AE"/>
    <w:rsid w:val="542D0847"/>
    <w:rsid w:val="545A7840"/>
    <w:rsid w:val="54665D3F"/>
    <w:rsid w:val="54BB539E"/>
    <w:rsid w:val="55291392"/>
    <w:rsid w:val="57115546"/>
    <w:rsid w:val="571D280A"/>
    <w:rsid w:val="57DA5704"/>
    <w:rsid w:val="590E5367"/>
    <w:rsid w:val="590F69BA"/>
    <w:rsid w:val="59434173"/>
    <w:rsid w:val="594A2637"/>
    <w:rsid w:val="59732D1A"/>
    <w:rsid w:val="5A2D6016"/>
    <w:rsid w:val="5B202446"/>
    <w:rsid w:val="5B796741"/>
    <w:rsid w:val="5C5E67C4"/>
    <w:rsid w:val="5E566183"/>
    <w:rsid w:val="5E955EDE"/>
    <w:rsid w:val="5EE3573F"/>
    <w:rsid w:val="600B5F36"/>
    <w:rsid w:val="602E6CEA"/>
    <w:rsid w:val="60C11B22"/>
    <w:rsid w:val="60ED3FDF"/>
    <w:rsid w:val="61247F6E"/>
    <w:rsid w:val="625C28A8"/>
    <w:rsid w:val="638B273D"/>
    <w:rsid w:val="639F3FBA"/>
    <w:rsid w:val="64892848"/>
    <w:rsid w:val="670527CE"/>
    <w:rsid w:val="674A702B"/>
    <w:rsid w:val="683000D4"/>
    <w:rsid w:val="6BFE2AF6"/>
    <w:rsid w:val="6C7D6E25"/>
    <w:rsid w:val="6D015811"/>
    <w:rsid w:val="6F65753D"/>
    <w:rsid w:val="710B3F14"/>
    <w:rsid w:val="71834BC0"/>
    <w:rsid w:val="720F17FE"/>
    <w:rsid w:val="73C276D2"/>
    <w:rsid w:val="75356F72"/>
    <w:rsid w:val="763A32B1"/>
    <w:rsid w:val="77FA73F7"/>
    <w:rsid w:val="7848203D"/>
    <w:rsid w:val="78E22E03"/>
    <w:rsid w:val="790A5AC9"/>
    <w:rsid w:val="79CD1A2F"/>
    <w:rsid w:val="7A8A0069"/>
    <w:rsid w:val="7B4228E8"/>
    <w:rsid w:val="7B4326BE"/>
    <w:rsid w:val="7C2049F7"/>
    <w:rsid w:val="7CC27421"/>
    <w:rsid w:val="7CEE495D"/>
    <w:rsid w:val="7D7D652F"/>
    <w:rsid w:val="7DC0135E"/>
    <w:rsid w:val="7DE5093B"/>
    <w:rsid w:val="7E2A1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2019-08-21T07:16:00Z</dcterms:created>
  <dc:creator>三月风</dc:creator>
  <cp:lastModifiedBy>Administrator</cp:lastModifiedBy>
  <cp:lastPrinted>2019-12-18T09:25:00Z</cp:lastPrinted>
  <dcterms:modified xsi:type="dcterms:W3CDTF">2020-03-04T07:39:49Z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