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栾川县教育体育局2018年度</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栾川县教育体育局概况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黑体" w:eastAsia="黑体" w:cs="黑体"/>
          <w:sz w:val="48"/>
          <w:szCs w:val="4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 栾川县教育体育局概况</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仿宋_GB2312" w:hAnsi="Arial" w:eastAsia="仿宋_GB2312" w:cs="Arial"/>
          <w:color w:val="000000"/>
          <w:kern w:val="0"/>
          <w:sz w:val="32"/>
          <w:szCs w:val="32"/>
        </w:rPr>
      </w:pPr>
      <w:r>
        <w:rPr>
          <w:rFonts w:hint="eastAsia" w:ascii="黑体" w:hAnsi="黑体" w:eastAsia="黑体" w:cs="黑体"/>
          <w:kern w:val="0"/>
          <w:sz w:val="32"/>
          <w:szCs w:val="32"/>
        </w:rPr>
        <w:t>一、部门职责</w:t>
      </w:r>
    </w:p>
    <w:p>
      <w:pPr>
        <w:ind w:firstLine="600" w:firstLineChars="200"/>
        <w:jc w:val="left"/>
        <w:rPr>
          <w:rFonts w:eastAsia="仿宋_GB2312"/>
          <w:sz w:val="30"/>
          <w:szCs w:val="30"/>
        </w:rPr>
      </w:pPr>
      <w:r>
        <w:rPr>
          <w:rFonts w:hint="eastAsia" w:eastAsia="仿宋_GB2312"/>
          <w:sz w:val="30"/>
          <w:szCs w:val="30"/>
        </w:rPr>
        <w:t>栾川县教育体育局本级是财政补助事业单位。</w:t>
      </w:r>
      <w:r>
        <w:rPr>
          <w:rFonts w:hint="eastAsia" w:ascii="仿宋_GB2312" w:eastAsia="仿宋_GB2312"/>
          <w:sz w:val="32"/>
          <w:szCs w:val="32"/>
        </w:rPr>
        <w:t>2018年，栾川县评为“国家级农村职业教育和成人教育示范县”，县教体局</w:t>
      </w:r>
      <w:r>
        <w:rPr>
          <w:rFonts w:hint="eastAsia" w:ascii="仿宋_GB2312" w:hAnsi="仿宋_GB2312" w:eastAsia="仿宋_GB2312" w:cs="仿宋_GB2312"/>
          <w:sz w:val="32"/>
          <w:szCs w:val="32"/>
        </w:rPr>
        <w:t>获得河南省教育宣传工作先进单位、洛阳市寄宿制学校建设先进单位、洛阳市教育统计工作先进单位、洛阳市学前教育三年行动计划先进单位、洛阳市安全工作先进单位、河南省女子门球比赛优秀组织奖等省、市级以上荣誉8项，寄宿制学校建设、乡村少年宫建设进入洛阳市红榜事项;获得县脱贫攻坚工作先进单位、</w:t>
      </w:r>
      <w:r>
        <w:rPr>
          <w:rFonts w:hint="eastAsia" w:ascii="仿宋_GB2312" w:hAnsi="仿宋_GB2312" w:eastAsia="仿宋_GB2312" w:cs="仿宋_GB2312"/>
          <w:color w:val="000000"/>
          <w:sz w:val="32"/>
          <w:szCs w:val="32"/>
        </w:rPr>
        <w:t>党建工作先进单位、意识形态工作先进单位</w:t>
      </w:r>
      <w:r>
        <w:rPr>
          <w:rFonts w:hint="eastAsia"/>
        </w:rPr>
        <w:t>、</w:t>
      </w:r>
      <w:r>
        <w:rPr>
          <w:rFonts w:hint="eastAsia" w:ascii="仿宋_GB2312" w:hAnsi="仿宋_GB2312" w:eastAsia="仿宋_GB2312" w:cs="仿宋_GB2312"/>
          <w:color w:val="000000"/>
          <w:sz w:val="32"/>
          <w:szCs w:val="32"/>
        </w:rPr>
        <w:t>法制工作先进单位</w:t>
      </w:r>
      <w:r>
        <w:rPr>
          <w:rFonts w:hint="eastAsia"/>
        </w:rPr>
        <w:t>、</w:t>
      </w:r>
      <w:r>
        <w:rPr>
          <w:rFonts w:hint="eastAsia" w:ascii="仿宋_GB2312" w:hAnsi="仿宋_GB2312" w:eastAsia="仿宋_GB2312" w:cs="仿宋_GB2312"/>
          <w:color w:val="000000"/>
          <w:sz w:val="32"/>
          <w:szCs w:val="32"/>
        </w:rPr>
        <w:t>安全生产先进单位等县级</w:t>
      </w:r>
      <w:r>
        <w:rPr>
          <w:rFonts w:hint="eastAsia" w:ascii="仿宋_GB2312" w:hAnsi="仿宋_GB2312" w:eastAsia="仿宋_GB2312" w:cs="仿宋_GB2312"/>
          <w:sz w:val="32"/>
          <w:szCs w:val="32"/>
        </w:rPr>
        <w:t>荣誉10余项。</w:t>
      </w:r>
      <w:r>
        <w:rPr>
          <w:rFonts w:hint="eastAsia" w:eastAsia="仿宋_GB2312"/>
          <w:sz w:val="30"/>
          <w:szCs w:val="30"/>
        </w:rPr>
        <w:t>其主要职责：</w:t>
      </w:r>
    </w:p>
    <w:p>
      <w:pPr>
        <w:ind w:firstLine="600" w:firstLineChars="200"/>
        <w:jc w:val="left"/>
        <w:rPr>
          <w:rFonts w:eastAsia="仿宋_GB2312"/>
          <w:sz w:val="30"/>
          <w:szCs w:val="30"/>
        </w:rPr>
      </w:pPr>
      <w:r>
        <w:rPr>
          <w:rFonts w:hint="eastAsia" w:eastAsia="仿宋_GB2312"/>
          <w:sz w:val="30"/>
          <w:szCs w:val="30"/>
        </w:rPr>
        <w:t xml:space="preserve"> （一）贯彻执行党和国家的教育体育工作方针、政策和有关法规，研究拟定全县教育体育改革和发展规划、全县教育体育规范性文件，并组织实施和监督检查。</w:t>
      </w:r>
    </w:p>
    <w:p>
      <w:pPr>
        <w:ind w:firstLine="600" w:firstLineChars="200"/>
        <w:jc w:val="left"/>
        <w:rPr>
          <w:rFonts w:eastAsia="仿宋_GB2312"/>
          <w:sz w:val="30"/>
          <w:szCs w:val="30"/>
        </w:rPr>
      </w:pPr>
      <w:r>
        <w:rPr>
          <w:rFonts w:hint="eastAsia" w:eastAsia="仿宋_GB2312"/>
          <w:sz w:val="30"/>
          <w:szCs w:val="30"/>
        </w:rPr>
        <w:t>（二）负责全县各级各类教育的统筹、协调和管理，规划全县教育布局和结构优化，指导各级各类学校、幼儿园的教育教学及教研教改，全面实施素质教育。</w:t>
      </w:r>
    </w:p>
    <w:p>
      <w:pPr>
        <w:ind w:firstLine="600" w:firstLineChars="200"/>
        <w:jc w:val="left"/>
        <w:rPr>
          <w:rFonts w:eastAsia="仿宋_GB2312"/>
          <w:sz w:val="30"/>
          <w:szCs w:val="30"/>
        </w:rPr>
      </w:pPr>
      <w:r>
        <w:rPr>
          <w:rFonts w:hint="eastAsia" w:eastAsia="仿宋_GB2312"/>
          <w:sz w:val="30"/>
          <w:szCs w:val="30"/>
        </w:rPr>
        <w:t>（三）负责推进全县义务教育均衡发展，指导普通高中教育、学前教育、特殊教育工作。</w:t>
      </w:r>
    </w:p>
    <w:p>
      <w:pPr>
        <w:ind w:firstLine="600" w:firstLineChars="200"/>
        <w:jc w:val="left"/>
        <w:rPr>
          <w:rFonts w:eastAsia="仿宋_GB2312"/>
          <w:sz w:val="30"/>
          <w:szCs w:val="30"/>
        </w:rPr>
      </w:pPr>
      <w:r>
        <w:rPr>
          <w:rFonts w:hint="eastAsia" w:eastAsia="仿宋_GB2312"/>
          <w:sz w:val="30"/>
          <w:szCs w:val="30"/>
        </w:rPr>
        <w:t>（四）指导全县学校、幼儿园的德育、体育、卫生、艺术教育、国防教育、法制教育和青少年校外活动中心教育等工作。</w:t>
      </w:r>
    </w:p>
    <w:p>
      <w:pPr>
        <w:ind w:firstLine="600" w:firstLineChars="200"/>
        <w:jc w:val="left"/>
        <w:rPr>
          <w:rFonts w:eastAsia="仿宋_GB2312"/>
          <w:sz w:val="30"/>
          <w:szCs w:val="30"/>
        </w:rPr>
      </w:pPr>
      <w:r>
        <w:rPr>
          <w:rFonts w:hint="eastAsia" w:eastAsia="仿宋_GB2312"/>
          <w:sz w:val="30"/>
          <w:szCs w:val="30"/>
        </w:rPr>
        <w:t>（五）负责全县民办教育的综合管理、设立、审批、审核工作。</w:t>
      </w:r>
    </w:p>
    <w:p>
      <w:pPr>
        <w:ind w:firstLine="600" w:firstLineChars="200"/>
        <w:jc w:val="left"/>
        <w:rPr>
          <w:rFonts w:eastAsia="仿宋_GB2312"/>
          <w:sz w:val="30"/>
          <w:szCs w:val="30"/>
        </w:rPr>
      </w:pPr>
      <w:r>
        <w:rPr>
          <w:rFonts w:hint="eastAsia" w:eastAsia="仿宋_GB2312"/>
          <w:sz w:val="30"/>
          <w:szCs w:val="30"/>
        </w:rPr>
        <w:t>（六）主管全县教师工作。执行国家教师资格标准，指导教育系统人才队伍建设工作；在核定编制总量内，提出增减调剂教职工编制意见，统筹优化使用；负责全县教师调配、聘用、交流、考核、评优树模、奖惩、退休、抚恤等工作；负责组织实施全县教师培训；按照干部管理权限对学校领导班子进行考察任免、管理及后备干部队伍建设工作。</w:t>
      </w:r>
    </w:p>
    <w:p>
      <w:pPr>
        <w:ind w:firstLine="600" w:firstLineChars="200"/>
        <w:jc w:val="left"/>
        <w:rPr>
          <w:rFonts w:eastAsia="仿宋_GB2312"/>
          <w:sz w:val="30"/>
          <w:szCs w:val="30"/>
        </w:rPr>
      </w:pPr>
      <w:r>
        <w:rPr>
          <w:rFonts w:hint="eastAsia" w:eastAsia="仿宋_GB2312"/>
          <w:sz w:val="30"/>
          <w:szCs w:val="30"/>
        </w:rPr>
        <w:t>（七）统筹管理教育经费，编制下达教育经费预算并监督执行，管理教育专项资金；参与拟定教育经费筹措、教育拨款、教育基建投资、教育收费、学生资助的政策和管理办法；监督教育经费的使用情况；按有关规定管理域内外对我县教育援助、教育贷款；实施家庭经济困难学生的资助工作。</w:t>
      </w:r>
    </w:p>
    <w:p>
      <w:pPr>
        <w:ind w:firstLine="600" w:firstLineChars="200"/>
        <w:jc w:val="left"/>
        <w:rPr>
          <w:rFonts w:eastAsia="仿宋_GB2312"/>
          <w:sz w:val="30"/>
          <w:szCs w:val="30"/>
        </w:rPr>
      </w:pPr>
      <w:r>
        <w:rPr>
          <w:rFonts w:hint="eastAsia" w:eastAsia="仿宋_GB2312"/>
          <w:sz w:val="30"/>
          <w:szCs w:val="30"/>
        </w:rPr>
        <w:t>（八）负责全县教育信息化建设与管理工作，推进信息技术教育应用。</w:t>
      </w:r>
    </w:p>
    <w:p>
      <w:pPr>
        <w:ind w:firstLine="600" w:firstLineChars="200"/>
        <w:jc w:val="left"/>
        <w:rPr>
          <w:rFonts w:eastAsia="仿宋_GB2312"/>
          <w:sz w:val="30"/>
          <w:szCs w:val="30"/>
        </w:rPr>
      </w:pPr>
      <w:r>
        <w:rPr>
          <w:rFonts w:hint="eastAsia" w:eastAsia="仿宋_GB2312"/>
          <w:sz w:val="30"/>
          <w:szCs w:val="30"/>
        </w:rPr>
        <w:t>（九）负责全县学校各类招生考试工作，指导学籍学历管理工作。</w:t>
      </w:r>
    </w:p>
    <w:p>
      <w:pPr>
        <w:ind w:firstLine="600" w:firstLineChars="200"/>
        <w:jc w:val="left"/>
        <w:rPr>
          <w:rFonts w:eastAsia="仿宋_GB2312"/>
          <w:sz w:val="30"/>
          <w:szCs w:val="30"/>
        </w:rPr>
      </w:pPr>
      <w:r>
        <w:rPr>
          <w:rFonts w:hint="eastAsia" w:eastAsia="仿宋_GB2312"/>
          <w:sz w:val="30"/>
          <w:szCs w:val="30"/>
        </w:rPr>
        <w:t>（十）贯彻国家语言文字工作规范、标准，指导推广普通话工作。</w:t>
      </w:r>
    </w:p>
    <w:p>
      <w:pPr>
        <w:ind w:firstLine="600" w:firstLineChars="200"/>
        <w:jc w:val="left"/>
        <w:rPr>
          <w:rFonts w:eastAsia="仿宋_GB2312"/>
          <w:sz w:val="30"/>
          <w:szCs w:val="30"/>
        </w:rPr>
      </w:pPr>
      <w:r>
        <w:rPr>
          <w:rFonts w:hint="eastAsia" w:eastAsia="仿宋_GB2312"/>
          <w:sz w:val="30"/>
          <w:szCs w:val="30"/>
        </w:rPr>
        <w:t>（十一）负责全县教育督导工作，依法、依规或授权开展督政、督学和教育监测评估工作。</w:t>
      </w:r>
    </w:p>
    <w:p>
      <w:pPr>
        <w:ind w:firstLine="600" w:firstLineChars="200"/>
        <w:jc w:val="left"/>
        <w:rPr>
          <w:rFonts w:eastAsia="仿宋_GB2312"/>
          <w:sz w:val="30"/>
          <w:szCs w:val="30"/>
        </w:rPr>
      </w:pPr>
      <w:r>
        <w:rPr>
          <w:rFonts w:hint="eastAsia" w:eastAsia="仿宋_GB2312"/>
          <w:sz w:val="30"/>
          <w:szCs w:val="30"/>
        </w:rPr>
        <w:t>（十二）负责教育体育系统的安全稳定工作，负责对全县各类学校安全管理工作的指导、检查和考核。负责系统内信访、防范邪教等工作。</w:t>
      </w:r>
    </w:p>
    <w:p>
      <w:pPr>
        <w:ind w:firstLine="600" w:firstLineChars="200"/>
        <w:jc w:val="left"/>
        <w:rPr>
          <w:rFonts w:eastAsia="仿宋_GB2312"/>
          <w:sz w:val="30"/>
          <w:szCs w:val="30"/>
        </w:rPr>
      </w:pPr>
      <w:r>
        <w:rPr>
          <w:rFonts w:hint="eastAsia" w:eastAsia="仿宋_GB2312"/>
          <w:sz w:val="30"/>
          <w:szCs w:val="30"/>
        </w:rPr>
        <w:t>（十三）指导全县学校、幼儿园后勤保障服务和管理工作。</w:t>
      </w:r>
    </w:p>
    <w:p>
      <w:pPr>
        <w:ind w:firstLine="600" w:firstLineChars="200"/>
        <w:jc w:val="left"/>
        <w:rPr>
          <w:rFonts w:eastAsia="仿宋_GB2312"/>
          <w:sz w:val="30"/>
          <w:szCs w:val="30"/>
        </w:rPr>
      </w:pPr>
      <w:r>
        <w:rPr>
          <w:rFonts w:hint="eastAsia" w:eastAsia="仿宋_GB2312"/>
          <w:sz w:val="30"/>
          <w:szCs w:val="30"/>
        </w:rPr>
        <w:t>（十四）负责推行全民健身计划的实施，指导群众性体育活动的开展，实施国家体育锻炼标准，开展国民体质监测、定期公布全县国民体质状况；指导公共体育设施建设,负责对公共体育设施的监督管理。</w:t>
      </w:r>
    </w:p>
    <w:p>
      <w:pPr>
        <w:ind w:firstLine="600" w:firstLineChars="200"/>
        <w:jc w:val="left"/>
        <w:rPr>
          <w:rFonts w:eastAsia="仿宋_GB2312"/>
          <w:sz w:val="30"/>
          <w:szCs w:val="30"/>
        </w:rPr>
      </w:pPr>
      <w:r>
        <w:rPr>
          <w:rFonts w:hint="eastAsia" w:eastAsia="仿宋_GB2312"/>
          <w:sz w:val="30"/>
          <w:szCs w:val="30"/>
        </w:rPr>
        <w:t>（十五）统筹规划全县竞技体育发展,研究确定运动项目设置和重点布局,完善训练体制，推动体育项目普及，发现和向上级输送体育人才;统筹规划青少年体育发展,指导和推进青少年体育工作。</w:t>
      </w:r>
    </w:p>
    <w:p>
      <w:pPr>
        <w:ind w:firstLine="600" w:firstLineChars="200"/>
        <w:jc w:val="left"/>
        <w:rPr>
          <w:rFonts w:eastAsia="仿宋_GB2312"/>
          <w:sz w:val="30"/>
          <w:szCs w:val="30"/>
        </w:rPr>
      </w:pPr>
      <w:r>
        <w:rPr>
          <w:rFonts w:hint="eastAsia" w:eastAsia="仿宋_GB2312"/>
          <w:sz w:val="30"/>
          <w:szCs w:val="30"/>
        </w:rPr>
        <w:t>（十六）加强对健身气功活动的开展及设立站点日常管理工作。</w:t>
      </w:r>
    </w:p>
    <w:p>
      <w:pPr>
        <w:ind w:firstLine="600" w:firstLineChars="200"/>
        <w:jc w:val="left"/>
        <w:rPr>
          <w:rFonts w:eastAsia="仿宋_GB2312"/>
          <w:sz w:val="30"/>
          <w:szCs w:val="30"/>
        </w:rPr>
      </w:pPr>
      <w:r>
        <w:rPr>
          <w:rFonts w:hint="eastAsia" w:eastAsia="仿宋_GB2312"/>
          <w:sz w:val="30"/>
          <w:szCs w:val="30"/>
        </w:rPr>
        <w:t>（十七）负责本系统党的组织建设、党风廉政建设、纪检监察工作和精神文明建设以及改革、发展、创建工作。</w:t>
      </w:r>
    </w:p>
    <w:p>
      <w:pPr>
        <w:ind w:firstLine="600" w:firstLineChars="200"/>
        <w:jc w:val="left"/>
        <w:rPr>
          <w:rFonts w:eastAsia="仿宋_GB2312"/>
          <w:sz w:val="30"/>
          <w:szCs w:val="30"/>
        </w:rPr>
      </w:pPr>
      <w:r>
        <w:rPr>
          <w:rFonts w:hint="eastAsia" w:eastAsia="仿宋_GB2312"/>
          <w:sz w:val="30"/>
          <w:szCs w:val="30"/>
        </w:rPr>
        <w:t>（十八）负责办理教育体育行政许可事项和教育体育行政执法。</w:t>
      </w:r>
    </w:p>
    <w:p>
      <w:pPr>
        <w:ind w:firstLine="600" w:firstLineChars="200"/>
        <w:jc w:val="left"/>
        <w:rPr>
          <w:rFonts w:ascii="仿宋_GB2312" w:hAnsi="仿宋_GB2312" w:eastAsia="仿宋_GB2312" w:cs="仿宋_GB2312"/>
          <w:kern w:val="0"/>
          <w:sz w:val="32"/>
          <w:szCs w:val="32"/>
        </w:rPr>
      </w:pPr>
      <w:r>
        <w:rPr>
          <w:rFonts w:hint="eastAsia" w:eastAsia="仿宋_GB2312"/>
          <w:sz w:val="30"/>
          <w:szCs w:val="30"/>
        </w:rPr>
        <w:t>（十九）完成县委、县政府交办的其他工作。</w:t>
      </w:r>
      <w:r>
        <w:rPr>
          <w:rFonts w:eastAsia="仿宋_GB2312"/>
          <w:sz w:val="30"/>
          <w:szCs w:val="30"/>
        </w:rPr>
        <w:t xml:space="preserve">  </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00" w:firstLineChars="200"/>
        <w:jc w:val="left"/>
        <w:rPr>
          <w:rFonts w:hint="eastAsia" w:ascii="仿宋_GB2312" w:eastAsia="仿宋_GB2312"/>
          <w:sz w:val="30"/>
          <w:szCs w:val="30"/>
        </w:rPr>
      </w:pPr>
      <w:r>
        <w:rPr>
          <w:rFonts w:hint="eastAsia" w:ascii="仿宋_GB2312" w:eastAsia="仿宋_GB2312"/>
          <w:sz w:val="30"/>
          <w:szCs w:val="30"/>
        </w:rPr>
        <w:t>栾川县教育体育局现有7个内设机构（办公室、人事师训股、计划财务股、基础教育股、督导室、体育股、学校安全股）。</w:t>
      </w:r>
    </w:p>
    <w:p>
      <w:pPr>
        <w:widowControl/>
        <w:ind w:firstLine="600" w:firstLineChars="200"/>
        <w:jc w:val="left"/>
        <w:rPr>
          <w:rFonts w:ascii="仿宋_GB2312" w:eastAsia="仿宋_GB2312"/>
          <w:sz w:val="30"/>
          <w:szCs w:val="30"/>
        </w:rPr>
      </w:pPr>
      <w:r>
        <w:rPr>
          <w:rFonts w:hint="eastAsia" w:ascii="仿宋_GB2312" w:eastAsia="仿宋_GB2312"/>
          <w:sz w:val="30"/>
          <w:szCs w:val="30"/>
        </w:rPr>
        <w:t>从决算单位构成看，2018年部门决算包括：本级决算。纳入本部门2018年度部门决算编制范围的单位共一个。</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2018年度部门决算表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4215"/>
        <w:gridCol w:w="570"/>
        <w:gridCol w:w="2250"/>
        <w:gridCol w:w="4215"/>
        <w:gridCol w:w="570"/>
        <w:gridCol w:w="2250"/>
      </w:tblGrid>
      <w:tr>
        <w:tblPrEx>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收入支出决算总表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部门：栾川县教育体育局（本级）</w:t>
            </w: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收入</w:t>
            </w:r>
          </w:p>
        </w:tc>
        <w:tc>
          <w:tcPr>
            <w:tcW w:w="7035"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支出</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一、财政拨款收入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12,519.81</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一、一般公共服务支出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二、上级补助收入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二、外交支出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三、事业收入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三、国防支出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四、经营收入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四、公共安全支出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五、附属单位上缴收入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五、教育支出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8,443.58</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六、其他收入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六、科学技术支出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七、文化体育与传媒支出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八、社会保障和就业支出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九、医疗卫生与计划生育支出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十、节能环保支出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十一、城乡社区支出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十二、农林水支出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十三、交通运输支出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十四、资源勘探信息等支出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十五、商业服务业等支出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十六、金融支出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十七、援助其他地区支出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十八、国土海洋气象等支出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十九、住房保障支出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二十、粮油物资储备支出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二十一、其他支出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12,519.81</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8,979.99</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用事业基金弥补收支差额</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结余分配</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2,861.35</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年末结转和结余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6,401.17</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2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15,381.16</w:t>
            </w:r>
          </w:p>
        </w:tc>
        <w:tc>
          <w:tcPr>
            <w:tcW w:w="4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15,381.16</w:t>
            </w: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rPr>
          <w:rFonts w:ascii="仿宋_GB2312" w:hAnsi="仿宋_GB2312" w:eastAsia="仿宋_GB2312" w:cs="仿宋_GB2312"/>
          <w:sz w:val="32"/>
          <w:szCs w:val="32"/>
        </w:rPr>
      </w:pPr>
    </w:p>
    <w:tbl>
      <w:tblPr>
        <w:tblStyle w:val="6"/>
        <w:tblW w:w="0" w:type="auto"/>
        <w:tblInd w:w="0" w:type="dxa"/>
        <w:tblLayout w:type="fixed"/>
        <w:tblCellMar>
          <w:top w:w="0" w:type="dxa"/>
          <w:left w:w="0" w:type="dxa"/>
          <w:bottom w:w="0" w:type="dxa"/>
          <w:right w:w="0" w:type="dxa"/>
        </w:tblCellMar>
      </w:tblPr>
      <w:tblGrid>
        <w:gridCol w:w="2550"/>
        <w:gridCol w:w="282"/>
        <w:gridCol w:w="240"/>
        <w:gridCol w:w="2397"/>
        <w:gridCol w:w="1217"/>
        <w:gridCol w:w="1217"/>
        <w:gridCol w:w="269"/>
        <w:gridCol w:w="948"/>
        <w:gridCol w:w="569"/>
        <w:gridCol w:w="648"/>
        <w:gridCol w:w="125"/>
        <w:gridCol w:w="773"/>
        <w:gridCol w:w="319"/>
        <w:gridCol w:w="1217"/>
        <w:gridCol w:w="1217"/>
      </w:tblGrid>
      <w:tr>
        <w:tblPrEx>
          <w:tblCellMar>
            <w:top w:w="0" w:type="dxa"/>
            <w:left w:w="0" w:type="dxa"/>
            <w:bottom w:w="0" w:type="dxa"/>
            <w:right w:w="0" w:type="dxa"/>
          </w:tblCellMar>
        </w:tblPrEx>
        <w:trPr>
          <w:trHeight w:val="390" w:hRule="atLeast"/>
        </w:trPr>
        <w:tc>
          <w:tcPr>
            <w:tcW w:w="13988" w:type="dxa"/>
            <w:gridSpan w:val="15"/>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收入决算表</w:t>
            </w:r>
          </w:p>
        </w:tc>
      </w:tr>
      <w:tr>
        <w:tblPrEx>
          <w:tblCellMar>
            <w:top w:w="0" w:type="dxa"/>
            <w:left w:w="0" w:type="dxa"/>
            <w:bottom w:w="0" w:type="dxa"/>
            <w:right w:w="0" w:type="dxa"/>
          </w:tblCellMar>
        </w:tblPrEx>
        <w:trPr>
          <w:trHeight w:val="255" w:hRule="atLeast"/>
        </w:trPr>
        <w:tc>
          <w:tcPr>
            <w:tcW w:w="25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9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703"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1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73"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753"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0" w:type="dxa"/>
            <w:bottom w:w="0" w:type="dxa"/>
            <w:right w:w="0" w:type="dxa"/>
          </w:tblCellMar>
        </w:tblPrEx>
        <w:trPr>
          <w:trHeight w:val="255" w:hRule="atLeast"/>
        </w:trPr>
        <w:tc>
          <w:tcPr>
            <w:tcW w:w="5469"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部门：栾川县教育体育局（本级）</w:t>
            </w:r>
          </w:p>
        </w:tc>
        <w:tc>
          <w:tcPr>
            <w:tcW w:w="2703"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1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73"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753"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5469"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本年收入合计</w:t>
            </w: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121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其他收入</w:t>
            </w:r>
          </w:p>
        </w:tc>
      </w:tr>
      <w:tr>
        <w:tblPrEx>
          <w:tblCellMar>
            <w:top w:w="0" w:type="dxa"/>
            <w:left w:w="0" w:type="dxa"/>
            <w:bottom w:w="0" w:type="dxa"/>
            <w:right w:w="0" w:type="dxa"/>
          </w:tblCellMar>
        </w:tblPrEx>
        <w:trPr>
          <w:trHeight w:val="308" w:hRule="atLeast"/>
        </w:trPr>
        <w:tc>
          <w:tcPr>
            <w:tcW w:w="307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239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7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39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7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39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1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5469"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2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2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217"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217"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217"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2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2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r>
      <w:tr>
        <w:tblPrEx>
          <w:tblCellMar>
            <w:top w:w="0" w:type="dxa"/>
            <w:left w:w="0" w:type="dxa"/>
            <w:bottom w:w="0" w:type="dxa"/>
            <w:right w:w="0" w:type="dxa"/>
          </w:tblCellMar>
        </w:tblPrEx>
        <w:trPr>
          <w:trHeight w:val="308" w:hRule="atLeast"/>
        </w:trPr>
        <w:tc>
          <w:tcPr>
            <w:tcW w:w="5469"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12,519.81</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12,519.81</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11,603.68</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11,603.68</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教育管理事务</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1,115.79</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1,115.79</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2050101</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行政运行</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711.29</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711.29</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2050102</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一般行政管理事务</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404.50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404.50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普通教育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6,999.19</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6,999.19</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2050201</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学前教育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637.00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637.00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2050202</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小学教育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4,218.32</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4,218.32</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2050203</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初中教育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796.00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796.00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2050204</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高中教育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387.59</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387.59</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2050205</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高等教育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3.74</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3.74</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2050299</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其他普通教育支出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956.54</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956.54</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职业教育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1,129.31</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1,129.31</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2050302</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中专教育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1,129.31</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1,129.31</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20508</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进修及培训</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315.00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315.00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2050803</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培训支出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315.00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315.00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教育费附加安排的支出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2,044.39</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2,044.39</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2050902</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农村中小学教学设施</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2,044.39</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2,044.39</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文化体育与传媒支出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20703</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体育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2070308</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群众体育</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20799</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其他文化体育与传媒支出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2079999</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其他文化体育与传媒支出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316.54</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316.54</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农业</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234.78</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234.78</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2130199</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其他农业支出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234.78</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234.78</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21305</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扶贫</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81.76</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81.76</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2130506</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社会发展</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81.76</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81.76</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彩票公益金及对应专项债务收入安排的支出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2296003</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用于体育事业的彩票公益金支出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524.60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524.60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7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2296004</w:t>
            </w:r>
          </w:p>
        </w:tc>
        <w:tc>
          <w:tcPr>
            <w:tcW w:w="23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用于教育事业的彩票公益金支出</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2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2699"/>
        <w:gridCol w:w="297"/>
        <w:gridCol w:w="240"/>
        <w:gridCol w:w="2546"/>
        <w:gridCol w:w="1367"/>
        <w:gridCol w:w="1367"/>
        <w:gridCol w:w="1367"/>
        <w:gridCol w:w="1193"/>
        <w:gridCol w:w="174"/>
        <w:gridCol w:w="1222"/>
        <w:gridCol w:w="145"/>
        <w:gridCol w:w="95"/>
        <w:gridCol w:w="1276"/>
      </w:tblGrid>
      <w:tr>
        <w:tblPrEx>
          <w:tblCellMar>
            <w:top w:w="0" w:type="dxa"/>
            <w:left w:w="0" w:type="dxa"/>
            <w:bottom w:w="0" w:type="dxa"/>
            <w:right w:w="0" w:type="dxa"/>
          </w:tblCellMar>
        </w:tblPrEx>
        <w:trPr>
          <w:trHeight w:val="390" w:hRule="atLeast"/>
        </w:trPr>
        <w:tc>
          <w:tcPr>
            <w:tcW w:w="13988" w:type="dxa"/>
            <w:gridSpan w:val="13"/>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支出决算表</w:t>
            </w:r>
          </w:p>
        </w:tc>
      </w:tr>
      <w:tr>
        <w:tblPrEx>
          <w:tblCellMar>
            <w:top w:w="0" w:type="dxa"/>
            <w:left w:w="0" w:type="dxa"/>
            <w:bottom w:w="0" w:type="dxa"/>
            <w:right w:w="0" w:type="dxa"/>
          </w:tblCellMar>
        </w:tblPrEx>
        <w:trPr>
          <w:trHeight w:val="255" w:hRule="atLeast"/>
        </w:trPr>
        <w:tc>
          <w:tcPr>
            <w:tcW w:w="269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6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6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6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96"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76"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0" w:type="dxa"/>
            <w:bottom w:w="0" w:type="dxa"/>
            <w:right w:w="0" w:type="dxa"/>
          </w:tblCellMar>
        </w:tblPrEx>
        <w:trPr>
          <w:trHeight w:val="255" w:hRule="atLeast"/>
        </w:trPr>
        <w:tc>
          <w:tcPr>
            <w:tcW w:w="5782"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部门：栾川县教育体育局（本级）</w:t>
            </w:r>
          </w:p>
        </w:tc>
        <w:tc>
          <w:tcPr>
            <w:tcW w:w="136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6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6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12" w:type="dxa"/>
            <w:gridSpan w:val="5"/>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578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本年支出合计</w:t>
            </w: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上缴上级支出</w:t>
            </w: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经营支出</w:t>
            </w:r>
          </w:p>
        </w:tc>
        <w:tc>
          <w:tcPr>
            <w:tcW w:w="137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对附属单位补助支出</w:t>
            </w:r>
          </w:p>
        </w:tc>
      </w:tr>
      <w:tr>
        <w:tblPrEx>
          <w:tblCellMar>
            <w:top w:w="0" w:type="dxa"/>
            <w:left w:w="0" w:type="dxa"/>
            <w:bottom w:w="0" w:type="dxa"/>
            <w:right w:w="0" w:type="dxa"/>
          </w:tblCellMar>
        </w:tblPrEx>
        <w:trPr>
          <w:trHeight w:val="308" w:hRule="atLeast"/>
        </w:trPr>
        <w:tc>
          <w:tcPr>
            <w:tcW w:w="323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254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7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23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54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7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23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54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6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7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578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3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3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367"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367"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3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CellMar>
            <w:top w:w="0" w:type="dxa"/>
            <w:left w:w="0" w:type="dxa"/>
            <w:bottom w:w="0" w:type="dxa"/>
            <w:right w:w="0" w:type="dxa"/>
          </w:tblCellMar>
        </w:tblPrEx>
        <w:trPr>
          <w:trHeight w:val="308" w:hRule="atLeast"/>
        </w:trPr>
        <w:tc>
          <w:tcPr>
            <w:tcW w:w="578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8,979.99</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746.28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8,233.71</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8,443.58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7,697.30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教育管理事务</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1,220.86</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474.57</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2050101</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行政运行</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2050102</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一般行政管理事务</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474.57</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474.57</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普通教育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4,599.30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4,599.30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2050201</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学前教育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576.73</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576.73</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2050202</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小学教育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2,662.02</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2,662.02</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2050203</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初中教育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209.61</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209.61</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2050204</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高中教育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429.74</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429.74</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2050205</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高等教育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3.74</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3.74</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2050299</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其他普通教育支出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717.46</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717.46</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职业教育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2050302</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中专教育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20508</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进修及培训</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2050803</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培训支出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教育费附加安排的支出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1959.97</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1959.97</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2050902</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农村中小学教学设施</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1659.97</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1659.97</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2050999</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其他教育费附加安排的支出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文化体育与传媒支出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20703</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体育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2070308</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群众体育</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农业</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2130199</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其他农业支出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21305</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扶贫</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2130506</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社会发展</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彩票公益金及对应专项债务收入安排的支出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2296003</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用于体育事业的彩票公益金支出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107.18</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107.18</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23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2296004</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用于教育事业的彩票公益金支出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73.00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73.00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7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13988" w:type="dxa"/>
            <w:gridSpan w:val="13"/>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3030"/>
        <w:gridCol w:w="570"/>
        <w:gridCol w:w="1680"/>
        <w:gridCol w:w="2890"/>
        <w:gridCol w:w="570"/>
        <w:gridCol w:w="1680"/>
        <w:gridCol w:w="1680"/>
        <w:gridCol w:w="1680"/>
      </w:tblGrid>
      <w:tr>
        <w:tblPrEx>
          <w:tblCellMar>
            <w:top w:w="0" w:type="dxa"/>
            <w:left w:w="0" w:type="dxa"/>
            <w:bottom w:w="0" w:type="dxa"/>
            <w:right w:w="0" w:type="dxa"/>
          </w:tblCellMar>
        </w:tblPrEx>
        <w:trPr>
          <w:trHeight w:val="390" w:hRule="atLeast"/>
        </w:trPr>
        <w:tc>
          <w:tcPr>
            <w:tcW w:w="13780" w:type="dxa"/>
            <w:gridSpan w:val="8"/>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财政拨款收入支出决算总表</w:t>
            </w:r>
          </w:p>
        </w:tc>
      </w:tr>
      <w:tr>
        <w:tblPrEx>
          <w:tblCellMar>
            <w:top w:w="0" w:type="dxa"/>
            <w:left w:w="0" w:type="dxa"/>
            <w:bottom w:w="0" w:type="dxa"/>
            <w:right w:w="0" w:type="dxa"/>
          </w:tblCellMar>
        </w:tblPrEx>
        <w:trPr>
          <w:trHeight w:val="255" w:hRule="atLeast"/>
        </w:trPr>
        <w:tc>
          <w:tcPr>
            <w:tcW w:w="30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9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255" w:hRule="atLeast"/>
        </w:trPr>
        <w:tc>
          <w:tcPr>
            <w:tcW w:w="30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部门：栾川县教育体育局（本级）</w:t>
            </w: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9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528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     入</w:t>
            </w:r>
          </w:p>
        </w:tc>
        <w:tc>
          <w:tcPr>
            <w:tcW w:w="8500"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     出</w:t>
            </w:r>
          </w:p>
        </w:tc>
      </w:tr>
      <w:tr>
        <w:tblPrEx>
          <w:tblCellMar>
            <w:top w:w="0" w:type="dxa"/>
            <w:left w:w="0" w:type="dxa"/>
            <w:bottom w:w="0" w:type="dxa"/>
            <w:right w:w="0" w:type="dxa"/>
          </w:tblCellMar>
        </w:tblPrEx>
        <w:trPr>
          <w:trHeight w:val="312" w:hRule="atLeast"/>
        </w:trPr>
        <w:tc>
          <w:tcPr>
            <w:tcW w:w="30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c>
          <w:tcPr>
            <w:tcW w:w="28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168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政府性基金预算财政拨款</w:t>
            </w:r>
          </w:p>
        </w:tc>
      </w:tr>
      <w:tr>
        <w:tblPrEx>
          <w:tblCellMar>
            <w:top w:w="0" w:type="dxa"/>
            <w:left w:w="0" w:type="dxa"/>
            <w:bottom w:w="0" w:type="dxa"/>
            <w:right w:w="0" w:type="dxa"/>
          </w:tblCellMar>
        </w:tblPrEx>
        <w:trPr>
          <w:trHeight w:val="615" w:hRule="atLeast"/>
        </w:trPr>
        <w:tc>
          <w:tcPr>
            <w:tcW w:w="3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11,943.21</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一、一般公共服务支出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二、政府性基金预算财政拨款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二、外交支出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三、国防支出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四、公共安全支出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五、教育支出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8,443.58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8,443.58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六、科学技术支出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七、文化体育与传媒支出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八、社会保障和就业支出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九、医疗卫生与计划生育支出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十、节能环保支出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十一、城乡社区支出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十二、农林水支出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十三、交通运输支出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十四、资源勘探信息等支出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十五、商业服务业等支出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十六、金融支出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十七、援助其他地区支出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十八、国土海洋气象等支出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十九、住房保障支出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二十、粮油物资储备支出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二十一、其他支出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本年收入合计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12,519.81</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本年支出合计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8,979.99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8,799.81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年初财政拨款结转和结余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2,861.35</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年末财政拨款结转和结余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6,401.17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5,824.77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576.39</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一般公共预算财政拨款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2,681.37</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政府性基金预算财政拨款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179.98</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15,381.16</w:t>
            </w:r>
          </w:p>
        </w:tc>
        <w:tc>
          <w:tcPr>
            <w:tcW w:w="28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15,381.16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14,624.58</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756.58</w:t>
            </w:r>
          </w:p>
        </w:tc>
      </w:tr>
      <w:tr>
        <w:tblPrEx>
          <w:tblCellMar>
            <w:top w:w="0" w:type="dxa"/>
            <w:left w:w="0" w:type="dxa"/>
            <w:bottom w:w="0" w:type="dxa"/>
            <w:right w:w="0" w:type="dxa"/>
          </w:tblCellMar>
        </w:tblPrEx>
        <w:trPr>
          <w:trHeight w:val="662" w:hRule="atLeast"/>
        </w:trPr>
        <w:tc>
          <w:tcPr>
            <w:tcW w:w="1378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2910"/>
        <w:gridCol w:w="318"/>
        <w:gridCol w:w="318"/>
        <w:gridCol w:w="3775"/>
        <w:gridCol w:w="2162"/>
        <w:gridCol w:w="2162"/>
        <w:gridCol w:w="2162"/>
      </w:tblGrid>
      <w:tr>
        <w:tblPrEx>
          <w:tblCellMar>
            <w:top w:w="0" w:type="dxa"/>
            <w:left w:w="0" w:type="dxa"/>
            <w:bottom w:w="0" w:type="dxa"/>
            <w:right w:w="0" w:type="dxa"/>
          </w:tblCellMar>
        </w:tblPrEx>
        <w:trPr>
          <w:trHeight w:val="390" w:hRule="atLeast"/>
        </w:trPr>
        <w:tc>
          <w:tcPr>
            <w:tcW w:w="13807" w:type="dxa"/>
            <w:gridSpan w:val="7"/>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一般公共预算财政拨款支出决算表</w:t>
            </w:r>
          </w:p>
        </w:tc>
      </w:tr>
      <w:tr>
        <w:tblPrEx>
          <w:tblCellMar>
            <w:top w:w="0" w:type="dxa"/>
            <w:left w:w="0" w:type="dxa"/>
            <w:bottom w:w="0" w:type="dxa"/>
            <w:right w:w="0" w:type="dxa"/>
          </w:tblCellMar>
        </w:tblPrEx>
        <w:trPr>
          <w:trHeight w:val="255" w:hRule="atLeast"/>
        </w:trPr>
        <w:tc>
          <w:tcPr>
            <w:tcW w:w="29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7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6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0" w:type="dxa"/>
            <w:bottom w:w="0" w:type="dxa"/>
            <w:right w:w="0" w:type="dxa"/>
          </w:tblCellMar>
        </w:tblPrEx>
        <w:trPr>
          <w:trHeight w:val="255" w:hRule="atLeast"/>
        </w:trPr>
        <w:tc>
          <w:tcPr>
            <w:tcW w:w="291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部门：栾川县教育体育局（本级）</w:t>
            </w:r>
          </w:p>
        </w:tc>
        <w:tc>
          <w:tcPr>
            <w:tcW w:w="31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7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6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321"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64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r>
      <w:tr>
        <w:tblPrEx>
          <w:tblCellMar>
            <w:top w:w="0" w:type="dxa"/>
            <w:left w:w="0" w:type="dxa"/>
            <w:bottom w:w="0" w:type="dxa"/>
            <w:right w:w="0" w:type="dxa"/>
          </w:tblCellMar>
        </w:tblPrEx>
        <w:trPr>
          <w:trHeight w:val="312" w:hRule="atLeast"/>
        </w:trPr>
        <w:tc>
          <w:tcPr>
            <w:tcW w:w="354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377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21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21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21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r>
      <w:tr>
        <w:tblPrEx>
          <w:tblCellMar>
            <w:top w:w="0" w:type="dxa"/>
            <w:left w:w="0" w:type="dxa"/>
            <w:bottom w:w="0" w:type="dxa"/>
            <w:right w:w="0" w:type="dxa"/>
          </w:tblCellMar>
        </w:tblPrEx>
        <w:trPr>
          <w:trHeight w:val="312" w:hRule="atLeast"/>
        </w:trPr>
        <w:tc>
          <w:tcPr>
            <w:tcW w:w="354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377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2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12" w:hRule="atLeast"/>
        </w:trPr>
        <w:tc>
          <w:tcPr>
            <w:tcW w:w="354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377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2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1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7321"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21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21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21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r>
      <w:tr>
        <w:tblPrEx>
          <w:tblCellMar>
            <w:top w:w="0" w:type="dxa"/>
            <w:left w:w="0" w:type="dxa"/>
            <w:bottom w:w="0" w:type="dxa"/>
            <w:right w:w="0" w:type="dxa"/>
          </w:tblCellMar>
        </w:tblPrEx>
        <w:trPr>
          <w:trHeight w:val="308" w:hRule="atLeast"/>
        </w:trPr>
        <w:tc>
          <w:tcPr>
            <w:tcW w:w="7321"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8,799.81</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746.28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8,053.52</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8,443.58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7,697.30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教育管理事务</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1,220.86</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474.57</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2050101</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行政运行</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746.28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2050102</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一般行政管理事务</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474.57</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474.57</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普通教育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4,599.30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4,599.30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2050201</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学前教育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576.73</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576.73</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2050202</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小学教育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2,662.02</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2,662.02</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2050203</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初中教育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209.61</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209.61</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2050204</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高中教育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429.74</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429.74</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2050205</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高等教育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3.74</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3.74</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2050299</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其他普通教育支出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717.46</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717.46</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职业教育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2050302</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中专教育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599.50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20508</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进修及培训</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2050803</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培训支出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63.95</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教育费附加安排的支出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1,959.97</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1,959.97</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2050902</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农村中小学教学设施</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1659.97</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1659.97</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2050999</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其他教育费附加安排的支出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300.00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文化体育与传媒支出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20703</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体育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2070308</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群众体育</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19.83</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336.40</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农业</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2130199</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其他农业支出</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229.78</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21305</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扶贫</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r>
      <w:tr>
        <w:tblPrEx>
          <w:tblCellMar>
            <w:top w:w="0" w:type="dxa"/>
            <w:left w:w="0" w:type="dxa"/>
            <w:bottom w:w="0" w:type="dxa"/>
            <w:right w:w="0" w:type="dxa"/>
          </w:tblCellMar>
        </w:tblPrEx>
        <w:trPr>
          <w:trHeight w:val="308" w:hRule="atLeast"/>
        </w:trPr>
        <w:tc>
          <w:tcPr>
            <w:tcW w:w="354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2130506</w:t>
            </w:r>
          </w:p>
        </w:tc>
        <w:tc>
          <w:tcPr>
            <w:tcW w:w="37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社会发展</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21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106.62</w:t>
            </w:r>
          </w:p>
        </w:tc>
      </w:tr>
      <w:tr>
        <w:tblPrEx>
          <w:tblCellMar>
            <w:top w:w="0" w:type="dxa"/>
            <w:left w:w="0" w:type="dxa"/>
            <w:bottom w:w="0" w:type="dxa"/>
            <w:right w:w="0" w:type="dxa"/>
          </w:tblCellMar>
        </w:tblPrEx>
        <w:trPr>
          <w:trHeight w:val="308" w:hRule="atLeast"/>
        </w:trPr>
        <w:tc>
          <w:tcPr>
            <w:tcW w:w="13807"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2133"/>
        <w:gridCol w:w="2345"/>
        <w:gridCol w:w="1273"/>
        <w:gridCol w:w="576"/>
        <w:gridCol w:w="1575"/>
        <w:gridCol w:w="1273"/>
        <w:gridCol w:w="576"/>
        <w:gridCol w:w="2964"/>
        <w:gridCol w:w="1273"/>
      </w:tblGrid>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一般公共预算财政拨款基本支出决算表</w:t>
            </w:r>
          </w:p>
        </w:tc>
      </w:tr>
      <w:tr>
        <w:tblPrEx>
          <w:tblCellMar>
            <w:top w:w="0" w:type="dxa"/>
            <w:left w:w="0" w:type="dxa"/>
            <w:bottom w:w="0" w:type="dxa"/>
            <w:right w:w="0" w:type="dxa"/>
          </w:tblCellMar>
        </w:tblPrEx>
        <w:trPr>
          <w:trHeight w:val="285" w:hRule="atLeast"/>
        </w:trPr>
        <w:tc>
          <w:tcPr>
            <w:tcW w:w="213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4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7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6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73"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公开06表</w:t>
            </w:r>
          </w:p>
        </w:tc>
      </w:tr>
      <w:tr>
        <w:tblPrEx>
          <w:tblCellMar>
            <w:top w:w="0" w:type="dxa"/>
            <w:left w:w="0" w:type="dxa"/>
            <w:bottom w:w="0" w:type="dxa"/>
            <w:right w:w="0" w:type="dxa"/>
          </w:tblCellMar>
        </w:tblPrEx>
        <w:trPr>
          <w:trHeight w:val="255" w:hRule="atLeast"/>
        </w:trPr>
        <w:tc>
          <w:tcPr>
            <w:tcW w:w="4478"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部门：栾川县教育体育局（本级）</w:t>
            </w:r>
          </w:p>
        </w:tc>
        <w:tc>
          <w:tcPr>
            <w:tcW w:w="12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7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6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73"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575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人员经费</w:t>
            </w:r>
          </w:p>
        </w:tc>
        <w:tc>
          <w:tcPr>
            <w:tcW w:w="823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公用经费</w:t>
            </w:r>
          </w:p>
        </w:tc>
      </w:tr>
      <w:tr>
        <w:tblPrEx>
          <w:tblCellMar>
            <w:top w:w="0" w:type="dxa"/>
            <w:left w:w="0" w:type="dxa"/>
            <w:bottom w:w="0" w:type="dxa"/>
            <w:right w:w="0" w:type="dxa"/>
          </w:tblCellMar>
        </w:tblPrEx>
        <w:trPr>
          <w:trHeight w:val="312" w:hRule="atLeast"/>
        </w:trPr>
        <w:tc>
          <w:tcPr>
            <w:tcW w:w="21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23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2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5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15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2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5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29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2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tblPrEx>
          <w:tblCellMar>
            <w:top w:w="0" w:type="dxa"/>
            <w:left w:w="0" w:type="dxa"/>
            <w:bottom w:w="0" w:type="dxa"/>
            <w:right w:w="0" w:type="dxa"/>
          </w:tblCellMar>
        </w:tblPrEx>
        <w:trPr>
          <w:trHeight w:val="312" w:hRule="atLeast"/>
        </w:trPr>
        <w:tc>
          <w:tcPr>
            <w:tcW w:w="21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3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5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5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5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9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2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工资福利支出</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598.24</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商品和服务支出</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77.44</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307</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债务利息及费用支出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30101</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基本工资</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224.07</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30201</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办公费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19.14</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30701</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国内债务付息</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30102</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津贴补贴</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150.15</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30202</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印刷费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0.94</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30702</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国外债务付息</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30103</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奖金</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90.51</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30203</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咨询费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资本性支出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30106</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伙食补助费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30204</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手续费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31001</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房屋建筑物购建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30107</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绩效工资</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30205</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31002</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办公设备购置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30108</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72.56</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30206</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电费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31003</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专用设备购置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30109</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职业年金缴费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30207</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邮电费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31005</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基础设施建设</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30110</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职工基本医疗保险缴费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25.40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30208</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取暖费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31006</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大型修缮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30111</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公务员医疗补助缴费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30209</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物业管理费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31007</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信息网络及软件购置更新</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30112</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其他社会保障缴费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30211</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差旅费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16.26</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31008</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物资储备</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30113</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住房公积金</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35.55</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30212</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因公出国（境）费用</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31009</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土地补偿</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30114</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医疗费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30213</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维修（护）费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31010</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安置补助</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30199</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其他工资福利支出</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30214</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租赁费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31011</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地上附着物和青苗补偿</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对个人和家庭的补助</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70.61</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30215</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会议费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31012</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拆迁补偿</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30301</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离休费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30216</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培训费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31013</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公务用车购置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30302</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退休费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26.65</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30217</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公务接待费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0.56</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31019</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其他交通工具购置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30303</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退职（役）费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30218</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专用材料费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31021</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文物和陈列品购置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30304</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抚恤金</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31.62</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30224</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被装购置费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31022</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无形资产购置</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30305</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生活补助</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12.33</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30225</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专用燃料费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31099</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其他资本性支出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30306</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救济费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30226</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劳务费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30307</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医疗费补助</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30227</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委托业务费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39906</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赠与</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30308</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助学金</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30228</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工会经费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4.30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39907</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国家赔偿费用支出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30309</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奖励金</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30229</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福利费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9.29</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39908</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对民间非营利组织和群众性自治组织补贴</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30310</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个人农业生产补贴</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30231</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公务用车运行维护费</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39999</w:t>
            </w: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其他支出</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30399</w:t>
            </w: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其他对个人和家庭的补助支出</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30239</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其他交通费用</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30240</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税金及附加费用</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213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23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30299</w:t>
            </w:r>
          </w:p>
        </w:tc>
        <w:tc>
          <w:tcPr>
            <w:tcW w:w="15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其他商品和服务支出</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21.16</w:t>
            </w:r>
          </w:p>
        </w:tc>
        <w:tc>
          <w:tcPr>
            <w:tcW w:w="5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29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cs="宋体"/>
                <w:color w:val="000000"/>
                <w:sz w:val="22"/>
              </w:rPr>
            </w:pP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447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人员经费合计</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668.85</w:t>
            </w:r>
          </w:p>
        </w:tc>
        <w:tc>
          <w:tcPr>
            <w:tcW w:w="6964"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公用经费合计</w:t>
            </w:r>
          </w:p>
        </w:tc>
        <w:tc>
          <w:tcPr>
            <w:tcW w:w="12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77.44</w:t>
            </w:r>
          </w:p>
        </w:tc>
      </w:tr>
      <w:tr>
        <w:tblPrEx>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6"/>
        <w:tblW w:w="0" w:type="auto"/>
        <w:tblInd w:w="0" w:type="dxa"/>
        <w:tblLayout w:type="fixed"/>
        <w:tblCellMar>
          <w:top w:w="0" w:type="dxa"/>
          <w:left w:w="0" w:type="dxa"/>
          <w:bottom w:w="0" w:type="dxa"/>
          <w:right w:w="0" w:type="dxa"/>
        </w:tblCellMar>
      </w:tblPr>
      <w:tblGrid>
        <w:gridCol w:w="3030"/>
        <w:gridCol w:w="915"/>
        <w:gridCol w:w="915"/>
        <w:gridCol w:w="915"/>
        <w:gridCol w:w="915"/>
        <w:gridCol w:w="915"/>
        <w:gridCol w:w="915"/>
        <w:gridCol w:w="915"/>
        <w:gridCol w:w="915"/>
        <w:gridCol w:w="915"/>
        <w:gridCol w:w="915"/>
        <w:gridCol w:w="1430"/>
      </w:tblGrid>
      <w:tr>
        <w:tblPrEx>
          <w:tblCellMar>
            <w:top w:w="0" w:type="dxa"/>
            <w:left w:w="0" w:type="dxa"/>
            <w:bottom w:w="0" w:type="dxa"/>
            <w:right w:w="0" w:type="dxa"/>
          </w:tblCellMar>
        </w:tblPrEx>
        <w:trPr>
          <w:trHeight w:val="540" w:hRule="atLeast"/>
        </w:trPr>
        <w:tc>
          <w:tcPr>
            <w:tcW w:w="13610" w:type="dxa"/>
            <w:gridSpan w:val="12"/>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tblPrEx>
          <w:tblCellMar>
            <w:top w:w="0" w:type="dxa"/>
            <w:left w:w="0" w:type="dxa"/>
            <w:bottom w:w="0" w:type="dxa"/>
            <w:right w:w="0" w:type="dxa"/>
          </w:tblCellMar>
        </w:tblPrEx>
        <w:trPr>
          <w:trHeight w:val="255" w:hRule="atLeast"/>
        </w:trPr>
        <w:tc>
          <w:tcPr>
            <w:tcW w:w="30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255" w:hRule="atLeast"/>
        </w:trPr>
        <w:tc>
          <w:tcPr>
            <w:tcW w:w="30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部门：栾川县教育体育局（本级）</w:t>
            </w: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605"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预算数</w:t>
            </w:r>
          </w:p>
        </w:tc>
        <w:tc>
          <w:tcPr>
            <w:tcW w:w="600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tblPrEx>
          <w:tblCellMar>
            <w:top w:w="0" w:type="dxa"/>
            <w:left w:w="0" w:type="dxa"/>
            <w:bottom w:w="0" w:type="dxa"/>
            <w:right w:w="0" w:type="dxa"/>
          </w:tblCellMar>
        </w:tblPrEx>
        <w:trPr>
          <w:trHeight w:val="308" w:hRule="atLeast"/>
        </w:trPr>
        <w:tc>
          <w:tcPr>
            <w:tcW w:w="30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274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公务用车购置及运行费</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274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r>
      <w:tr>
        <w:tblPrEx>
          <w:tblCellMar>
            <w:top w:w="0" w:type="dxa"/>
            <w:left w:w="0" w:type="dxa"/>
            <w:bottom w:w="0" w:type="dxa"/>
            <w:right w:w="0" w:type="dxa"/>
          </w:tblCellMar>
        </w:tblPrEx>
        <w:trPr>
          <w:trHeight w:val="615" w:hRule="atLeast"/>
        </w:trPr>
        <w:tc>
          <w:tcPr>
            <w:tcW w:w="3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公务用车运行费</w:t>
            </w: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公务用车运行费</w:t>
            </w: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r>
      <w:tr>
        <w:tblPrEx>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1.71</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1.16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0.56</w:t>
            </w:r>
          </w:p>
        </w:tc>
      </w:tr>
      <w:tr>
        <w:tblPrEx>
          <w:tblCellMar>
            <w:top w:w="0" w:type="dxa"/>
            <w:left w:w="0" w:type="dxa"/>
            <w:bottom w:w="0" w:type="dxa"/>
            <w:right w:w="0" w:type="dxa"/>
          </w:tblCellMar>
        </w:tblPrEx>
        <w:trPr>
          <w:trHeight w:val="615" w:hRule="atLeast"/>
        </w:trPr>
        <w:tc>
          <w:tcPr>
            <w:tcW w:w="13610"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6"/>
        <w:tblW w:w="0" w:type="auto"/>
        <w:tblInd w:w="0" w:type="dxa"/>
        <w:tblLayout w:type="fixed"/>
        <w:tblCellMar>
          <w:top w:w="0" w:type="dxa"/>
          <w:left w:w="0" w:type="dxa"/>
          <w:bottom w:w="0" w:type="dxa"/>
          <w:right w:w="0" w:type="dxa"/>
        </w:tblCellMar>
      </w:tblPr>
      <w:tblGrid>
        <w:gridCol w:w="2353"/>
        <w:gridCol w:w="262"/>
        <w:gridCol w:w="262"/>
        <w:gridCol w:w="3266"/>
        <w:gridCol w:w="1307"/>
        <w:gridCol w:w="1307"/>
        <w:gridCol w:w="1307"/>
        <w:gridCol w:w="1308"/>
        <w:gridCol w:w="1308"/>
        <w:gridCol w:w="1308"/>
      </w:tblGrid>
      <w:tr>
        <w:tblPrEx>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政府性基金预算财政拨款收入支出决算表</w:t>
            </w:r>
          </w:p>
        </w:tc>
      </w:tr>
      <w:tr>
        <w:tblPrEx>
          <w:tblCellMar>
            <w:top w:w="0" w:type="dxa"/>
            <w:left w:w="0" w:type="dxa"/>
            <w:bottom w:w="0" w:type="dxa"/>
            <w:right w:w="0" w:type="dxa"/>
          </w:tblCellMar>
        </w:tblPrEx>
        <w:trPr>
          <w:trHeight w:val="255" w:hRule="atLeast"/>
        </w:trPr>
        <w:tc>
          <w:tcPr>
            <w:tcW w:w="23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26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8"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255" w:hRule="atLeast"/>
        </w:trPr>
        <w:tc>
          <w:tcPr>
            <w:tcW w:w="6143"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部门：栾川县教育体育局（本级）</w:t>
            </w:r>
          </w:p>
        </w:tc>
        <w:tc>
          <w:tcPr>
            <w:tcW w:w="13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1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14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3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13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392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c>
          <w:tcPr>
            <w:tcW w:w="130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年末结转和结余</w:t>
            </w:r>
          </w:p>
        </w:tc>
      </w:tr>
      <w:tr>
        <w:tblPrEx>
          <w:tblCellMar>
            <w:top w:w="0" w:type="dxa"/>
            <w:left w:w="0" w:type="dxa"/>
            <w:bottom w:w="0" w:type="dxa"/>
            <w:right w:w="0" w:type="dxa"/>
          </w:tblCellMar>
        </w:tblPrEx>
        <w:trPr>
          <w:trHeight w:val="312" w:hRule="atLeast"/>
        </w:trPr>
        <w:tc>
          <w:tcPr>
            <w:tcW w:w="287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326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3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3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3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13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12" w:hRule="atLeast"/>
        </w:trPr>
        <w:tc>
          <w:tcPr>
            <w:tcW w:w="287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326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12" w:hRule="atLeast"/>
        </w:trPr>
        <w:tc>
          <w:tcPr>
            <w:tcW w:w="287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326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3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6143"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3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3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CellMar>
            <w:top w:w="0" w:type="dxa"/>
            <w:left w:w="0" w:type="dxa"/>
            <w:bottom w:w="0" w:type="dxa"/>
            <w:right w:w="0" w:type="dxa"/>
          </w:tblCellMar>
        </w:tblPrEx>
        <w:trPr>
          <w:trHeight w:val="308" w:hRule="atLeast"/>
        </w:trPr>
        <w:tc>
          <w:tcPr>
            <w:tcW w:w="6143"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179.98</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576.60</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180.18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0.00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180.18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color w:val="000000"/>
                <w:sz w:val="22"/>
              </w:rPr>
            </w:pPr>
            <w:r>
              <w:rPr>
                <w:rFonts w:hint="eastAsia" w:ascii="宋体" w:hAnsi="宋体" w:cs="宋体"/>
                <w:b/>
                <w:color w:val="000000"/>
                <w:kern w:val="0"/>
                <w:sz w:val="22"/>
              </w:rPr>
              <w:t>576.39</w:t>
            </w: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w:t>
            </w: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179.98</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576.39</w:t>
            </w: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w:t>
            </w: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彩票公益金及对应专项债务收入安排的支出</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179.98</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576.60</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180.18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576.39</w:t>
            </w: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2296003</w:t>
            </w: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用于体育事业的彩票公益金支出</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106.98</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524.60</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107.18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107.18</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524.39</w:t>
            </w: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2296004</w:t>
            </w: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用于教育事业的彩票公益金支出</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73.00</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52.00</w:t>
            </w: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73.00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73.00</w:t>
            </w: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52.00</w:t>
            </w: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2877"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326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c>
          <w:tcPr>
            <w:tcW w:w="13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注：本表反映部门本年度政府性基金预算财政拨款收入、支出及结转和结余情况。本表金额转换为万元时，因四舍五入可能存在尾差。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hint="eastAsia" w:ascii="黑体" w:hAnsi="黑体" w:eastAsia="黑体" w:cs="黑体"/>
          <w:sz w:val="48"/>
          <w:szCs w:val="48"/>
        </w:rPr>
        <w:t>2018年度部门决算情况说明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 w:hAnsi="仿宋" w:eastAsia="仿宋" w:cs="仿宋"/>
          <w:sz w:val="32"/>
          <w:szCs w:val="32"/>
          <w:lang w:val="zh-CN"/>
        </w:rPr>
        <w:t>2018年度收、支总计为15,381.16万元。与上年度相比，收、支总计各增加6,923.82万元，增长81.87%。主要原因是各类专项资金下拨教育局包含营养餐、薄改资金、校舍维修等资金。</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ind w:firstLine="640" w:firstLineChars="200"/>
        <w:jc w:val="left"/>
        <w:rPr>
          <w:rFonts w:ascii="黑体" w:hAnsi="黑体" w:eastAsia="黑体" w:cs="黑体"/>
          <w:sz w:val="32"/>
          <w:szCs w:val="32"/>
        </w:rPr>
      </w:pPr>
      <w:r>
        <w:rPr>
          <w:rFonts w:hint="eastAsia" w:ascii="仿宋" w:hAnsi="仿宋" w:eastAsia="仿宋" w:cs="仿宋"/>
          <w:sz w:val="32"/>
          <w:szCs w:val="32"/>
          <w:lang w:val="zh-CN"/>
        </w:rPr>
        <w:t>2018年度收入合计12,519.81万元，其中：财政拨款收入12,519.81万元，占100%；</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lang w:val="zh-CN"/>
        </w:rPr>
        <w:t>2018年度支出合计8,979.99万元，其中：基本支出746.28万元，占8.31%；项目支出8,233.71万元，占91.69%。</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lang w:val="zh-CN"/>
        </w:rPr>
        <w:t>2018年度财政拨款收、支总计均为15,381.16万元。与上年度相比，财政拨款收、支总计各增加6,923.82万元，增长81.87%。主要原因是各类专项资金下拨教育局包含营养餐、薄改资金、校舍维修等资金的支出增加。</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lang w:val="zh-CN"/>
        </w:rPr>
        <w:t>2018年度一般公共预算财政拨款支出8,799.81万元，占本年支出合计的97.99%，与上年度相比，一般公共预算财政拨款支出增加3,591.03万元，增长68.94%，主要原因是项目支出中专项资金支出增加。</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018年度一般公共预算财政拨款支出8,799.81万元，主要用于以下方面：教育管理事务支出</w:t>
      </w:r>
      <w:r>
        <w:rPr>
          <w:rFonts w:hint="eastAsia" w:ascii="仿宋" w:hAnsi="仿宋" w:eastAsia="仿宋" w:cs="仿宋"/>
          <w:sz w:val="32"/>
          <w:szCs w:val="32"/>
        </w:rPr>
        <w:t>1220.86</w:t>
      </w:r>
      <w:r>
        <w:rPr>
          <w:rFonts w:hint="eastAsia" w:ascii="仿宋" w:hAnsi="仿宋" w:eastAsia="仿宋" w:cs="仿宋"/>
          <w:sz w:val="32"/>
          <w:szCs w:val="32"/>
          <w:lang w:val="zh-CN"/>
        </w:rPr>
        <w:t>万元，占</w:t>
      </w:r>
      <w:r>
        <w:rPr>
          <w:rFonts w:hint="eastAsia" w:ascii="仿宋" w:hAnsi="仿宋" w:eastAsia="仿宋" w:cs="仿宋"/>
          <w:sz w:val="32"/>
          <w:szCs w:val="32"/>
        </w:rPr>
        <w:t>13.87</w:t>
      </w:r>
      <w:r>
        <w:rPr>
          <w:rFonts w:hint="eastAsia" w:ascii="仿宋" w:hAnsi="仿宋" w:eastAsia="仿宋" w:cs="仿宋"/>
          <w:sz w:val="32"/>
          <w:szCs w:val="32"/>
          <w:lang w:val="zh-CN"/>
        </w:rPr>
        <w:t>%；普通教育支出</w:t>
      </w:r>
      <w:r>
        <w:rPr>
          <w:rFonts w:hint="eastAsia" w:ascii="仿宋" w:hAnsi="仿宋" w:eastAsia="仿宋" w:cs="仿宋"/>
          <w:sz w:val="32"/>
          <w:szCs w:val="32"/>
        </w:rPr>
        <w:t>4599.30</w:t>
      </w:r>
      <w:r>
        <w:rPr>
          <w:rFonts w:hint="eastAsia" w:ascii="仿宋" w:hAnsi="仿宋" w:eastAsia="仿宋" w:cs="仿宋"/>
          <w:sz w:val="32"/>
          <w:szCs w:val="32"/>
          <w:lang w:val="zh-CN"/>
        </w:rPr>
        <w:t>万元，占</w:t>
      </w:r>
      <w:r>
        <w:rPr>
          <w:rFonts w:hint="eastAsia" w:ascii="仿宋" w:hAnsi="仿宋" w:eastAsia="仿宋" w:cs="仿宋"/>
          <w:sz w:val="32"/>
          <w:szCs w:val="32"/>
        </w:rPr>
        <w:t>52.27</w:t>
      </w:r>
      <w:r>
        <w:rPr>
          <w:rFonts w:hint="eastAsia" w:ascii="仿宋" w:hAnsi="仿宋" w:eastAsia="仿宋" w:cs="仿宋"/>
          <w:sz w:val="32"/>
          <w:szCs w:val="32"/>
          <w:lang w:val="zh-CN"/>
        </w:rPr>
        <w:t>%；职业教育支出</w:t>
      </w:r>
      <w:r>
        <w:rPr>
          <w:rFonts w:hint="eastAsia" w:ascii="仿宋" w:hAnsi="仿宋" w:eastAsia="仿宋" w:cs="仿宋"/>
          <w:sz w:val="32"/>
          <w:szCs w:val="32"/>
        </w:rPr>
        <w:t>599.50万元，占6.81</w:t>
      </w:r>
      <w:r>
        <w:rPr>
          <w:rFonts w:hint="eastAsia" w:ascii="仿宋" w:hAnsi="仿宋" w:eastAsia="仿宋" w:cs="仿宋"/>
          <w:sz w:val="32"/>
          <w:szCs w:val="32"/>
          <w:lang w:val="zh-CN"/>
        </w:rPr>
        <w:t>%；其余包括培训费用支出</w:t>
      </w:r>
      <w:r>
        <w:rPr>
          <w:rFonts w:hint="eastAsia" w:ascii="仿宋" w:hAnsi="仿宋" w:eastAsia="仿宋" w:cs="仿宋"/>
          <w:sz w:val="32"/>
          <w:szCs w:val="32"/>
        </w:rPr>
        <w:t>63.95万元，占0.73</w:t>
      </w:r>
      <w:r>
        <w:rPr>
          <w:rFonts w:hint="eastAsia" w:ascii="仿宋" w:hAnsi="仿宋" w:eastAsia="仿宋" w:cs="仿宋"/>
          <w:sz w:val="32"/>
          <w:szCs w:val="32"/>
          <w:lang w:val="zh-CN"/>
        </w:rPr>
        <w:t>%；</w:t>
      </w:r>
      <w:r>
        <w:rPr>
          <w:rFonts w:hint="eastAsia" w:ascii="仿宋" w:hAnsi="仿宋" w:eastAsia="仿宋" w:cs="仿宋"/>
          <w:sz w:val="32"/>
          <w:szCs w:val="32"/>
        </w:rPr>
        <w:t>教育附加安排的支出1959.97万元，占22.27</w:t>
      </w:r>
      <w:r>
        <w:rPr>
          <w:rFonts w:hint="eastAsia" w:ascii="仿宋" w:hAnsi="仿宋" w:eastAsia="仿宋" w:cs="仿宋"/>
          <w:sz w:val="32"/>
          <w:szCs w:val="32"/>
          <w:lang w:val="zh-CN"/>
        </w:rPr>
        <w:t>%；</w:t>
      </w:r>
      <w:r>
        <w:rPr>
          <w:rFonts w:hint="eastAsia" w:ascii="仿宋" w:hAnsi="仿宋" w:eastAsia="仿宋" w:cs="仿宋"/>
          <w:sz w:val="32"/>
          <w:szCs w:val="32"/>
        </w:rPr>
        <w:t>群众体育支出19.83万元，占,0.22</w:t>
      </w:r>
      <w:r>
        <w:rPr>
          <w:rFonts w:hint="eastAsia" w:ascii="仿宋" w:hAnsi="仿宋" w:eastAsia="仿宋" w:cs="仿宋"/>
          <w:sz w:val="32"/>
          <w:szCs w:val="32"/>
          <w:lang w:val="zh-CN"/>
        </w:rPr>
        <w:t>%</w:t>
      </w:r>
      <w:r>
        <w:rPr>
          <w:rFonts w:hint="eastAsia" w:ascii="仿宋" w:hAnsi="仿宋" w:eastAsia="仿宋" w:cs="仿宋"/>
          <w:sz w:val="32"/>
          <w:szCs w:val="32"/>
        </w:rPr>
        <w:t>；农林水支出336.40万元占，3.83</w:t>
      </w:r>
      <w:r>
        <w:rPr>
          <w:rFonts w:hint="eastAsia" w:ascii="仿宋" w:hAnsi="仿宋" w:eastAsia="仿宋" w:cs="仿宋"/>
          <w:sz w:val="32"/>
          <w:szCs w:val="32"/>
          <w:lang w:val="zh-CN"/>
        </w:rPr>
        <w:t>%。</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2018年度一般公共预算财政拨款支出年初预算为8,799万元，支出决算为8,799.81万元，完成年初预算的100.0</w:t>
      </w:r>
      <w:r>
        <w:rPr>
          <w:rFonts w:hint="eastAsia" w:ascii="仿宋" w:hAnsi="仿宋" w:eastAsia="仿宋" w:cs="仿宋"/>
          <w:sz w:val="32"/>
          <w:szCs w:val="32"/>
        </w:rPr>
        <w:t>1</w:t>
      </w:r>
      <w:r>
        <w:rPr>
          <w:rFonts w:hint="eastAsia" w:ascii="仿宋" w:hAnsi="仿宋" w:eastAsia="仿宋" w:cs="仿宋"/>
          <w:sz w:val="32"/>
          <w:szCs w:val="32"/>
          <w:lang w:val="zh-CN"/>
        </w:rPr>
        <w:t>%。</w:t>
      </w:r>
    </w:p>
    <w:p>
      <w:pPr>
        <w:widowControl/>
        <w:numPr>
          <w:ilvl w:val="0"/>
          <w:numId w:val="0"/>
        </w:numPr>
        <w:spacing w:line="59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教育支出（类）教育管理事务（款）行政运行（项）年初预算为746.3万元，支出决算为746.3万元，完成年初预算的100%。</w:t>
      </w:r>
    </w:p>
    <w:p>
      <w:pPr>
        <w:widowControl/>
        <w:numPr>
          <w:ilvl w:val="0"/>
          <w:numId w:val="0"/>
        </w:numPr>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教育支出类（类）教育管理事务（款）一般行政管理事务（项）年初预算为474.6万元，支出决算为474.6万元，完成年初预算的100%。</w:t>
      </w:r>
    </w:p>
    <w:p>
      <w:pPr>
        <w:widowControl/>
        <w:numPr>
          <w:ilvl w:val="0"/>
          <w:numId w:val="0"/>
        </w:numPr>
        <w:spacing w:line="59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教育支出（类）普通教育（款）学前教育（项）年初预算为576.7万元，支出决算为576.7万元，完成年初预算的100%。</w:t>
      </w:r>
    </w:p>
    <w:p>
      <w:pPr>
        <w:widowControl/>
        <w:numPr>
          <w:ilvl w:val="0"/>
          <w:numId w:val="0"/>
        </w:numPr>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教育支出（类）普通教育（款）小学教育（项）年初预算为2662.0万元，支出决算为2662.0万元，完成年初预算的100%。</w:t>
      </w:r>
    </w:p>
    <w:p>
      <w:pPr>
        <w:widowControl/>
        <w:numPr>
          <w:ilvl w:val="0"/>
          <w:numId w:val="0"/>
        </w:numPr>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教育支出（类）普通教育（款）初中教育（项）年初预算为209.6万元，支出决算为209.6万元，完成年初预算的100%。</w:t>
      </w:r>
    </w:p>
    <w:p>
      <w:pPr>
        <w:widowControl/>
        <w:numPr>
          <w:ilvl w:val="0"/>
          <w:numId w:val="0"/>
        </w:numPr>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rPr>
        <w:t>教育支出（类）普通教育（款）高中教育（项）年初预算为429.7万元，支出决算为429.7万元，完成年初预算的100%。</w:t>
      </w:r>
    </w:p>
    <w:p>
      <w:pPr>
        <w:widowControl/>
        <w:numPr>
          <w:ilvl w:val="0"/>
          <w:numId w:val="0"/>
        </w:numPr>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rPr>
        <w:t>教育支出（类）普通教育（款）高等教育（项）年初预算为3.7万元，支出决算为3.7万元，完成年初预算的100%。</w:t>
      </w:r>
    </w:p>
    <w:p>
      <w:pPr>
        <w:widowControl/>
        <w:numPr>
          <w:ilvl w:val="0"/>
          <w:numId w:val="0"/>
        </w:numPr>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rPr>
        <w:t>教育支出（类）普通教育（款）其他普通教育支出（项）年初预算为717.5万元，支出决算为717.5万元，完成年初预算的100%。</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rPr>
        <w:t>．教育支出（类）职业教育（款）中专教育（项）年初预算为599.5万元，支出决算为599.5万元，完成年初预算的100%。</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．教育支出（类）进修及培训（款）培训支出（项）年初预算为</w:t>
      </w:r>
      <w:r>
        <w:rPr>
          <w:rFonts w:hint="eastAsia" w:ascii="仿宋" w:hAnsi="仿宋" w:eastAsia="仿宋" w:cs="仿宋"/>
          <w:sz w:val="32"/>
          <w:szCs w:val="32"/>
        </w:rPr>
        <w:t>63.95</w:t>
      </w:r>
      <w:r>
        <w:rPr>
          <w:rFonts w:hint="eastAsia" w:ascii="仿宋" w:hAnsi="仿宋" w:eastAsia="仿宋" w:cs="仿宋"/>
          <w:sz w:val="32"/>
          <w:szCs w:val="32"/>
          <w:lang w:val="zh-CN"/>
        </w:rPr>
        <w:t>万元，支出决算为</w:t>
      </w:r>
      <w:r>
        <w:rPr>
          <w:rFonts w:hint="eastAsia" w:ascii="仿宋" w:hAnsi="仿宋" w:eastAsia="仿宋" w:cs="仿宋"/>
          <w:sz w:val="32"/>
          <w:szCs w:val="32"/>
        </w:rPr>
        <w:t>63.95</w:t>
      </w:r>
      <w:r>
        <w:rPr>
          <w:rFonts w:hint="eastAsia" w:ascii="仿宋" w:hAnsi="仿宋" w:eastAsia="仿宋" w:cs="仿宋"/>
          <w:sz w:val="32"/>
          <w:szCs w:val="32"/>
          <w:lang w:val="zh-CN"/>
        </w:rPr>
        <w:t>万元，完成年初预算的100%。</w:t>
      </w:r>
    </w:p>
    <w:p>
      <w:pPr>
        <w:widowControl/>
        <w:spacing w:line="59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11</w:t>
      </w:r>
      <w:r>
        <w:rPr>
          <w:rFonts w:hint="eastAsia" w:ascii="仿宋" w:hAnsi="仿宋" w:eastAsia="仿宋" w:cs="仿宋"/>
          <w:sz w:val="32"/>
          <w:szCs w:val="32"/>
          <w:lang w:val="zh-CN"/>
        </w:rPr>
        <w:t>．教育支出（类）教育费附加安排的支出（款）其他中小学教学设施（项）年初预算为</w:t>
      </w:r>
      <w:r>
        <w:rPr>
          <w:rFonts w:hint="eastAsia" w:ascii="仿宋" w:hAnsi="仿宋" w:eastAsia="仿宋" w:cs="仿宋"/>
          <w:sz w:val="32"/>
          <w:szCs w:val="32"/>
          <w:lang w:val="en-US" w:eastAsia="zh-CN"/>
        </w:rPr>
        <w:t>1672.38</w:t>
      </w:r>
      <w:r>
        <w:rPr>
          <w:rFonts w:hint="eastAsia" w:ascii="仿宋" w:hAnsi="仿宋" w:eastAsia="仿宋" w:cs="仿宋"/>
          <w:sz w:val="32"/>
          <w:szCs w:val="32"/>
          <w:lang w:val="zh-CN"/>
        </w:rPr>
        <w:t>万元，支出决算为</w:t>
      </w:r>
      <w:r>
        <w:rPr>
          <w:rFonts w:hint="eastAsia" w:ascii="仿宋" w:hAnsi="仿宋" w:eastAsia="仿宋" w:cs="仿宋"/>
          <w:sz w:val="32"/>
          <w:szCs w:val="32"/>
          <w:lang w:val="en-US" w:eastAsia="zh-CN"/>
        </w:rPr>
        <w:t>1672.38</w:t>
      </w:r>
      <w:r>
        <w:rPr>
          <w:rFonts w:hint="eastAsia" w:ascii="仿宋" w:hAnsi="仿宋" w:eastAsia="仿宋" w:cs="仿宋"/>
          <w:sz w:val="32"/>
          <w:szCs w:val="32"/>
          <w:lang w:val="zh-CN"/>
        </w:rPr>
        <w:t>万元，完成年初预算的100%。</w:t>
      </w:r>
    </w:p>
    <w:p>
      <w:pPr>
        <w:widowControl/>
        <w:spacing w:line="59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12.</w:t>
      </w:r>
      <w:r>
        <w:rPr>
          <w:rFonts w:hint="eastAsia" w:ascii="仿宋" w:hAnsi="仿宋" w:eastAsia="仿宋" w:cs="仿宋"/>
          <w:sz w:val="32"/>
          <w:szCs w:val="32"/>
          <w:lang w:val="zh-CN"/>
        </w:rPr>
        <w:t>教育支出（类）教育费附加安排的</w:t>
      </w:r>
      <w:bookmarkStart w:id="0" w:name="_GoBack"/>
      <w:bookmarkEnd w:id="0"/>
      <w:r>
        <w:rPr>
          <w:rFonts w:hint="eastAsia" w:ascii="仿宋" w:hAnsi="仿宋" w:eastAsia="仿宋" w:cs="仿宋"/>
          <w:sz w:val="32"/>
          <w:szCs w:val="32"/>
          <w:lang w:val="zh-CN"/>
        </w:rPr>
        <w:t>支出（款）其它教育附加安排的支出（项）年初预算为</w:t>
      </w:r>
      <w:r>
        <w:rPr>
          <w:rFonts w:hint="eastAsia" w:ascii="仿宋" w:hAnsi="仿宋" w:eastAsia="仿宋" w:cs="仿宋"/>
          <w:sz w:val="32"/>
          <w:szCs w:val="32"/>
          <w:lang w:val="en-US" w:eastAsia="zh-CN"/>
        </w:rPr>
        <w:t>300.00</w:t>
      </w:r>
      <w:r>
        <w:rPr>
          <w:rFonts w:hint="eastAsia" w:ascii="仿宋" w:hAnsi="仿宋" w:eastAsia="仿宋" w:cs="仿宋"/>
          <w:sz w:val="32"/>
          <w:szCs w:val="32"/>
          <w:lang w:val="zh-CN"/>
        </w:rPr>
        <w:t>万元，支出决算为</w:t>
      </w:r>
      <w:r>
        <w:rPr>
          <w:rFonts w:hint="eastAsia" w:ascii="仿宋" w:hAnsi="仿宋" w:eastAsia="仿宋" w:cs="仿宋"/>
          <w:sz w:val="32"/>
          <w:szCs w:val="32"/>
          <w:lang w:val="en-US" w:eastAsia="zh-CN"/>
        </w:rPr>
        <w:t>300.00</w:t>
      </w:r>
      <w:r>
        <w:rPr>
          <w:rFonts w:hint="eastAsia" w:ascii="仿宋" w:hAnsi="仿宋" w:eastAsia="仿宋" w:cs="仿宋"/>
          <w:sz w:val="32"/>
          <w:szCs w:val="32"/>
          <w:lang w:val="zh-CN"/>
        </w:rPr>
        <w:t>万元，完成年初预算的100%。</w:t>
      </w:r>
    </w:p>
    <w:p>
      <w:pPr>
        <w:widowControl/>
        <w:spacing w:line="590" w:lineRule="exact"/>
        <w:ind w:firstLine="640" w:firstLineChars="200"/>
        <w:rPr>
          <w:rFonts w:hint="eastAsia" w:ascii="仿宋" w:hAnsi="仿宋" w:eastAsia="仿宋" w:cs="仿宋"/>
          <w:sz w:val="32"/>
          <w:szCs w:val="32"/>
          <w:lang w:val="zh-CN"/>
        </w:rPr>
      </w:pP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13</w:t>
      </w:r>
      <w:r>
        <w:rPr>
          <w:rFonts w:hint="eastAsia" w:ascii="仿宋" w:hAnsi="仿宋" w:eastAsia="仿宋" w:cs="仿宋"/>
          <w:sz w:val="32"/>
          <w:szCs w:val="32"/>
          <w:lang w:val="zh-CN"/>
        </w:rPr>
        <w:t>．文化体育与传媒支出（类）体育（款）群众体育（项）年初预算为19.8万元，支出决算为19.8万元，完成年初预算的100%。</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14</w:t>
      </w:r>
      <w:r>
        <w:rPr>
          <w:rFonts w:hint="eastAsia" w:ascii="仿宋" w:hAnsi="仿宋" w:eastAsia="仿宋" w:cs="仿宋"/>
          <w:sz w:val="32"/>
          <w:szCs w:val="32"/>
          <w:lang w:val="zh-CN"/>
        </w:rPr>
        <w:t>．农林水支出（类）农业（款）其他农业支出（项）年初预算为229.8万元，支出决算为229.8万元，完成年初预算的100%。</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en-US" w:eastAsia="zh-CN"/>
        </w:rPr>
        <w:t>15</w:t>
      </w:r>
      <w:r>
        <w:rPr>
          <w:rFonts w:hint="eastAsia" w:ascii="仿宋" w:hAnsi="仿宋" w:eastAsia="仿宋" w:cs="仿宋"/>
          <w:sz w:val="32"/>
          <w:szCs w:val="32"/>
          <w:lang w:val="zh-CN"/>
        </w:rPr>
        <w:t>．农林水支出（类）扶贫（款）社会发展（项）年初预算为106.6万元，支出决算为106.6万元，完成年初预算的100%。</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ind w:firstLine="760" w:firstLineChars="200"/>
        <w:jc w:val="left"/>
        <w:rPr>
          <w:rFonts w:ascii="宋体" w:hAnsi="宋体"/>
          <w:sz w:val="38"/>
          <w:lang w:val="zh-CN"/>
        </w:rPr>
      </w:pPr>
      <w:r>
        <w:rPr>
          <w:rFonts w:hint="eastAsia" w:ascii="宋体" w:hAnsi="宋体"/>
          <w:sz w:val="38"/>
          <w:lang w:val="zh-CN"/>
        </w:rPr>
        <w:t>2</w:t>
      </w:r>
      <w:r>
        <w:rPr>
          <w:rFonts w:hint="eastAsia" w:ascii="仿宋" w:hAnsi="仿宋" w:eastAsia="仿宋" w:cs="仿宋"/>
          <w:sz w:val="32"/>
          <w:szCs w:val="32"/>
          <w:lang w:val="zh-CN"/>
        </w:rPr>
        <w:t>018年度一般公共预算财政拨款基本支出746.28万元。</w:t>
      </w:r>
      <w:r>
        <w:rPr>
          <w:rFonts w:hint="eastAsia" w:ascii="仿宋_GB2312" w:hAnsi="仿宋_GB2312" w:eastAsia="仿宋_GB2312" w:cs="仿宋_GB2312"/>
          <w:sz w:val="32"/>
          <w:szCs w:val="32"/>
        </w:rPr>
        <w:t>与上年度相比，减少267.7万元，下降26.4%，主要原因：公用经费支出减少，</w:t>
      </w:r>
      <w:r>
        <w:rPr>
          <w:rFonts w:hint="eastAsia" w:ascii="仿宋_GB2312" w:hAnsi="仿宋_GB2312" w:eastAsia="仿宋_GB2312" w:cs="仿宋_GB2312"/>
          <w:color w:val="000000" w:themeColor="text1"/>
          <w:sz w:val="32"/>
          <w:szCs w:val="32"/>
        </w:rPr>
        <w:t>保安工资支出列支项目支出</w:t>
      </w:r>
      <w:r>
        <w:rPr>
          <w:rFonts w:hint="eastAsia" w:ascii="仿宋_GB2312" w:hAnsi="仿宋_GB2312" w:eastAsia="仿宋_GB2312" w:cs="仿宋_GB2312"/>
          <w:sz w:val="32"/>
          <w:szCs w:val="32"/>
        </w:rPr>
        <w:t>。</w:t>
      </w:r>
      <w:r>
        <w:rPr>
          <w:rFonts w:hint="eastAsia" w:ascii="仿宋" w:hAnsi="仿宋" w:eastAsia="仿宋" w:cs="仿宋"/>
          <w:sz w:val="32"/>
          <w:szCs w:val="32"/>
          <w:lang w:val="zh-CN"/>
        </w:rPr>
        <w:t>其中：人员经费668.85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77.44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018年度“三公”经费财政拨款支出预算为7万元，支出决算为1.71万元，完成预算的24.</w:t>
      </w:r>
      <w:r>
        <w:rPr>
          <w:rFonts w:hint="eastAsia" w:ascii="仿宋" w:hAnsi="仿宋" w:eastAsia="仿宋" w:cs="仿宋"/>
          <w:sz w:val="32"/>
          <w:szCs w:val="32"/>
        </w:rPr>
        <w:t>43</w:t>
      </w:r>
      <w:r>
        <w:rPr>
          <w:rFonts w:hint="eastAsia" w:ascii="仿宋" w:hAnsi="仿宋" w:eastAsia="仿宋" w:cs="仿宋"/>
          <w:sz w:val="32"/>
          <w:szCs w:val="32"/>
          <w:lang w:val="zh-CN"/>
        </w:rPr>
        <w:t>%。2018年度“三公”经费支出决算数与预算数存在差异的主要原因是一是</w:t>
      </w:r>
      <w:r>
        <w:rPr>
          <w:rFonts w:hint="eastAsia" w:ascii="仿宋" w:hAnsi="仿宋" w:eastAsia="仿宋" w:cs="仿宋"/>
          <w:kern w:val="0"/>
          <w:sz w:val="32"/>
          <w:szCs w:val="32"/>
          <w:lang w:val="zh-CN"/>
        </w:rPr>
        <w:t>减少接待开支、减少公务用车日常维护费用，二是</w:t>
      </w:r>
      <w:r>
        <w:rPr>
          <w:rFonts w:hint="eastAsia" w:ascii="仿宋" w:hAnsi="仿宋" w:eastAsia="仿宋" w:cs="仿宋"/>
          <w:sz w:val="32"/>
          <w:szCs w:val="32"/>
          <w:lang w:val="zh-CN"/>
        </w:rPr>
        <w:t>年终部分三公经费资金未进行支付，结转下年支付。</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2018年度“三公”经费财政拨款支出决算中，因公出国（境）费支出决算0万元，完成预算的0%，占0%；公务用车购置及运行费支出决算1.16万元，完成预算38.52%，占67.4</w:t>
      </w:r>
      <w:r>
        <w:rPr>
          <w:rFonts w:hint="eastAsia" w:ascii="仿宋" w:hAnsi="仿宋" w:eastAsia="仿宋" w:cs="仿宋"/>
          <w:sz w:val="32"/>
          <w:szCs w:val="32"/>
        </w:rPr>
        <w:t>6</w:t>
      </w:r>
      <w:r>
        <w:rPr>
          <w:rFonts w:hint="eastAsia" w:ascii="仿宋" w:hAnsi="仿宋" w:eastAsia="仿宋" w:cs="仿宋"/>
          <w:sz w:val="32"/>
          <w:szCs w:val="32"/>
          <w:lang w:val="zh-CN"/>
        </w:rPr>
        <w:t>%；公务接待费支出决算0.56万元，完成预算的13.9</w:t>
      </w:r>
      <w:r>
        <w:rPr>
          <w:rFonts w:hint="eastAsia" w:ascii="仿宋" w:hAnsi="仿宋" w:eastAsia="仿宋" w:cs="仿宋"/>
          <w:sz w:val="32"/>
          <w:szCs w:val="32"/>
        </w:rPr>
        <w:t>4</w:t>
      </w:r>
      <w:r>
        <w:rPr>
          <w:rFonts w:hint="eastAsia" w:ascii="仿宋" w:hAnsi="仿宋" w:eastAsia="仿宋" w:cs="仿宋"/>
          <w:sz w:val="32"/>
          <w:szCs w:val="32"/>
          <w:lang w:val="zh-CN"/>
        </w:rPr>
        <w:t>%，占32.54</w:t>
      </w:r>
      <w:r>
        <w:rPr>
          <w:rFonts w:hint="eastAsia" w:ascii="仿宋" w:hAnsi="仿宋" w:eastAsia="仿宋" w:cs="仿宋"/>
          <w:sz w:val="32"/>
          <w:szCs w:val="32"/>
        </w:rPr>
        <w:t>4</w:t>
      </w:r>
      <w:r>
        <w:rPr>
          <w:rFonts w:hint="eastAsia" w:ascii="仿宋" w:hAnsi="仿宋" w:eastAsia="仿宋" w:cs="仿宋"/>
          <w:sz w:val="32"/>
          <w:szCs w:val="32"/>
          <w:lang w:val="zh-CN"/>
        </w:rPr>
        <w:t>%。具体情况如下：</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1．因公出国（境）费年初预算为0万元，支出决算为0万元，完成年初预算的0%。比上年度增加0万元，增长0%。</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2．公务用车购置及运行费初预算为3万元，支出决算为1.16万元，完成年初预算的38.</w:t>
      </w:r>
      <w:r>
        <w:rPr>
          <w:rFonts w:hint="eastAsia" w:ascii="仿宋" w:hAnsi="仿宋" w:eastAsia="仿宋" w:cs="仿宋"/>
          <w:sz w:val="32"/>
          <w:szCs w:val="32"/>
        </w:rPr>
        <w:t>67</w:t>
      </w:r>
      <w:r>
        <w:rPr>
          <w:rFonts w:hint="eastAsia" w:ascii="仿宋" w:hAnsi="仿宋" w:eastAsia="仿宋" w:cs="仿宋"/>
          <w:sz w:val="32"/>
          <w:szCs w:val="32"/>
          <w:lang w:val="zh-CN"/>
        </w:rPr>
        <w:t>%。</w:t>
      </w:r>
      <w:r>
        <w:rPr>
          <w:rFonts w:hint="eastAsia" w:ascii="仿宋_GB2312" w:hAnsi="仿宋_GB2312" w:eastAsia="仿宋_GB2312" w:cs="仿宋_GB2312"/>
          <w:sz w:val="32"/>
          <w:szCs w:val="32"/>
        </w:rPr>
        <w:t>2018年期末，部门开支财政拨款的公务用车保有量为1辆。</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3.公务接待费初预算为4万元，支出决算为0.56万元，完成年初预算的13.9</w:t>
      </w:r>
      <w:r>
        <w:rPr>
          <w:rFonts w:hint="eastAsia" w:ascii="仿宋" w:hAnsi="仿宋" w:eastAsia="仿宋" w:cs="仿宋"/>
          <w:sz w:val="32"/>
          <w:szCs w:val="32"/>
        </w:rPr>
        <w:t>4</w:t>
      </w:r>
      <w:r>
        <w:rPr>
          <w:rFonts w:hint="eastAsia" w:ascii="仿宋" w:hAnsi="仿宋" w:eastAsia="仿宋" w:cs="仿宋"/>
          <w:sz w:val="32"/>
          <w:szCs w:val="32"/>
          <w:lang w:val="zh-CN"/>
        </w:rPr>
        <w:t>%。决算数与年初预算数存在差异的主要原因是</w:t>
      </w:r>
      <w:r>
        <w:rPr>
          <w:rFonts w:hint="eastAsia" w:ascii="仿宋" w:hAnsi="仿宋" w:eastAsia="仿宋" w:cs="仿宋"/>
          <w:kern w:val="0"/>
          <w:sz w:val="32"/>
          <w:szCs w:val="32"/>
          <w:lang w:val="zh-CN"/>
        </w:rPr>
        <w:t>减少接待开支，</w:t>
      </w:r>
      <w:r>
        <w:rPr>
          <w:rFonts w:hint="eastAsia" w:ascii="仿宋" w:hAnsi="仿宋" w:eastAsia="仿宋" w:cs="仿宋"/>
          <w:sz w:val="32"/>
          <w:szCs w:val="32"/>
          <w:lang w:val="zh-CN"/>
        </w:rPr>
        <w:t>部分费用结转下年支付。2018年共接待国内来访团</w:t>
      </w:r>
      <w:r>
        <w:rPr>
          <w:rFonts w:hint="eastAsia" w:ascii="仿宋" w:hAnsi="仿宋" w:eastAsia="仿宋" w:cs="仿宋"/>
          <w:sz w:val="32"/>
          <w:szCs w:val="32"/>
        </w:rPr>
        <w:t>14</w:t>
      </w:r>
      <w:r>
        <w:rPr>
          <w:rFonts w:hint="eastAsia" w:ascii="仿宋" w:hAnsi="仿宋" w:eastAsia="仿宋" w:cs="仿宋"/>
          <w:sz w:val="32"/>
          <w:szCs w:val="32"/>
          <w:lang w:val="zh-CN"/>
        </w:rPr>
        <w:t>组个、来宾</w:t>
      </w:r>
      <w:r>
        <w:rPr>
          <w:rFonts w:hint="eastAsia" w:ascii="仿宋" w:hAnsi="仿宋" w:eastAsia="仿宋" w:cs="仿宋"/>
          <w:sz w:val="32"/>
          <w:szCs w:val="32"/>
        </w:rPr>
        <w:t>120</w:t>
      </w:r>
      <w:r>
        <w:rPr>
          <w:rFonts w:hint="eastAsia" w:ascii="仿宋" w:hAnsi="仿宋" w:eastAsia="仿宋" w:cs="仿宋"/>
          <w:sz w:val="32"/>
          <w:szCs w:val="32"/>
          <w:lang w:val="zh-CN"/>
        </w:rPr>
        <w:t>人次。</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公务接待费支出决算比上年度增加减少</w:t>
      </w:r>
      <w:r>
        <w:rPr>
          <w:rFonts w:hint="eastAsia" w:ascii="仿宋" w:hAnsi="仿宋" w:eastAsia="仿宋" w:cs="仿宋"/>
          <w:sz w:val="32"/>
          <w:szCs w:val="32"/>
        </w:rPr>
        <w:t>3.39</w:t>
      </w:r>
      <w:r>
        <w:rPr>
          <w:rFonts w:hint="eastAsia" w:ascii="仿宋" w:hAnsi="仿宋" w:eastAsia="仿宋" w:cs="仿宋"/>
          <w:sz w:val="32"/>
          <w:szCs w:val="32"/>
          <w:lang w:val="zh-CN"/>
        </w:rPr>
        <w:t>万元，下降</w:t>
      </w:r>
      <w:r>
        <w:rPr>
          <w:rFonts w:hint="eastAsia" w:ascii="仿宋" w:hAnsi="仿宋" w:eastAsia="仿宋" w:cs="仿宋"/>
          <w:sz w:val="32"/>
          <w:szCs w:val="32"/>
        </w:rPr>
        <w:t>85.8</w:t>
      </w:r>
      <w:r>
        <w:rPr>
          <w:rFonts w:hint="eastAsia" w:ascii="仿宋" w:hAnsi="仿宋" w:eastAsia="仿宋" w:cs="仿宋"/>
          <w:sz w:val="32"/>
          <w:szCs w:val="32"/>
          <w:lang w:val="zh-CN"/>
        </w:rPr>
        <w:t>%,主要原因是</w:t>
      </w:r>
      <w:r>
        <w:rPr>
          <w:rFonts w:hint="eastAsia" w:ascii="仿宋" w:hAnsi="仿宋" w:eastAsia="仿宋" w:cs="仿宋"/>
          <w:kern w:val="0"/>
          <w:sz w:val="32"/>
          <w:szCs w:val="32"/>
          <w:lang w:val="zh-CN"/>
        </w:rPr>
        <w:t>减少接待开支，部分接待费用结转下年列支</w:t>
      </w:r>
      <w:r>
        <w:rPr>
          <w:rFonts w:hint="eastAsia" w:ascii="仿宋" w:hAnsi="仿宋" w:eastAsia="仿宋" w:cs="仿宋"/>
          <w:sz w:val="32"/>
          <w:szCs w:val="32"/>
          <w:lang w:val="zh-CN"/>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（一）绩效管理工作开展情况。</w:t>
      </w:r>
    </w:p>
    <w:p>
      <w:pPr>
        <w:pStyle w:val="5"/>
        <w:widowControl/>
        <w:spacing w:before="0" w:beforeAutospacing="0" w:after="0" w:afterAutospacing="0" w:line="450" w:lineRule="atLeast"/>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sz w:val="32"/>
          <w:szCs w:val="32"/>
          <w:highlight w:val="none"/>
        </w:rPr>
        <w:t>以绩效目标实现为导向，进一步加强制度建设，提升自评质量，预算绩效管理取得新成效。一是建立完善绩效管理制度。二是完善重点绩效评价项目绩效目标确定机制。三是继续组织部门开展部门自评工作。四是健全评价机制。五是强化绩效评价结果运用。</w:t>
      </w:r>
    </w:p>
    <w:p>
      <w:pPr>
        <w:widowControl/>
        <w:numPr>
          <w:ilvl w:val="0"/>
          <w:numId w:val="2"/>
        </w:num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项目绩效自评结果。</w:t>
      </w:r>
    </w:p>
    <w:p>
      <w:pPr>
        <w:widowControl/>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积极保证各项目按计划实施到位，确保资金按项目实施进度拨付到位，确保每个项目达到预期实效，高效完成各项目工作。</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ind w:firstLine="640" w:firstLineChars="200"/>
        <w:jc w:val="left"/>
        <w:rPr>
          <w:rFonts w:ascii="宋体" w:hAnsi="宋体"/>
          <w:sz w:val="32"/>
          <w:szCs w:val="32"/>
          <w:lang w:val="zh-CN"/>
        </w:rPr>
      </w:pPr>
      <w:r>
        <w:rPr>
          <w:rFonts w:hint="eastAsia" w:ascii="仿宋" w:hAnsi="仿宋" w:eastAsia="仿宋" w:cs="仿宋"/>
          <w:sz w:val="32"/>
          <w:szCs w:val="32"/>
          <w:lang w:val="zh-CN"/>
        </w:rPr>
        <w:t>2018年度政府性基金预算财政拨款支出年初预算为180.18万元，支出决算为180.18万元，完成年初预算的100%，主要用于体育项目支出、学校少年宫运行支出。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2018年度机关运行经费初预算为</w:t>
      </w:r>
      <w:r>
        <w:rPr>
          <w:rFonts w:hint="eastAsia" w:ascii="仿宋" w:hAnsi="仿宋" w:eastAsia="仿宋" w:cs="仿宋"/>
          <w:sz w:val="32"/>
          <w:szCs w:val="32"/>
        </w:rPr>
        <w:t>34.83</w:t>
      </w:r>
      <w:r>
        <w:rPr>
          <w:rFonts w:hint="eastAsia" w:ascii="仿宋" w:hAnsi="仿宋" w:eastAsia="仿宋" w:cs="仿宋"/>
          <w:sz w:val="32"/>
          <w:szCs w:val="32"/>
          <w:lang w:val="zh-CN"/>
        </w:rPr>
        <w:t>万元，支出决算为</w:t>
      </w:r>
      <w:r>
        <w:rPr>
          <w:rFonts w:hint="eastAsia" w:ascii="仿宋" w:hAnsi="仿宋" w:eastAsia="仿宋" w:cs="仿宋"/>
          <w:sz w:val="32"/>
          <w:szCs w:val="32"/>
        </w:rPr>
        <w:t>77.44</w:t>
      </w:r>
      <w:r>
        <w:rPr>
          <w:rFonts w:hint="eastAsia" w:ascii="仿宋" w:hAnsi="仿宋" w:eastAsia="仿宋" w:cs="仿宋"/>
          <w:sz w:val="32"/>
          <w:szCs w:val="32"/>
          <w:lang w:val="zh-CN"/>
        </w:rPr>
        <w:t>万元，完成年初预算的</w:t>
      </w:r>
      <w:r>
        <w:rPr>
          <w:rFonts w:hint="eastAsia" w:ascii="仿宋" w:hAnsi="仿宋" w:eastAsia="仿宋" w:cs="仿宋"/>
          <w:sz w:val="32"/>
          <w:szCs w:val="32"/>
        </w:rPr>
        <w:t>122.3</w:t>
      </w:r>
      <w:r>
        <w:rPr>
          <w:rFonts w:hint="eastAsia" w:ascii="仿宋" w:hAnsi="仿宋" w:eastAsia="仿宋" w:cs="仿宋"/>
          <w:sz w:val="32"/>
          <w:szCs w:val="32"/>
          <w:lang w:val="zh-CN"/>
        </w:rPr>
        <w:t>%。决算数与年初预算数存在差异的主要原因是部门决算前，还有应付账款未转账。</w:t>
      </w:r>
    </w:p>
    <w:p>
      <w:pPr>
        <w:widowControl/>
        <w:spacing w:line="590" w:lineRule="exact"/>
        <w:ind w:firstLine="640" w:firstLineChars="200"/>
        <w:rPr>
          <w:rFonts w:ascii="仿宋" w:hAnsi="仿宋" w:eastAsia="仿宋" w:cs="仿宋"/>
          <w:sz w:val="32"/>
          <w:szCs w:val="32"/>
          <w:lang w:val="zh-CN"/>
        </w:rPr>
      </w:pPr>
      <w:r>
        <w:rPr>
          <w:rFonts w:hint="eastAsia" w:ascii="仿宋_GB2312" w:hAnsi="仿宋_GB2312" w:eastAsia="仿宋_GB2312" w:cs="仿宋_GB2312"/>
          <w:color w:val="000000" w:themeColor="text1"/>
          <w:sz w:val="32"/>
          <w:szCs w:val="32"/>
        </w:rPr>
        <w:t>2018年度机关运行经费支出较上年度增加5.2万元，增长7.2%。增加的主要原因是：信访维稳及扶贫差旅费增加。</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lang w:val="zh-CN"/>
        </w:rPr>
        <w:t>2018年度政府采购支出总额</w:t>
      </w:r>
      <w:r>
        <w:rPr>
          <w:rFonts w:hint="eastAsia" w:ascii="仿宋" w:hAnsi="仿宋" w:eastAsia="仿宋" w:cs="仿宋"/>
          <w:sz w:val="32"/>
          <w:szCs w:val="32"/>
        </w:rPr>
        <w:t>882.57</w:t>
      </w:r>
      <w:r>
        <w:rPr>
          <w:rFonts w:hint="eastAsia" w:ascii="仿宋" w:hAnsi="仿宋" w:eastAsia="仿宋" w:cs="仿宋"/>
          <w:sz w:val="32"/>
          <w:szCs w:val="32"/>
          <w:lang w:val="zh-CN"/>
        </w:rPr>
        <w:t>万元，其中：政府采购货物支出</w:t>
      </w:r>
      <w:r>
        <w:rPr>
          <w:rFonts w:hint="eastAsia" w:ascii="仿宋" w:hAnsi="仿宋" w:eastAsia="仿宋" w:cs="仿宋"/>
          <w:sz w:val="32"/>
          <w:szCs w:val="32"/>
        </w:rPr>
        <w:t>767.71</w:t>
      </w:r>
      <w:r>
        <w:rPr>
          <w:rFonts w:hint="eastAsia" w:ascii="仿宋" w:hAnsi="仿宋" w:eastAsia="仿宋" w:cs="仿宋"/>
          <w:sz w:val="32"/>
          <w:szCs w:val="32"/>
          <w:lang w:val="zh-CN"/>
        </w:rPr>
        <w:t>万元、政府采购工程支出</w:t>
      </w:r>
      <w:r>
        <w:rPr>
          <w:rFonts w:hint="eastAsia" w:ascii="仿宋" w:hAnsi="仿宋" w:eastAsia="仿宋" w:cs="仿宋"/>
          <w:sz w:val="32"/>
          <w:szCs w:val="32"/>
        </w:rPr>
        <w:t>114.86</w:t>
      </w:r>
      <w:r>
        <w:rPr>
          <w:rFonts w:hint="eastAsia" w:ascii="仿宋" w:hAnsi="仿宋" w:eastAsia="仿宋" w:cs="仿宋"/>
          <w:sz w:val="32"/>
          <w:szCs w:val="32"/>
          <w:lang w:val="zh-CN"/>
        </w:rPr>
        <w:t>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2018年期末，我部门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2B296"/>
    <w:multiLevelType w:val="singleLevel"/>
    <w:tmpl w:val="F852B296"/>
    <w:lvl w:ilvl="0" w:tentative="0">
      <w:start w:val="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811E0"/>
    <w:rsid w:val="0068526C"/>
    <w:rsid w:val="00F3236D"/>
    <w:rsid w:val="00F811E0"/>
    <w:rsid w:val="0133444A"/>
    <w:rsid w:val="0493313C"/>
    <w:rsid w:val="086E68BE"/>
    <w:rsid w:val="08CD04ED"/>
    <w:rsid w:val="08E05248"/>
    <w:rsid w:val="0BA47FC1"/>
    <w:rsid w:val="121D6874"/>
    <w:rsid w:val="172F1C56"/>
    <w:rsid w:val="1B6B0CD9"/>
    <w:rsid w:val="1B805DCB"/>
    <w:rsid w:val="2AB15F0F"/>
    <w:rsid w:val="2E552143"/>
    <w:rsid w:val="2E690616"/>
    <w:rsid w:val="31875C01"/>
    <w:rsid w:val="3CFF0B59"/>
    <w:rsid w:val="3E8F4BDB"/>
    <w:rsid w:val="40B1444B"/>
    <w:rsid w:val="41A66AC1"/>
    <w:rsid w:val="42A61469"/>
    <w:rsid w:val="4343383E"/>
    <w:rsid w:val="4AB06DE6"/>
    <w:rsid w:val="4C4D0A01"/>
    <w:rsid w:val="4C582532"/>
    <w:rsid w:val="4E3B4861"/>
    <w:rsid w:val="4FB22B9D"/>
    <w:rsid w:val="537C6D53"/>
    <w:rsid w:val="574D0335"/>
    <w:rsid w:val="5B913C90"/>
    <w:rsid w:val="5C197365"/>
    <w:rsid w:val="5D895803"/>
    <w:rsid w:val="5EEB4C9B"/>
    <w:rsid w:val="5F836CEC"/>
    <w:rsid w:val="663761AC"/>
    <w:rsid w:val="68901B7F"/>
    <w:rsid w:val="6BF41BBD"/>
    <w:rsid w:val="6EDE023C"/>
    <w:rsid w:val="6FFC1324"/>
    <w:rsid w:val="75683A1C"/>
    <w:rsid w:val="77AD4427"/>
    <w:rsid w:val="78CD0F65"/>
    <w:rsid w:val="78E92576"/>
    <w:rsid w:val="79F4003E"/>
    <w:rsid w:val="7A7C4D77"/>
    <w:rsid w:val="7EA7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unhideWhenUsed/>
    <w:qFormat/>
    <w:uiPriority w:val="99"/>
    <w:pPr>
      <w:widowControl w:val="0"/>
    </w:pPr>
    <w:rPr>
      <w:rFonts w:ascii="Calibri" w:hAnsi="Calibri" w:eastAsia="宋体" w:cs="Times New Roman"/>
      <w:kern w:val="2"/>
      <w:sz w:val="21"/>
      <w:szCs w:val="22"/>
      <w:lang w:val="en-US" w:eastAsia="zh-CN" w:bidi="ar-SA"/>
    </w:rPr>
  </w:style>
  <w:style w:type="paragraph" w:styleId="3">
    <w:name w:val="Balloon Text"/>
    <w:basedOn w:val="1"/>
    <w:link w:val="9"/>
    <w:qFormat/>
    <w:uiPriority w:val="0"/>
    <w:rPr>
      <w:sz w:val="18"/>
      <w:szCs w:val="18"/>
    </w:rPr>
  </w:style>
  <w:style w:type="paragraph" w:styleId="4">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5">
    <w:name w:val="Normal (Web)"/>
    <w:qFormat/>
    <w:uiPriority w:val="0"/>
    <w:pPr>
      <w:widowControl w:val="0"/>
      <w:spacing w:before="100" w:beforeAutospacing="1" w:after="100" w:afterAutospacing="1"/>
    </w:pPr>
    <w:rPr>
      <w:rFonts w:ascii="Calibri" w:hAnsi="Calibri" w:eastAsia="宋体" w:cs="Times New Roman"/>
      <w:sz w:val="24"/>
      <w:szCs w:val="22"/>
      <w:lang w:val="en-US" w:eastAsia="zh-CN" w:bidi="ar-SA"/>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2420</Words>
  <Characters>13799</Characters>
  <Lines>114</Lines>
  <Paragraphs>32</Paragraphs>
  <TotalTime>5</TotalTime>
  <ScaleCrop>false</ScaleCrop>
  <LinksUpToDate>false</LinksUpToDate>
  <CharactersWithSpaces>16187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John</cp:lastModifiedBy>
  <dcterms:modified xsi:type="dcterms:W3CDTF">2021-06-08T08:15:17Z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16539D7C46B642908E98BA3CAA4F619D</vt:lpwstr>
  </property>
</Properties>
</file>