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ascii="Times New Roman"/>
          <w:sz w:val="20"/>
        </w:rPr>
      </w:pPr>
    </w:p>
    <w:p>
      <w:pPr>
        <w:jc w:val="center"/>
        <w:rPr>
          <w:rFonts w:ascii="黑体" w:hAnsi="黑体" w:eastAsia="黑体" w:cs="黑体"/>
          <w:sz w:val="52"/>
          <w:szCs w:val="52"/>
        </w:rPr>
      </w:pPr>
      <w:r>
        <w:rPr>
          <w:rFonts w:ascii="黑体" w:hAnsi="黑体" w:eastAsia="黑体" w:cs="黑体"/>
          <w:sz w:val="52"/>
          <w:szCs w:val="52"/>
        </w:rPr>
        <w:t>2018</w:t>
      </w:r>
      <w:r>
        <w:rPr>
          <w:rFonts w:hint="eastAsia" w:ascii="黑体" w:hAnsi="黑体" w:eastAsia="黑体" w:cs="黑体"/>
          <w:sz w:val="52"/>
          <w:szCs w:val="52"/>
        </w:rPr>
        <w:t>年度</w:t>
      </w:r>
    </w:p>
    <w:p>
      <w:pPr>
        <w:jc w:val="center"/>
        <w:rPr>
          <w:rFonts w:ascii="黑体" w:hAnsi="黑体" w:eastAsia="黑体" w:cs="黑体"/>
          <w:sz w:val="52"/>
          <w:szCs w:val="52"/>
        </w:rPr>
      </w:pPr>
      <w:r>
        <w:rPr>
          <w:rFonts w:hint="eastAsia" w:ascii="黑体" w:hAnsi="黑体" w:eastAsia="黑体" w:cs="黑体"/>
          <w:sz w:val="52"/>
          <w:szCs w:val="52"/>
        </w:rPr>
        <w:t>质量技术监督局部门决算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ascii="黑体" w:hAnsi="黑体" w:eastAsia="黑体" w:cs="黑体"/>
          <w:sz w:val="52"/>
          <w:szCs w:val="52"/>
        </w:rPr>
      </w:pPr>
    </w:p>
    <w:p>
      <w:pPr>
        <w:spacing w:before="156"/>
        <w:ind w:left="108" w:right="205"/>
        <w:jc w:val="center"/>
        <w:rPr>
          <w:sz w:val="44"/>
        </w:rPr>
      </w:pPr>
      <w:r>
        <w:rPr>
          <w:rFonts w:hint="eastAsia" w:ascii="黑体" w:hAnsi="黑体" w:eastAsia="黑体" w:cs="黑体"/>
          <w:sz w:val="32"/>
          <w:szCs w:val="32"/>
        </w:rPr>
        <w:t>二〇一九年八月</w:t>
      </w:r>
    </w:p>
    <w:p>
      <w:pPr>
        <w:spacing w:before="156"/>
        <w:ind w:right="205"/>
        <w:rPr>
          <w:sz w:val="44"/>
        </w:rPr>
      </w:pPr>
    </w:p>
    <w:p>
      <w:pPr>
        <w:jc w:val="center"/>
        <w:rPr>
          <w:rFonts w:ascii="黑体" w:hAnsi="黑体" w:eastAsia="黑体" w:cs="黑体"/>
          <w:sz w:val="36"/>
          <w:szCs w:val="36"/>
        </w:rPr>
      </w:pPr>
      <w:r>
        <w:rPr>
          <w:rFonts w:hint="eastAsia" w:ascii="黑体" w:hAnsi="黑体" w:eastAsia="黑体" w:cs="黑体"/>
          <w:sz w:val="36"/>
          <w:szCs w:val="36"/>
        </w:rPr>
        <w:t>目　　录</w:t>
      </w:r>
    </w:p>
    <w:p>
      <w:pPr>
        <w:rPr>
          <w:rFonts w:ascii="黑体" w:eastAsia="黑体" w:cs="黑体"/>
          <w:sz w:val="32"/>
          <w:szCs w:val="32"/>
          <w:lang w:val="en-US"/>
        </w:rPr>
      </w:pPr>
      <w:r>
        <w:rPr>
          <w:rFonts w:hint="eastAsia" w:ascii="黑体" w:hAnsi="黑体" w:eastAsia="黑体" w:cs="黑体"/>
          <w:sz w:val="32"/>
          <w:szCs w:val="32"/>
        </w:rPr>
        <w:t>第一部分栾川县质量技术监督局概况</w:t>
      </w:r>
    </w:p>
    <w:p>
      <w:pPr>
        <w:numPr>
          <w:ilvl w:val="0"/>
          <w:numId w:val="1"/>
        </w:numPr>
        <w:autoSpaceDE/>
        <w:autoSpaceDN/>
        <w:ind w:firstLine="640" w:firstLineChars="200"/>
        <w:rPr>
          <w:sz w:val="32"/>
          <w:szCs w:val="32"/>
        </w:rPr>
      </w:pPr>
      <w:r>
        <w:rPr>
          <w:rFonts w:hint="eastAsia"/>
          <w:sz w:val="32"/>
          <w:szCs w:val="32"/>
        </w:rPr>
        <w:t>部门职责</w:t>
      </w:r>
    </w:p>
    <w:p>
      <w:pPr>
        <w:numPr>
          <w:ilvl w:val="0"/>
          <w:numId w:val="1"/>
        </w:numPr>
        <w:autoSpaceDE/>
        <w:autoSpaceDN/>
        <w:ind w:firstLine="640" w:firstLineChars="200"/>
        <w:rPr>
          <w:rFonts w:ascii="黑体" w:hAnsi="黑体" w:eastAsia="黑体" w:cs="黑体"/>
          <w:sz w:val="32"/>
          <w:szCs w:val="32"/>
        </w:rPr>
      </w:pPr>
      <w:r>
        <w:rPr>
          <w:rFonts w:hint="eastAsia"/>
          <w:sz w:val="32"/>
          <w:szCs w:val="32"/>
        </w:rPr>
        <w:t>机构设置</w:t>
      </w:r>
    </w:p>
    <w:p>
      <w:pPr>
        <w:numPr>
          <w:ilvl w:val="0"/>
          <w:numId w:val="1"/>
        </w:numPr>
        <w:autoSpaceDE/>
        <w:autoSpaceDN/>
        <w:ind w:firstLine="640" w:firstLineChars="200"/>
        <w:rPr>
          <w:rFonts w:ascii="黑体" w:hAnsi="黑体" w:eastAsia="黑体" w:cs="黑体"/>
          <w:sz w:val="32"/>
          <w:szCs w:val="32"/>
        </w:rPr>
      </w:pPr>
      <w:r>
        <w:rPr>
          <w:rFonts w:hint="eastAsia" w:ascii="黑体" w:hAnsi="黑体" w:eastAsia="黑体" w:cs="黑体"/>
          <w:sz w:val="32"/>
          <w:szCs w:val="32"/>
        </w:rPr>
        <w:t>第二部分　　</w:t>
      </w:r>
      <w:r>
        <w:rPr>
          <w:rFonts w:ascii="黑体" w:hAnsi="黑体" w:eastAsia="黑体" w:cs="黑体"/>
          <w:sz w:val="32"/>
          <w:szCs w:val="32"/>
        </w:rPr>
        <w:t>2018</w:t>
      </w:r>
      <w:r>
        <w:rPr>
          <w:rFonts w:hint="eastAsia" w:ascii="黑体" w:hAnsi="黑体" w:eastAsia="黑体" w:cs="黑体"/>
          <w:sz w:val="32"/>
          <w:szCs w:val="32"/>
        </w:rPr>
        <w:t>年度部门决算表</w:t>
      </w:r>
    </w:p>
    <w:p>
      <w:pPr>
        <w:ind w:firstLine="640" w:firstLineChars="200"/>
        <w:rPr>
          <w:b/>
          <w:bCs/>
          <w:color w:val="FF0000"/>
          <w:sz w:val="32"/>
          <w:szCs w:val="32"/>
          <w:lang w:val="en-US"/>
        </w:rPr>
      </w:pPr>
      <w:r>
        <w:rPr>
          <w:rFonts w:hint="eastAsia"/>
          <w:sz w:val="32"/>
          <w:szCs w:val="32"/>
        </w:rPr>
        <w:t>一、收入支出决算总表</w:t>
      </w:r>
    </w:p>
    <w:p>
      <w:pPr>
        <w:ind w:firstLine="640" w:firstLineChars="200"/>
        <w:rPr>
          <w:b/>
          <w:bCs/>
          <w:color w:val="FF0000"/>
          <w:sz w:val="32"/>
          <w:szCs w:val="32"/>
          <w:lang w:val="en-US"/>
        </w:rPr>
      </w:pPr>
      <w:r>
        <w:rPr>
          <w:rFonts w:hint="eastAsia"/>
          <w:sz w:val="32"/>
          <w:szCs w:val="32"/>
        </w:rPr>
        <w:t>二、收入决算表</w:t>
      </w:r>
    </w:p>
    <w:p>
      <w:pPr>
        <w:ind w:firstLine="640" w:firstLineChars="200"/>
        <w:rPr>
          <w:b/>
          <w:bCs/>
          <w:color w:val="FF0000"/>
          <w:sz w:val="32"/>
          <w:szCs w:val="32"/>
          <w:lang w:val="en-US"/>
        </w:rPr>
      </w:pPr>
      <w:r>
        <w:rPr>
          <w:rFonts w:hint="eastAsia"/>
          <w:sz w:val="32"/>
          <w:szCs w:val="32"/>
        </w:rPr>
        <w:t>三、支出决算表</w:t>
      </w:r>
    </w:p>
    <w:p>
      <w:pPr>
        <w:ind w:firstLine="640" w:firstLineChars="200"/>
        <w:rPr>
          <w:b/>
          <w:bCs/>
          <w:color w:val="FF0000"/>
          <w:sz w:val="32"/>
          <w:szCs w:val="32"/>
          <w:lang w:val="en-US"/>
        </w:rPr>
      </w:pPr>
      <w:r>
        <w:rPr>
          <w:rFonts w:hint="eastAsia"/>
          <w:sz w:val="32"/>
          <w:szCs w:val="32"/>
        </w:rPr>
        <w:t>四、财政拨款收入支出决算总表</w:t>
      </w:r>
    </w:p>
    <w:p>
      <w:pPr>
        <w:ind w:firstLine="640" w:firstLineChars="200"/>
        <w:rPr>
          <w:b/>
          <w:bCs/>
          <w:color w:val="FF0000"/>
          <w:sz w:val="32"/>
          <w:szCs w:val="32"/>
          <w:lang w:val="en-US"/>
        </w:rPr>
      </w:pPr>
      <w:r>
        <w:rPr>
          <w:rFonts w:hint="eastAsia"/>
          <w:sz w:val="32"/>
          <w:szCs w:val="32"/>
        </w:rPr>
        <w:t>五、一般公共预算财政拨款支出决算表</w:t>
      </w:r>
    </w:p>
    <w:p>
      <w:pPr>
        <w:ind w:firstLine="640" w:firstLineChars="200"/>
        <w:rPr>
          <w:b/>
          <w:bCs/>
          <w:color w:val="FF0000"/>
          <w:sz w:val="32"/>
          <w:szCs w:val="32"/>
          <w:lang w:val="en-US"/>
        </w:rPr>
      </w:pPr>
      <w:r>
        <w:rPr>
          <w:rFonts w:hint="eastAsia"/>
          <w:sz w:val="32"/>
          <w:szCs w:val="32"/>
        </w:rPr>
        <w:t>六、一般公共预算财政拨款基本支出决算表</w:t>
      </w:r>
    </w:p>
    <w:p>
      <w:pPr>
        <w:ind w:firstLine="640" w:firstLineChars="200"/>
        <w:rPr>
          <w:b/>
          <w:bCs/>
          <w:color w:val="FF0000"/>
          <w:sz w:val="32"/>
          <w:szCs w:val="32"/>
          <w:lang w:val="en-US"/>
        </w:rPr>
      </w:pPr>
      <w:r>
        <w:rPr>
          <w:rFonts w:hint="eastAsia"/>
          <w:sz w:val="32"/>
          <w:szCs w:val="32"/>
        </w:rPr>
        <w:t>七、一般公共预算财政拨款“三公”经费支出决算表</w:t>
      </w:r>
    </w:p>
    <w:p>
      <w:pPr>
        <w:ind w:firstLine="640" w:firstLineChars="200"/>
        <w:rPr>
          <w:b/>
          <w:bCs/>
          <w:color w:val="FF0000"/>
          <w:sz w:val="32"/>
          <w:szCs w:val="32"/>
          <w:lang w:val="en-US"/>
        </w:rPr>
      </w:pPr>
      <w:r>
        <w:rPr>
          <w:rFonts w:hint="eastAsia"/>
          <w:sz w:val="32"/>
          <w:szCs w:val="32"/>
        </w:rPr>
        <w:t>八、政府性基金预算财政拨款收入支出决算表</w:t>
      </w:r>
    </w:p>
    <w:p>
      <w:pPr>
        <w:ind w:firstLine="640" w:firstLineChars="200"/>
        <w:rPr>
          <w:rFonts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2018</w:t>
      </w:r>
      <w:r>
        <w:rPr>
          <w:rFonts w:hint="eastAsia" w:ascii="黑体" w:hAnsi="黑体" w:eastAsia="黑体" w:cs="黑体"/>
          <w:sz w:val="32"/>
          <w:szCs w:val="32"/>
        </w:rPr>
        <w:t>年度部门决算情况说明</w:t>
      </w:r>
    </w:p>
    <w:p>
      <w:pPr>
        <w:ind w:firstLine="640" w:firstLineChars="200"/>
        <w:rPr>
          <w:b/>
          <w:bCs/>
          <w:color w:val="FF0000"/>
          <w:sz w:val="32"/>
          <w:szCs w:val="32"/>
          <w:lang w:val="en-US"/>
        </w:rPr>
      </w:pPr>
      <w:r>
        <w:rPr>
          <w:rFonts w:hint="eastAsia"/>
          <w:sz w:val="32"/>
          <w:szCs w:val="32"/>
        </w:rPr>
        <w:t>一、收入支出决算总体情况说明</w:t>
      </w:r>
    </w:p>
    <w:p>
      <w:pPr>
        <w:ind w:firstLine="640" w:firstLineChars="200"/>
        <w:rPr>
          <w:b/>
          <w:bCs/>
          <w:color w:val="FF0000"/>
          <w:sz w:val="32"/>
          <w:szCs w:val="32"/>
          <w:lang w:val="en-US"/>
        </w:rPr>
      </w:pPr>
      <w:r>
        <w:rPr>
          <w:rFonts w:hint="eastAsia"/>
          <w:sz w:val="32"/>
          <w:szCs w:val="32"/>
        </w:rPr>
        <w:t>二、收入决算情况说明</w:t>
      </w:r>
    </w:p>
    <w:p>
      <w:pPr>
        <w:ind w:firstLine="640" w:firstLineChars="200"/>
        <w:rPr>
          <w:b/>
          <w:bCs/>
          <w:color w:val="FF0000"/>
          <w:sz w:val="32"/>
          <w:szCs w:val="32"/>
          <w:lang w:val="en-US"/>
        </w:rPr>
      </w:pPr>
      <w:r>
        <w:rPr>
          <w:rFonts w:hint="eastAsia"/>
          <w:sz w:val="32"/>
          <w:szCs w:val="32"/>
        </w:rPr>
        <w:t>三、支出决算情况说明</w:t>
      </w:r>
    </w:p>
    <w:p>
      <w:pPr>
        <w:ind w:firstLine="640" w:firstLineChars="200"/>
        <w:rPr>
          <w:b/>
          <w:bCs/>
          <w:color w:val="FF0000"/>
          <w:sz w:val="32"/>
          <w:szCs w:val="32"/>
          <w:lang w:val="en-US"/>
        </w:rPr>
      </w:pPr>
      <w:r>
        <w:rPr>
          <w:rFonts w:hint="eastAsia"/>
          <w:sz w:val="32"/>
          <w:szCs w:val="32"/>
        </w:rPr>
        <w:t>四、财政拨款收入支出决算总体情况说明</w:t>
      </w:r>
    </w:p>
    <w:p>
      <w:pPr>
        <w:ind w:firstLine="640" w:firstLineChars="200"/>
        <w:rPr>
          <w:b/>
          <w:bCs/>
          <w:color w:val="FF0000"/>
          <w:sz w:val="32"/>
          <w:szCs w:val="32"/>
          <w:lang w:val="en-US"/>
        </w:rPr>
      </w:pPr>
      <w:r>
        <w:rPr>
          <w:rFonts w:hint="eastAsia"/>
          <w:sz w:val="32"/>
          <w:szCs w:val="32"/>
        </w:rPr>
        <w:t>五、一般公共预算财政拨款支出决算情况说明</w:t>
      </w:r>
    </w:p>
    <w:p>
      <w:pPr>
        <w:ind w:firstLine="640" w:firstLineChars="200"/>
        <w:rPr>
          <w:b/>
          <w:bCs/>
          <w:color w:val="FF0000"/>
          <w:sz w:val="32"/>
          <w:szCs w:val="32"/>
          <w:lang w:val="en-US"/>
        </w:rPr>
      </w:pPr>
      <w:r>
        <w:rPr>
          <w:rFonts w:hint="eastAsia"/>
          <w:sz w:val="32"/>
          <w:szCs w:val="32"/>
        </w:rPr>
        <w:t>六、一般公共预算财政拨款基本支出决算情况说明</w:t>
      </w:r>
    </w:p>
    <w:p>
      <w:pPr>
        <w:ind w:firstLine="640" w:firstLineChars="200"/>
        <w:rPr>
          <w:b/>
          <w:bCs/>
          <w:color w:val="FF0000"/>
          <w:sz w:val="32"/>
          <w:szCs w:val="32"/>
          <w:lang w:val="en-US"/>
        </w:rPr>
      </w:pPr>
      <w:r>
        <w:rPr>
          <w:rFonts w:hint="eastAsia"/>
          <w:sz w:val="32"/>
          <w:szCs w:val="32"/>
        </w:rPr>
        <w:t>七、一般公共预算财政拨款“三公”经费支出决算情况说明</w:t>
      </w:r>
    </w:p>
    <w:p>
      <w:pPr>
        <w:ind w:firstLine="640" w:firstLineChars="200"/>
        <w:rPr>
          <w:b/>
          <w:bCs/>
          <w:color w:val="FF0000"/>
          <w:sz w:val="32"/>
          <w:szCs w:val="32"/>
          <w:lang w:val="en-US"/>
        </w:rPr>
      </w:pPr>
      <w:r>
        <w:rPr>
          <w:rFonts w:hint="eastAsia"/>
          <w:sz w:val="32"/>
          <w:szCs w:val="32"/>
        </w:rPr>
        <w:t>八、预算绩效情况说明</w:t>
      </w:r>
    </w:p>
    <w:p>
      <w:pPr>
        <w:ind w:firstLine="640" w:firstLineChars="200"/>
        <w:rPr>
          <w:b/>
          <w:bCs/>
          <w:color w:val="FF0000"/>
          <w:sz w:val="32"/>
          <w:szCs w:val="32"/>
          <w:lang w:val="en-US"/>
        </w:rPr>
      </w:pPr>
      <w:r>
        <w:rPr>
          <w:rFonts w:hint="eastAsia"/>
          <w:sz w:val="32"/>
          <w:szCs w:val="32"/>
        </w:rPr>
        <w:t>九、政府性基金预算财政拨款支出决算情况说明</w:t>
      </w:r>
    </w:p>
    <w:p>
      <w:pPr>
        <w:ind w:firstLine="640" w:firstLineChars="200"/>
        <w:rPr>
          <w:b/>
          <w:bCs/>
          <w:color w:val="FF0000"/>
          <w:sz w:val="32"/>
          <w:szCs w:val="32"/>
          <w:lang w:val="en-US"/>
        </w:rPr>
      </w:pPr>
      <w:r>
        <w:rPr>
          <w:rFonts w:hint="eastAsia"/>
          <w:sz w:val="32"/>
          <w:szCs w:val="32"/>
        </w:rPr>
        <w:t>十、机关运行经费支出情况说明</w:t>
      </w:r>
    </w:p>
    <w:p>
      <w:pPr>
        <w:ind w:firstLine="640" w:firstLineChars="200"/>
        <w:rPr>
          <w:b/>
          <w:bCs/>
          <w:color w:val="FF0000"/>
          <w:sz w:val="32"/>
          <w:szCs w:val="32"/>
          <w:lang w:val="en-US"/>
        </w:rPr>
      </w:pPr>
      <w:r>
        <w:rPr>
          <w:rFonts w:hint="eastAsia"/>
          <w:sz w:val="32"/>
          <w:szCs w:val="32"/>
        </w:rPr>
        <w:t>十一、政府采购支出情况说明</w:t>
      </w:r>
    </w:p>
    <w:p>
      <w:pPr>
        <w:ind w:firstLine="640" w:firstLineChars="200"/>
        <w:rPr>
          <w:b/>
          <w:bCs/>
          <w:color w:val="FF0000"/>
          <w:sz w:val="32"/>
          <w:szCs w:val="32"/>
          <w:lang w:val="en-US"/>
        </w:rPr>
      </w:pPr>
      <w:r>
        <w:rPr>
          <w:rFonts w:hint="eastAsia"/>
          <w:sz w:val="32"/>
          <w:szCs w:val="32"/>
        </w:rPr>
        <w:t>十二、国有资产占用情况说明</w:t>
      </w:r>
    </w:p>
    <w:p>
      <w:pPr>
        <w:ind w:firstLine="640" w:firstLineChars="200"/>
        <w:rPr>
          <w:b/>
          <w:bCs/>
          <w:color w:val="FF0000"/>
          <w:sz w:val="32"/>
          <w:szCs w:val="32"/>
          <w:lang w:val="en-US"/>
        </w:rPr>
      </w:pPr>
      <w:r>
        <w:rPr>
          <w:rFonts w:hint="eastAsia" w:ascii="黑体" w:hAnsi="黑体" w:eastAsia="黑体" w:cs="黑体"/>
          <w:sz w:val="32"/>
          <w:szCs w:val="32"/>
        </w:rPr>
        <w:t>第四部分　　名词解释</w:t>
      </w:r>
    </w:p>
    <w:p>
      <w:pPr>
        <w:ind w:firstLine="640" w:firstLineChars="200"/>
        <w:rPr>
          <w:sz w:val="32"/>
          <w:szCs w:val="32"/>
        </w:rPr>
      </w:pPr>
    </w:p>
    <w:p>
      <w:pPr>
        <w:spacing w:before="156"/>
        <w:ind w:left="108" w:right="205"/>
        <w:jc w:val="center"/>
        <w:rPr>
          <w:sz w:val="44"/>
        </w:rPr>
      </w:pPr>
    </w:p>
    <w:p>
      <w:pPr>
        <w:spacing w:before="156"/>
        <w:ind w:left="108" w:right="205"/>
        <w:jc w:val="center"/>
        <w:rPr>
          <w:sz w:val="44"/>
        </w:rPr>
      </w:pPr>
    </w:p>
    <w:p>
      <w:pPr>
        <w:spacing w:before="156"/>
        <w:ind w:right="205"/>
        <w:rPr>
          <w:sz w:val="44"/>
        </w:rPr>
      </w:pPr>
    </w:p>
    <w:p>
      <w:pPr>
        <w:spacing w:before="156"/>
        <w:ind w:left="108" w:right="205"/>
        <w:jc w:val="center"/>
        <w:rPr>
          <w:rFonts w:hint="eastAsia" w:ascii="黑体" w:hAnsi="黑体" w:eastAsia="黑体"/>
          <w:sz w:val="48"/>
          <w:szCs w:val="48"/>
        </w:rPr>
      </w:pPr>
    </w:p>
    <w:p>
      <w:pPr>
        <w:spacing w:before="156"/>
        <w:ind w:left="108" w:right="205"/>
        <w:jc w:val="center"/>
        <w:rPr>
          <w:rFonts w:ascii="黑体" w:hAnsi="黑体" w:eastAsia="黑体"/>
          <w:sz w:val="48"/>
          <w:szCs w:val="48"/>
        </w:rPr>
      </w:pPr>
      <w:r>
        <w:rPr>
          <w:rFonts w:hint="eastAsia" w:ascii="黑体" w:hAnsi="黑体" w:eastAsia="黑体"/>
          <w:sz w:val="48"/>
          <w:szCs w:val="48"/>
        </w:rPr>
        <w:t>第一部分 栾川县质量技术监督局概况</w:t>
      </w:r>
      <w:r>
        <w:rPr>
          <w:rFonts w:ascii="黑体" w:hAnsi="黑体" w:eastAsia="黑体"/>
          <w:sz w:val="48"/>
          <w:szCs w:val="48"/>
        </w:rPr>
        <w:t xml:space="preserve"> </w:t>
      </w:r>
    </w:p>
    <w:p>
      <w:pPr>
        <w:pStyle w:val="3"/>
        <w:ind w:left="747"/>
        <w:rPr>
          <w:rFonts w:hint="eastAsia"/>
        </w:rPr>
      </w:pPr>
    </w:p>
    <w:p>
      <w:pPr>
        <w:pStyle w:val="3"/>
        <w:ind w:left="747"/>
        <w:rPr>
          <w:rFonts w:hint="eastAsia"/>
        </w:rPr>
      </w:pPr>
    </w:p>
    <w:p>
      <w:pPr>
        <w:pStyle w:val="3"/>
        <w:ind w:left="747"/>
        <w:rPr>
          <w:rFonts w:hint="eastAsia"/>
        </w:rPr>
      </w:pPr>
    </w:p>
    <w:p>
      <w:pPr>
        <w:pStyle w:val="3"/>
        <w:ind w:left="747"/>
        <w:rPr>
          <w:rFonts w:hint="eastAsia"/>
        </w:rPr>
      </w:pPr>
    </w:p>
    <w:p>
      <w:pPr>
        <w:pStyle w:val="3"/>
        <w:ind w:left="747"/>
        <w:rPr>
          <w:rFonts w:hint="eastAsia"/>
        </w:rPr>
      </w:pPr>
    </w:p>
    <w:p>
      <w:pPr>
        <w:pStyle w:val="3"/>
        <w:ind w:left="747"/>
        <w:rPr>
          <w:rFonts w:hint="eastAsia"/>
        </w:rPr>
      </w:pPr>
    </w:p>
    <w:p>
      <w:pPr>
        <w:pStyle w:val="3"/>
        <w:ind w:left="747"/>
        <w:rPr>
          <w:rFonts w:hint="eastAsia"/>
        </w:rPr>
      </w:pPr>
    </w:p>
    <w:p>
      <w:pPr>
        <w:pStyle w:val="3"/>
        <w:ind w:left="747"/>
        <w:rPr>
          <w:rFonts w:hint="eastAsia"/>
        </w:rPr>
      </w:pPr>
    </w:p>
    <w:p>
      <w:pPr>
        <w:pStyle w:val="3"/>
        <w:ind w:left="747"/>
        <w:rPr>
          <w:rFonts w:hint="eastAsia"/>
        </w:rPr>
      </w:pPr>
    </w:p>
    <w:p>
      <w:pPr>
        <w:pStyle w:val="3"/>
        <w:ind w:left="747"/>
        <w:rPr>
          <w:rFonts w:hint="eastAsia"/>
        </w:rPr>
      </w:pPr>
    </w:p>
    <w:p>
      <w:pPr>
        <w:pStyle w:val="3"/>
        <w:ind w:left="747"/>
        <w:rPr>
          <w:rFonts w:hint="eastAsia"/>
        </w:rPr>
      </w:pPr>
    </w:p>
    <w:p>
      <w:pPr>
        <w:pStyle w:val="3"/>
        <w:ind w:left="747"/>
        <w:rPr>
          <w:rFonts w:hint="eastAsia"/>
        </w:rPr>
      </w:pPr>
    </w:p>
    <w:p>
      <w:pPr>
        <w:pStyle w:val="3"/>
        <w:ind w:left="747"/>
        <w:rPr>
          <w:rFonts w:hint="eastAsia"/>
        </w:rPr>
      </w:pPr>
    </w:p>
    <w:p>
      <w:pPr>
        <w:pStyle w:val="3"/>
        <w:ind w:left="747"/>
        <w:rPr>
          <w:rFonts w:hint="eastAsia"/>
        </w:rPr>
      </w:pPr>
    </w:p>
    <w:p>
      <w:pPr>
        <w:pStyle w:val="3"/>
        <w:ind w:left="747"/>
        <w:rPr>
          <w:rFonts w:hint="eastAsia"/>
        </w:rPr>
      </w:pPr>
    </w:p>
    <w:p>
      <w:pPr>
        <w:pStyle w:val="3"/>
        <w:ind w:left="747"/>
        <w:rPr>
          <w:rFonts w:hint="eastAsia"/>
        </w:rPr>
      </w:pPr>
    </w:p>
    <w:p>
      <w:pPr>
        <w:pStyle w:val="3"/>
        <w:ind w:left="747"/>
        <w:rPr>
          <w:rFonts w:hint="eastAsia"/>
        </w:rPr>
      </w:pPr>
    </w:p>
    <w:p>
      <w:pPr>
        <w:pStyle w:val="3"/>
        <w:ind w:left="747"/>
        <w:rPr>
          <w:rFonts w:hint="eastAsia"/>
        </w:rPr>
      </w:pPr>
    </w:p>
    <w:p>
      <w:pPr>
        <w:pStyle w:val="3"/>
        <w:ind w:left="747"/>
        <w:rPr>
          <w:rFonts w:hint="eastAsia"/>
        </w:rPr>
      </w:pPr>
    </w:p>
    <w:p>
      <w:pPr>
        <w:pStyle w:val="3"/>
        <w:ind w:left="747"/>
        <w:rPr>
          <w:rFonts w:hint="eastAsia"/>
        </w:rPr>
      </w:pPr>
    </w:p>
    <w:p>
      <w:pPr>
        <w:pStyle w:val="3"/>
        <w:ind w:left="747"/>
        <w:rPr>
          <w:rFonts w:hint="eastAsia"/>
        </w:rPr>
      </w:pPr>
    </w:p>
    <w:p>
      <w:pPr>
        <w:pStyle w:val="3"/>
        <w:ind w:left="747"/>
        <w:rPr>
          <w:rFonts w:hint="eastAsia"/>
        </w:rPr>
      </w:pPr>
    </w:p>
    <w:p>
      <w:pPr>
        <w:pStyle w:val="3"/>
        <w:ind w:left="747"/>
        <w:rPr>
          <w:rFonts w:hint="eastAsia"/>
        </w:rPr>
      </w:pPr>
    </w:p>
    <w:p>
      <w:pPr>
        <w:pStyle w:val="3"/>
        <w:ind w:left="747"/>
        <w:rPr>
          <w:rFonts w:hint="eastAsia"/>
        </w:rPr>
      </w:pPr>
    </w:p>
    <w:p>
      <w:pPr>
        <w:pStyle w:val="3"/>
        <w:ind w:left="747"/>
        <w:rPr>
          <w:rFonts w:hint="eastAsia"/>
        </w:rPr>
      </w:pPr>
    </w:p>
    <w:p>
      <w:pPr>
        <w:pStyle w:val="3"/>
        <w:ind w:left="747"/>
      </w:pPr>
      <w:r>
        <w:rPr>
          <w:rFonts w:hint="eastAsia"/>
        </w:rPr>
        <w:t>一、部门职责</w:t>
      </w:r>
    </w:p>
    <w:p>
      <w:pPr>
        <w:pStyle w:val="3"/>
        <w:spacing w:before="138" w:line="364" w:lineRule="auto"/>
        <w:ind w:right="244" w:firstLine="801"/>
        <w:jc w:val="both"/>
      </w:pPr>
      <w:r>
        <w:rPr>
          <w:w w:val="95"/>
        </w:rPr>
        <w:t>1</w:t>
      </w:r>
      <w:r>
        <w:rPr>
          <w:rFonts w:hint="eastAsia"/>
          <w:w w:val="95"/>
        </w:rPr>
        <w:t>、依法组织实施工作计量器具检定，工作计量器具与计量标准器具检定测试与校准计量技术基础建设，产品质量检验与仲裁检验鉴定与生产许可检验、相关委托检验与政府</w:t>
      </w:r>
      <w:r>
        <w:rPr>
          <w:rFonts w:hint="eastAsia"/>
        </w:rPr>
        <w:t>委托产品安全检查，在用产品安全性能与质量检查评价，产品继续使用性能与条件评价。</w:t>
      </w:r>
    </w:p>
    <w:p>
      <w:pPr>
        <w:pStyle w:val="16"/>
        <w:numPr>
          <w:ilvl w:val="0"/>
          <w:numId w:val="2"/>
        </w:numPr>
        <w:tabs>
          <w:tab w:val="left" w:pos="1096"/>
        </w:tabs>
        <w:spacing w:line="364" w:lineRule="auto"/>
        <w:ind w:right="214" w:firstLine="641"/>
        <w:rPr>
          <w:sz w:val="32"/>
        </w:rPr>
      </w:pPr>
      <w:r>
        <w:rPr>
          <w:rFonts w:hint="eastAsia"/>
          <w:spacing w:val="26"/>
          <w:sz w:val="32"/>
        </w:rPr>
        <w:t>建立计量器具检定标准与矿产品及建材质量监督检</w:t>
      </w:r>
      <w:r>
        <w:rPr>
          <w:rFonts w:hint="eastAsia"/>
          <w:w w:val="95"/>
          <w:sz w:val="32"/>
        </w:rPr>
        <w:t>验标准，确保检定器具量值准确可靠，质量检验结果准备可靠</w:t>
      </w:r>
      <w:r>
        <w:rPr>
          <w:rFonts w:hint="eastAsia"/>
          <w:w w:val="80"/>
          <w:sz w:val="32"/>
        </w:rPr>
        <w:t>，</w:t>
      </w:r>
      <w:r>
        <w:rPr>
          <w:rFonts w:hint="eastAsia"/>
          <w:sz w:val="32"/>
        </w:rPr>
        <w:t>保护广大消费者合法利益和经济秩序的健康发展</w:t>
      </w:r>
      <w:r>
        <w:rPr>
          <w:rFonts w:hint="eastAsia"/>
          <w:color w:val="212121"/>
          <w:sz w:val="32"/>
        </w:rPr>
        <w:t>。</w:t>
      </w:r>
    </w:p>
    <w:p>
      <w:pPr>
        <w:pStyle w:val="16"/>
        <w:numPr>
          <w:ilvl w:val="0"/>
          <w:numId w:val="2"/>
        </w:numPr>
        <w:tabs>
          <w:tab w:val="left" w:pos="1096"/>
        </w:tabs>
        <w:spacing w:before="2"/>
        <w:ind w:left="1095" w:right="0"/>
        <w:rPr>
          <w:sz w:val="32"/>
        </w:rPr>
      </w:pPr>
      <w:r>
        <w:rPr>
          <w:rFonts w:hint="eastAsia"/>
          <w:spacing w:val="26"/>
          <w:sz w:val="32"/>
        </w:rPr>
        <w:t>组织开展计量器具与质量检查抽样检验工作。</w:t>
      </w:r>
    </w:p>
    <w:p>
      <w:pPr>
        <w:pStyle w:val="16"/>
        <w:numPr>
          <w:ilvl w:val="0"/>
          <w:numId w:val="2"/>
        </w:numPr>
        <w:tabs>
          <w:tab w:val="left" w:pos="1096"/>
        </w:tabs>
        <w:spacing w:before="214" w:line="364" w:lineRule="auto"/>
        <w:ind w:firstLine="641"/>
        <w:jc w:val="both"/>
        <w:rPr>
          <w:sz w:val="32"/>
        </w:rPr>
      </w:pPr>
      <w:r>
        <w:rPr>
          <w:rFonts w:hint="eastAsia"/>
          <w:spacing w:val="21"/>
          <w:sz w:val="32"/>
        </w:rPr>
        <w:t>监督实施国家计量与质量检验标准制度，负责制定出</w:t>
      </w:r>
      <w:r>
        <w:rPr>
          <w:rFonts w:hint="eastAsia"/>
          <w:spacing w:val="7"/>
          <w:w w:val="95"/>
          <w:sz w:val="32"/>
        </w:rPr>
        <w:t>租车计价器、厂矿企业电子汽车衡、分析天平、分光光度计</w:t>
      </w:r>
      <w:r>
        <w:rPr>
          <w:rFonts w:hint="eastAsia"/>
          <w:w w:val="85"/>
          <w:sz w:val="32"/>
        </w:rPr>
        <w:t>、</w:t>
      </w:r>
      <w:r>
        <w:rPr>
          <w:rFonts w:hint="eastAsia"/>
          <w:spacing w:val="14"/>
          <w:sz w:val="32"/>
        </w:rPr>
        <w:t>燃油加油机、集贸市场、超市、医疗器械、矿产品、建材质</w:t>
      </w:r>
      <w:r>
        <w:rPr>
          <w:rFonts w:hint="eastAsia"/>
          <w:spacing w:val="18"/>
          <w:sz w:val="32"/>
        </w:rPr>
        <w:t>量检验监督管理的稽查制度并组织实施，组织查处重大违法行为。</w:t>
      </w:r>
    </w:p>
    <w:p>
      <w:pPr>
        <w:pStyle w:val="16"/>
        <w:numPr>
          <w:ilvl w:val="0"/>
          <w:numId w:val="2"/>
        </w:numPr>
        <w:tabs>
          <w:tab w:val="left" w:pos="1096"/>
        </w:tabs>
        <w:spacing w:line="364" w:lineRule="auto"/>
        <w:ind w:right="244" w:firstLine="641"/>
        <w:rPr>
          <w:sz w:val="32"/>
        </w:rPr>
      </w:pPr>
      <w:r>
        <w:rPr>
          <w:rFonts w:hint="eastAsia"/>
          <w:spacing w:val="22"/>
          <w:w w:val="95"/>
          <w:sz w:val="32"/>
        </w:rPr>
        <w:t>负责制定计量检定与质量检验制度并实施，推动质量</w:t>
      </w:r>
      <w:r>
        <w:rPr>
          <w:rFonts w:hint="eastAsia"/>
          <w:spacing w:val="26"/>
          <w:sz w:val="32"/>
        </w:rPr>
        <w:t>技术检验检测体系、电子监管追溯体系和信息化建设。</w:t>
      </w:r>
    </w:p>
    <w:p>
      <w:pPr>
        <w:spacing w:line="364" w:lineRule="auto"/>
        <w:rPr>
          <w:sz w:val="32"/>
        </w:rPr>
        <w:sectPr>
          <w:headerReference r:id="rId3" w:type="default"/>
          <w:footerReference r:id="rId4" w:type="default"/>
          <w:footerReference r:id="rId5" w:type="even"/>
          <w:type w:val="continuous"/>
          <w:pgSz w:w="11910" w:h="16840"/>
          <w:pgMar w:top="1580" w:right="1200" w:bottom="1680" w:left="1480" w:header="720" w:footer="1481" w:gutter="0"/>
          <w:pgNumType w:start="1"/>
          <w:cols w:space="720" w:num="1"/>
        </w:sectPr>
      </w:pPr>
    </w:p>
    <w:p>
      <w:pPr>
        <w:pStyle w:val="3"/>
        <w:ind w:left="0"/>
        <w:rPr>
          <w:sz w:val="20"/>
        </w:rPr>
      </w:pPr>
    </w:p>
    <w:p>
      <w:pPr>
        <w:pStyle w:val="16"/>
        <w:numPr>
          <w:ilvl w:val="0"/>
          <w:numId w:val="2"/>
        </w:numPr>
        <w:tabs>
          <w:tab w:val="left" w:pos="1096"/>
        </w:tabs>
        <w:spacing w:before="209" w:line="364" w:lineRule="auto"/>
        <w:ind w:right="98" w:firstLine="641"/>
        <w:rPr>
          <w:sz w:val="32"/>
        </w:rPr>
      </w:pPr>
      <w:r>
        <w:rPr>
          <w:rFonts w:hint="eastAsia"/>
          <w:spacing w:val="18"/>
          <w:sz w:val="32"/>
        </w:rPr>
        <w:t>负责开展矿产品、建材、燃油加油机、医疗器械等安</w:t>
      </w:r>
      <w:r>
        <w:rPr>
          <w:rFonts w:hint="eastAsia"/>
          <w:spacing w:val="26"/>
          <w:w w:val="95"/>
          <w:sz w:val="32"/>
        </w:rPr>
        <w:t>全宣传、教育培训、对外交流与合作。推进诚信体系建设。</w:t>
      </w:r>
    </w:p>
    <w:p>
      <w:pPr>
        <w:pStyle w:val="16"/>
        <w:numPr>
          <w:ilvl w:val="0"/>
          <w:numId w:val="2"/>
        </w:numPr>
        <w:tabs>
          <w:tab w:val="left" w:pos="1096"/>
        </w:tabs>
        <w:spacing w:before="1" w:line="364" w:lineRule="auto"/>
        <w:ind w:right="244" w:firstLine="641"/>
        <w:jc w:val="both"/>
        <w:rPr>
          <w:sz w:val="32"/>
        </w:rPr>
      </w:pPr>
      <w:r>
        <w:rPr>
          <w:rFonts w:hint="eastAsia"/>
          <w:spacing w:val="19"/>
          <w:w w:val="95"/>
          <w:sz w:val="32"/>
        </w:rPr>
        <w:t>承担县政府安排日常工作。负责质量技术监督管理综</w:t>
      </w:r>
      <w:r>
        <w:rPr>
          <w:rFonts w:hint="eastAsia"/>
          <w:spacing w:val="13"/>
          <w:w w:val="95"/>
          <w:sz w:val="32"/>
        </w:rPr>
        <w:t>合协调，推动健全协调联运机制。督促检查各乡镇政府履行</w:t>
      </w:r>
      <w:r>
        <w:rPr>
          <w:rFonts w:hint="eastAsia"/>
          <w:spacing w:val="26"/>
          <w:sz w:val="32"/>
        </w:rPr>
        <w:t>质量技术监督管理职责并负责考核评价。</w:t>
      </w:r>
    </w:p>
    <w:p>
      <w:pPr>
        <w:pStyle w:val="16"/>
        <w:numPr>
          <w:ilvl w:val="0"/>
          <w:numId w:val="2"/>
        </w:numPr>
        <w:tabs>
          <w:tab w:val="left" w:pos="1096"/>
        </w:tabs>
        <w:spacing w:before="3" w:line="364" w:lineRule="auto"/>
        <w:ind w:firstLine="641"/>
        <w:rPr>
          <w:sz w:val="32"/>
        </w:rPr>
      </w:pPr>
      <w:r>
        <w:rPr>
          <w:rFonts w:hint="eastAsia"/>
          <w:spacing w:val="17"/>
          <w:sz w:val="32"/>
        </w:rPr>
        <w:t>矿产品、建材、医疗机械、厂矿企业的电子计量等安</w:t>
      </w:r>
      <w:r>
        <w:rPr>
          <w:rFonts w:hint="eastAsia"/>
          <w:spacing w:val="26"/>
          <w:sz w:val="32"/>
        </w:rPr>
        <w:t>全抽验及稽查工作经费主要用于栾川县县域内计量器具检</w:t>
      </w:r>
      <w:r>
        <w:rPr>
          <w:rFonts w:hint="eastAsia"/>
          <w:spacing w:val="13"/>
          <w:sz w:val="32"/>
        </w:rPr>
        <w:t>定及矿产品、建材的抽验工作，针对日常监督检查中发现的</w:t>
      </w:r>
      <w:r>
        <w:rPr>
          <w:rFonts w:hint="eastAsia"/>
          <w:spacing w:val="17"/>
          <w:w w:val="95"/>
          <w:sz w:val="32"/>
        </w:rPr>
        <w:t>检验检测问题和隐患进行抽样检验，及时发现，主动防范，</w:t>
      </w:r>
      <w:r>
        <w:rPr>
          <w:rFonts w:hint="eastAsia"/>
          <w:spacing w:val="12"/>
          <w:sz w:val="32"/>
        </w:rPr>
        <w:t>妥善处置，将监督抽验、隐患排查与日常监管融为一体。</w:t>
      </w:r>
    </w:p>
    <w:p>
      <w:pPr>
        <w:pStyle w:val="3"/>
        <w:spacing w:before="49"/>
        <w:ind w:left="747"/>
      </w:pPr>
      <w:r>
        <w:rPr>
          <w:rFonts w:hint="eastAsia"/>
        </w:rPr>
        <w:t>二、机构设置</w:t>
      </w:r>
    </w:p>
    <w:p>
      <w:pPr>
        <w:pStyle w:val="3"/>
        <w:spacing w:before="125"/>
        <w:ind w:left="802"/>
      </w:pPr>
      <w:r>
        <w:rPr>
          <w:rFonts w:hint="eastAsia"/>
          <w:spacing w:val="18"/>
        </w:rPr>
        <w:t>栾川县质量技术监督局内设</w:t>
      </w:r>
      <w:r>
        <w:t>6</w:t>
      </w:r>
      <w:r>
        <w:rPr>
          <w:rFonts w:hint="eastAsia"/>
          <w:spacing w:val="2"/>
        </w:rPr>
        <w:t>个职能股室。机构编制管</w:t>
      </w:r>
    </w:p>
    <w:p>
      <w:pPr>
        <w:pStyle w:val="3"/>
        <w:spacing w:before="109"/>
        <w:ind w:left="105" w:right="243"/>
        <w:jc w:val="center"/>
      </w:pPr>
      <w:r>
        <w:rPr>
          <w:rFonts w:hint="eastAsia"/>
          <w:spacing w:val="16"/>
        </w:rPr>
        <w:t>理部门核定编制人数</w:t>
      </w:r>
      <w:r>
        <w:rPr>
          <w:spacing w:val="5"/>
        </w:rPr>
        <w:t>55</w:t>
      </w:r>
      <w:r>
        <w:rPr>
          <w:rFonts w:hint="eastAsia"/>
          <w:spacing w:val="-14"/>
        </w:rPr>
        <w:t>人，其中：行政编制人员</w:t>
      </w:r>
      <w:r>
        <w:rPr>
          <w:spacing w:val="5"/>
        </w:rPr>
        <w:t>23</w:t>
      </w:r>
      <w:r>
        <w:rPr>
          <w:rFonts w:hint="eastAsia"/>
          <w:spacing w:val="-38"/>
        </w:rPr>
        <w:t>人、事</w:t>
      </w:r>
    </w:p>
    <w:p>
      <w:pPr>
        <w:pStyle w:val="3"/>
        <w:spacing w:before="111"/>
        <w:ind w:left="105" w:right="243"/>
        <w:jc w:val="center"/>
      </w:pPr>
      <w:r>
        <w:rPr>
          <w:rFonts w:hint="eastAsia"/>
          <w:spacing w:val="19"/>
        </w:rPr>
        <w:t>业编制人员</w:t>
      </w:r>
      <w:r>
        <w:rPr>
          <w:spacing w:val="19"/>
          <w:lang w:val="en-US"/>
        </w:rPr>
        <w:t>40</w:t>
      </w:r>
      <w:r>
        <w:rPr>
          <w:rFonts w:hint="eastAsia"/>
          <w:spacing w:val="4"/>
        </w:rPr>
        <w:t>人。截止</w:t>
      </w:r>
      <w:r>
        <w:rPr>
          <w:spacing w:val="9"/>
        </w:rPr>
        <w:t>201</w:t>
      </w:r>
      <w:r>
        <w:rPr>
          <w:spacing w:val="9"/>
          <w:lang w:val="en-US"/>
        </w:rPr>
        <w:t>8</w:t>
      </w:r>
      <w:r>
        <w:rPr>
          <w:rFonts w:hint="eastAsia"/>
          <w:spacing w:val="-30"/>
        </w:rPr>
        <w:t>年</w:t>
      </w:r>
      <w:r>
        <w:rPr>
          <w:spacing w:val="5"/>
        </w:rPr>
        <w:t>12</w:t>
      </w:r>
      <w:r>
        <w:rPr>
          <w:rFonts w:hint="eastAsia"/>
          <w:spacing w:val="-28"/>
        </w:rPr>
        <w:t>月</w:t>
      </w:r>
      <w:r>
        <w:rPr>
          <w:spacing w:val="5"/>
        </w:rPr>
        <w:t>31</w:t>
      </w:r>
      <w:r>
        <w:rPr>
          <w:rFonts w:hint="eastAsia"/>
          <w:spacing w:val="21"/>
        </w:rPr>
        <w:t>日在职职工人数</w:t>
      </w:r>
    </w:p>
    <w:p>
      <w:pPr>
        <w:pStyle w:val="3"/>
        <w:spacing w:before="110"/>
        <w:ind w:left="105" w:right="243"/>
        <w:jc w:val="center"/>
      </w:pPr>
      <w:r>
        <w:rPr>
          <w:spacing w:val="5"/>
        </w:rPr>
        <w:t>3</w:t>
      </w:r>
      <w:r>
        <w:rPr>
          <w:spacing w:val="5"/>
          <w:lang w:val="en-US"/>
        </w:rPr>
        <w:t>7</w:t>
      </w:r>
      <w:r>
        <w:rPr>
          <w:rFonts w:hint="eastAsia"/>
          <w:spacing w:val="-10"/>
        </w:rPr>
        <w:t>人，其中：行政编制人数</w:t>
      </w:r>
      <w:r>
        <w:rPr>
          <w:spacing w:val="5"/>
        </w:rPr>
        <w:t>14</w:t>
      </w:r>
      <w:r>
        <w:rPr>
          <w:rFonts w:hint="eastAsia"/>
          <w:spacing w:val="11"/>
        </w:rPr>
        <w:t>人、事业编制人员</w:t>
      </w:r>
      <w:r>
        <w:rPr>
          <w:spacing w:val="5"/>
        </w:rPr>
        <w:t>2</w:t>
      </w:r>
      <w:r>
        <w:rPr>
          <w:spacing w:val="5"/>
          <w:lang w:val="en-US"/>
        </w:rPr>
        <w:t>3</w:t>
      </w:r>
      <w:r>
        <w:rPr>
          <w:rFonts w:hint="eastAsia"/>
          <w:spacing w:val="-8"/>
        </w:rPr>
        <w:t>人，</w:t>
      </w:r>
    </w:p>
    <w:p>
      <w:pPr>
        <w:pStyle w:val="3"/>
        <w:spacing w:before="109"/>
        <w:rPr>
          <w:rFonts w:hint="eastAsia"/>
        </w:rPr>
      </w:pPr>
      <w:r>
        <w:rPr>
          <w:rFonts w:hint="eastAsia"/>
        </w:rPr>
        <w:t>经费自理人员</w:t>
      </w:r>
      <w:r>
        <w:t xml:space="preserve"> 9 </w:t>
      </w:r>
      <w:r>
        <w:rPr>
          <w:rFonts w:hint="eastAsia"/>
        </w:rPr>
        <w:t>人，离退休人员</w:t>
      </w:r>
      <w:r>
        <w:t xml:space="preserve"> 21 </w:t>
      </w:r>
      <w:r>
        <w:rPr>
          <w:rFonts w:hint="eastAsia"/>
        </w:rPr>
        <w:t>人。</w:t>
      </w:r>
    </w:p>
    <w:p>
      <w:pPr>
        <w:pStyle w:val="3"/>
        <w:spacing w:before="109"/>
        <w:ind w:firstLine="640" w:firstLineChars="200"/>
        <w:rPr>
          <w:rFonts w:hint="eastAsia"/>
          <w:lang w:val="en-US"/>
        </w:rPr>
      </w:pPr>
      <w:r>
        <w:rPr>
          <w:rFonts w:hint="eastAsia"/>
          <w:lang w:val="en-US"/>
        </w:rPr>
        <w:t>从决算单位构成看，2018年部门决算包括：本级决算。纳入本部门</w:t>
      </w:r>
      <w:r>
        <w:rPr>
          <w:lang w:val="en-US"/>
        </w:rPr>
        <w:t>2018</w:t>
      </w:r>
      <w:r>
        <w:rPr>
          <w:rFonts w:hint="eastAsia"/>
          <w:lang w:val="en-US"/>
        </w:rPr>
        <w:t>年度部门决算编制范围的单位共一个。</w:t>
      </w:r>
    </w:p>
    <w:p>
      <w:pPr>
        <w:pStyle w:val="3"/>
        <w:spacing w:before="109"/>
        <w:rPr>
          <w:lang w:val="en-US"/>
        </w:rPr>
      </w:pPr>
    </w:p>
    <w:p>
      <w:pPr>
        <w:adjustRightInd w:val="0"/>
        <w:rPr>
          <w:sz w:val="38"/>
        </w:rPr>
      </w:pPr>
    </w:p>
    <w:p>
      <w:pPr>
        <w:adjustRightInd w:val="0"/>
        <w:rPr>
          <w:sz w:val="38"/>
        </w:rPr>
      </w:pPr>
    </w:p>
    <w:p>
      <w:pPr>
        <w:adjustRightInd w:val="0"/>
        <w:rPr>
          <w:sz w:val="38"/>
        </w:rPr>
      </w:pPr>
    </w:p>
    <w:p>
      <w:pPr>
        <w:adjustRightInd w:val="0"/>
        <w:rPr>
          <w:rFonts w:hint="eastAsia"/>
          <w:sz w:val="38"/>
        </w:rPr>
      </w:pPr>
    </w:p>
    <w:p>
      <w:pPr>
        <w:adjustRightInd w:val="0"/>
        <w:rPr>
          <w:rFonts w:hint="eastAsia"/>
          <w:sz w:val="38"/>
        </w:rPr>
      </w:pPr>
    </w:p>
    <w:p>
      <w:pPr>
        <w:adjustRightInd w:val="0"/>
        <w:rPr>
          <w:rFonts w:hint="eastAsia"/>
          <w:sz w:val="38"/>
        </w:rPr>
      </w:pPr>
    </w:p>
    <w:p>
      <w:pPr>
        <w:adjustRightInd w:val="0"/>
        <w:rPr>
          <w:rFonts w:hint="eastAsia"/>
          <w:sz w:val="38"/>
        </w:rPr>
      </w:pPr>
    </w:p>
    <w:p>
      <w:pPr>
        <w:adjustRightInd w:val="0"/>
        <w:rPr>
          <w:rFonts w:hint="eastAsia"/>
          <w:sz w:val="38"/>
        </w:rPr>
      </w:pPr>
    </w:p>
    <w:p>
      <w:pPr>
        <w:adjustRightInd w:val="0"/>
        <w:rPr>
          <w:rFonts w:hint="eastAsia"/>
          <w:sz w:val="38"/>
        </w:rPr>
      </w:pPr>
    </w:p>
    <w:p>
      <w:pPr>
        <w:adjustRightInd w:val="0"/>
        <w:rPr>
          <w:rFonts w:hint="eastAsia"/>
          <w:sz w:val="38"/>
        </w:rPr>
      </w:pPr>
    </w:p>
    <w:p>
      <w:pPr>
        <w:adjustRightInd w:val="0"/>
        <w:ind w:firstLine="1440" w:firstLineChars="300"/>
        <w:rPr>
          <w:rFonts w:ascii="黑体" w:hAnsi="黑体" w:eastAsia="黑体"/>
          <w:sz w:val="48"/>
          <w:szCs w:val="48"/>
        </w:rPr>
      </w:pPr>
      <w:r>
        <w:rPr>
          <w:rFonts w:hint="eastAsia" w:ascii="黑体" w:hAnsi="黑体" w:eastAsia="黑体"/>
          <w:sz w:val="48"/>
          <w:szCs w:val="48"/>
        </w:rPr>
        <w:t>第二部分  2018年部门决算表</w:t>
      </w:r>
    </w:p>
    <w:p>
      <w:pPr>
        <w:adjustRightInd w:val="0"/>
        <w:rPr>
          <w:sz w:val="38"/>
        </w:rPr>
      </w:pPr>
    </w:p>
    <w:p>
      <w:pPr>
        <w:adjustRightInd w:val="0"/>
        <w:rPr>
          <w:rFonts w:hint="eastAsia"/>
          <w:sz w:val="38"/>
        </w:rPr>
      </w:pPr>
    </w:p>
    <w:p>
      <w:pPr>
        <w:adjustRightInd w:val="0"/>
        <w:rPr>
          <w:rFonts w:hint="eastAsia"/>
          <w:sz w:val="38"/>
        </w:rPr>
      </w:pPr>
    </w:p>
    <w:p>
      <w:pPr>
        <w:adjustRightInd w:val="0"/>
        <w:rPr>
          <w:rFonts w:hint="eastAsia"/>
          <w:sz w:val="38"/>
        </w:rPr>
      </w:pPr>
    </w:p>
    <w:p>
      <w:pPr>
        <w:adjustRightInd w:val="0"/>
        <w:rPr>
          <w:rFonts w:hint="eastAsia"/>
          <w:sz w:val="38"/>
        </w:rPr>
      </w:pPr>
    </w:p>
    <w:p>
      <w:pPr>
        <w:adjustRightInd w:val="0"/>
        <w:rPr>
          <w:rFonts w:hint="eastAsia"/>
          <w:sz w:val="38"/>
        </w:rPr>
      </w:pPr>
    </w:p>
    <w:p>
      <w:pPr>
        <w:adjustRightInd w:val="0"/>
        <w:rPr>
          <w:rFonts w:hint="eastAsia"/>
          <w:sz w:val="38"/>
        </w:rPr>
      </w:pPr>
    </w:p>
    <w:p>
      <w:pPr>
        <w:adjustRightInd w:val="0"/>
        <w:rPr>
          <w:rFonts w:hint="eastAsia"/>
          <w:sz w:val="38"/>
        </w:rPr>
      </w:pPr>
    </w:p>
    <w:p>
      <w:pPr>
        <w:adjustRightInd w:val="0"/>
        <w:rPr>
          <w:rFonts w:hint="eastAsia"/>
          <w:sz w:val="38"/>
        </w:rPr>
      </w:pPr>
    </w:p>
    <w:p>
      <w:pPr>
        <w:adjustRightInd w:val="0"/>
        <w:rPr>
          <w:rFonts w:hint="eastAsia"/>
          <w:sz w:val="38"/>
        </w:rPr>
      </w:pPr>
    </w:p>
    <w:p>
      <w:pPr>
        <w:adjustRightInd w:val="0"/>
        <w:rPr>
          <w:rFonts w:hint="eastAsia"/>
          <w:sz w:val="38"/>
        </w:rPr>
      </w:pPr>
    </w:p>
    <w:p>
      <w:pPr>
        <w:adjustRightInd w:val="0"/>
        <w:rPr>
          <w:rFonts w:hint="eastAsia"/>
          <w:sz w:val="38"/>
        </w:rPr>
      </w:pPr>
    </w:p>
    <w:p>
      <w:pPr>
        <w:adjustRightInd w:val="0"/>
        <w:rPr>
          <w:rFonts w:hint="eastAsia"/>
          <w:sz w:val="38"/>
        </w:rPr>
      </w:pPr>
    </w:p>
    <w:p>
      <w:pPr>
        <w:adjustRightInd w:val="0"/>
        <w:rPr>
          <w:rFonts w:hint="eastAsia"/>
          <w:sz w:val="38"/>
        </w:rPr>
      </w:pPr>
    </w:p>
    <w:p>
      <w:pPr>
        <w:adjustRightInd w:val="0"/>
        <w:rPr>
          <w:rFonts w:hint="eastAsia"/>
          <w:sz w:val="38"/>
        </w:rPr>
      </w:pPr>
    </w:p>
    <w:p>
      <w:pPr>
        <w:adjustRightInd w:val="0"/>
        <w:rPr>
          <w:rFonts w:hint="eastAsia"/>
          <w:sz w:val="38"/>
        </w:rPr>
      </w:pPr>
    </w:p>
    <w:p>
      <w:pPr>
        <w:adjustRightInd w:val="0"/>
        <w:rPr>
          <w:rFonts w:hint="eastAsia"/>
          <w:sz w:val="38"/>
        </w:rPr>
      </w:pPr>
    </w:p>
    <w:p>
      <w:pPr>
        <w:adjustRightInd w:val="0"/>
        <w:rPr>
          <w:rFonts w:hint="eastAsia"/>
          <w:sz w:val="38"/>
        </w:rPr>
      </w:pPr>
    </w:p>
    <w:p>
      <w:pPr>
        <w:adjustRightInd w:val="0"/>
        <w:rPr>
          <w:sz w:val="38"/>
        </w:rPr>
        <w:sectPr>
          <w:footerReference r:id="rId6" w:type="default"/>
          <w:footerReference r:id="rId7" w:type="even"/>
          <w:pgSz w:w="11910" w:h="16840"/>
          <w:pgMar w:top="1580" w:right="1200" w:bottom="1680" w:left="1480" w:header="0" w:footer="1481" w:gutter="0"/>
          <w:cols w:space="720" w:num="1"/>
        </w:sectPr>
      </w:pPr>
    </w:p>
    <w:p>
      <w:pPr>
        <w:adjustRightInd w:val="0"/>
        <w:rPr>
          <w:sz w:val="38"/>
        </w:rPr>
      </w:pPr>
    </w:p>
    <w:tbl>
      <w:tblPr>
        <w:tblStyle w:val="7"/>
        <w:tblW w:w="14070" w:type="dxa"/>
        <w:tblInd w:w="93" w:type="dxa"/>
        <w:shd w:val="clear" w:color="auto" w:fill="auto"/>
        <w:tblLayout w:type="autofit"/>
        <w:tblCellMar>
          <w:top w:w="0" w:type="dxa"/>
          <w:left w:w="108" w:type="dxa"/>
          <w:bottom w:w="0" w:type="dxa"/>
          <w:right w:w="108" w:type="dxa"/>
        </w:tblCellMar>
      </w:tblPr>
      <w:tblGrid>
        <w:gridCol w:w="4215"/>
        <w:gridCol w:w="656"/>
        <w:gridCol w:w="2250"/>
        <w:gridCol w:w="4215"/>
        <w:gridCol w:w="656"/>
        <w:gridCol w:w="2250"/>
      </w:tblGrid>
      <w:tr>
        <w:tblPrEx>
          <w:shd w:val="clear" w:color="auto" w:fill="auto"/>
          <w:tblCellMar>
            <w:top w:w="0" w:type="dxa"/>
            <w:left w:w="108" w:type="dxa"/>
            <w:bottom w:w="0" w:type="dxa"/>
            <w:right w:w="108" w:type="dxa"/>
          </w:tblCellMar>
        </w:tblPrEx>
        <w:trPr>
          <w:trHeight w:val="390" w:hRule="atLeast"/>
        </w:trPr>
        <w:tc>
          <w:tcPr>
            <w:tcW w:w="4215"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57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50"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c>
          <w:tcPr>
            <w:tcW w:w="421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部门：栾川县质量技术监督局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578.18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568.52</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九、医疗卫生与计划生育支出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十八、国土海洋气象等支出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593.18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640.13</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用事业基金弥补收支差额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108.96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62.01</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702.14</w:t>
            </w:r>
          </w:p>
        </w:tc>
      </w:tr>
      <w:tr>
        <w:tblPrEx>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注：本表反映部门本年度的总收支和年末结转结余情况。本表金额转换为万元时，因四舍五入可能存在尾差。</w:t>
            </w:r>
          </w:p>
        </w:tc>
      </w:tr>
    </w:tbl>
    <w:p>
      <w:pPr>
        <w:adjustRightInd w:val="0"/>
        <w:rPr>
          <w:sz w:val="38"/>
        </w:rPr>
      </w:pPr>
    </w:p>
    <w:p>
      <w:pPr>
        <w:adjustRightInd w:val="0"/>
        <w:rPr>
          <w:sz w:val="38"/>
        </w:rPr>
      </w:pPr>
    </w:p>
    <w:p>
      <w:pPr>
        <w:pStyle w:val="3"/>
        <w:spacing w:before="8"/>
        <w:ind w:left="0"/>
        <w:rPr>
          <w:sz w:val="23"/>
        </w:rPr>
      </w:pPr>
    </w:p>
    <w:tbl>
      <w:tblPr>
        <w:tblStyle w:val="7"/>
        <w:tblW w:w="4998" w:type="pct"/>
        <w:tblInd w:w="0" w:type="dxa"/>
        <w:shd w:val="clear" w:color="auto" w:fill="auto"/>
        <w:tblLayout w:type="autofit"/>
        <w:tblCellMar>
          <w:top w:w="0" w:type="dxa"/>
          <w:left w:w="108" w:type="dxa"/>
          <w:bottom w:w="0" w:type="dxa"/>
          <w:right w:w="108" w:type="dxa"/>
        </w:tblCellMar>
      </w:tblPr>
      <w:tblGrid>
        <w:gridCol w:w="2662"/>
        <w:gridCol w:w="221"/>
        <w:gridCol w:w="222"/>
        <w:gridCol w:w="3942"/>
        <w:gridCol w:w="843"/>
        <w:gridCol w:w="843"/>
        <w:gridCol w:w="1628"/>
        <w:gridCol w:w="634"/>
        <w:gridCol w:w="634"/>
        <w:gridCol w:w="634"/>
        <w:gridCol w:w="1533"/>
      </w:tblGrid>
      <w:tr>
        <w:tblPrEx>
          <w:shd w:val="clear" w:color="auto" w:fill="auto"/>
          <w:tblCellMar>
            <w:top w:w="0" w:type="dxa"/>
            <w:left w:w="108" w:type="dxa"/>
            <w:bottom w:w="0" w:type="dxa"/>
            <w:right w:w="108" w:type="dxa"/>
          </w:tblCellMar>
        </w:tblPrEx>
        <w:trPr>
          <w:trHeight w:val="390" w:hRule="atLeast"/>
        </w:trPr>
        <w:tc>
          <w:tcPr>
            <w:tcW w:w="695"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4" w:type="pct"/>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c>
          <w:tcPr>
            <w:tcW w:w="44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CellMar>
            <w:top w:w="0" w:type="dxa"/>
            <w:left w:w="108" w:type="dxa"/>
            <w:bottom w:w="0" w:type="dxa"/>
            <w:right w:w="108" w:type="dxa"/>
          </w:tblCellMar>
        </w:tblPrEx>
        <w:trPr>
          <w:trHeight w:val="255" w:hRule="atLeast"/>
        </w:trPr>
        <w:tc>
          <w:tcPr>
            <w:tcW w:w="69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4"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CellMar>
            <w:top w:w="0" w:type="dxa"/>
            <w:left w:w="108" w:type="dxa"/>
            <w:bottom w:w="0" w:type="dxa"/>
            <w:right w:w="108" w:type="dxa"/>
          </w:tblCellMar>
        </w:tblPrEx>
        <w:trPr>
          <w:trHeight w:val="255" w:hRule="atLeast"/>
        </w:trPr>
        <w:tc>
          <w:tcPr>
            <w:tcW w:w="695"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部门：栾川县质量技术监督局</w:t>
            </w: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4"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trHeight w:val="308" w:hRule="atLeast"/>
        </w:trPr>
        <w:tc>
          <w:tcPr>
            <w:tcW w:w="1888"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4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44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44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44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44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44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44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CellMar>
            <w:top w:w="0" w:type="dxa"/>
            <w:left w:w="108" w:type="dxa"/>
            <w:bottom w:w="0" w:type="dxa"/>
            <w:right w:w="108" w:type="dxa"/>
          </w:tblCellMar>
        </w:tblPrEx>
        <w:trPr>
          <w:trHeight w:val="308" w:hRule="atLeast"/>
        </w:trPr>
        <w:tc>
          <w:tcPr>
            <w:tcW w:w="857"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031"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857"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31"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857"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31"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1888"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4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4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108" w:type="dxa"/>
            <w:bottom w:w="0" w:type="dxa"/>
            <w:right w:w="108" w:type="dxa"/>
          </w:tblCellMar>
        </w:tblPrEx>
        <w:trPr>
          <w:trHeight w:val="308" w:hRule="atLeast"/>
        </w:trPr>
        <w:tc>
          <w:tcPr>
            <w:tcW w:w="1888"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593.18</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578.18</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308" w:hRule="atLeast"/>
        </w:trPr>
        <w:tc>
          <w:tcPr>
            <w:tcW w:w="85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0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519.49</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504.49</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308" w:hRule="atLeast"/>
        </w:trPr>
        <w:tc>
          <w:tcPr>
            <w:tcW w:w="85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20117</w:t>
            </w:r>
          </w:p>
        </w:tc>
        <w:tc>
          <w:tcPr>
            <w:tcW w:w="10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质量技术监督与检验检疫事务</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519.49</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504.49</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308" w:hRule="atLeast"/>
        </w:trPr>
        <w:tc>
          <w:tcPr>
            <w:tcW w:w="85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2011701</w:t>
            </w:r>
          </w:p>
        </w:tc>
        <w:tc>
          <w:tcPr>
            <w:tcW w:w="10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444.49</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429.49</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308" w:hRule="atLeast"/>
        </w:trPr>
        <w:tc>
          <w:tcPr>
            <w:tcW w:w="85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2011702</w:t>
            </w:r>
          </w:p>
        </w:tc>
        <w:tc>
          <w:tcPr>
            <w:tcW w:w="10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85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2011706</w:t>
            </w:r>
          </w:p>
        </w:tc>
        <w:tc>
          <w:tcPr>
            <w:tcW w:w="10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质量技术监督行政执法及业务管理</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85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2011799</w:t>
            </w:r>
          </w:p>
        </w:tc>
        <w:tc>
          <w:tcPr>
            <w:tcW w:w="10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其他质量技术监督与检验检疫事务支出</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85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0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73.69</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73.69</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85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10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73.69</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73.69</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857"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03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73.69</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73.69</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857"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31"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注：本表反映部门本年度取得的各项收入情况。本表金额转换为万元时，因四舍五入可能存在尾差。</w:t>
            </w:r>
          </w:p>
        </w:tc>
      </w:tr>
    </w:tbl>
    <w:p>
      <w:pPr>
        <w:pStyle w:val="3"/>
        <w:spacing w:before="8"/>
        <w:ind w:left="0"/>
        <w:rPr>
          <w:sz w:val="23"/>
        </w:rPr>
      </w:pPr>
    </w:p>
    <w:p>
      <w:pPr>
        <w:pStyle w:val="3"/>
        <w:spacing w:before="8"/>
        <w:ind w:left="0"/>
        <w:rPr>
          <w:sz w:val="23"/>
        </w:rPr>
      </w:pPr>
    </w:p>
    <w:p>
      <w:pPr>
        <w:pStyle w:val="3"/>
        <w:spacing w:before="8"/>
        <w:ind w:left="0"/>
        <w:rPr>
          <w:sz w:val="23"/>
        </w:rPr>
      </w:pPr>
    </w:p>
    <w:p>
      <w:pPr>
        <w:pStyle w:val="3"/>
        <w:spacing w:before="8"/>
        <w:ind w:left="0"/>
        <w:rPr>
          <w:sz w:val="23"/>
        </w:rPr>
      </w:pPr>
    </w:p>
    <w:p>
      <w:pPr>
        <w:pStyle w:val="3"/>
        <w:spacing w:before="8"/>
        <w:ind w:left="0"/>
        <w:rPr>
          <w:sz w:val="23"/>
        </w:rPr>
      </w:pPr>
    </w:p>
    <w:p>
      <w:pPr>
        <w:pStyle w:val="3"/>
        <w:spacing w:before="8"/>
        <w:ind w:left="0"/>
        <w:rPr>
          <w:sz w:val="23"/>
        </w:rPr>
      </w:pPr>
    </w:p>
    <w:p>
      <w:pPr>
        <w:pStyle w:val="3"/>
        <w:spacing w:before="8"/>
        <w:ind w:left="0"/>
        <w:rPr>
          <w:sz w:val="23"/>
        </w:rPr>
      </w:pPr>
    </w:p>
    <w:p>
      <w:pPr>
        <w:pStyle w:val="3"/>
        <w:spacing w:before="8"/>
        <w:ind w:left="0"/>
        <w:rPr>
          <w:sz w:val="23"/>
        </w:rPr>
      </w:pPr>
    </w:p>
    <w:tbl>
      <w:tblPr>
        <w:tblStyle w:val="7"/>
        <w:tblW w:w="0" w:type="auto"/>
        <w:tblInd w:w="93" w:type="dxa"/>
        <w:shd w:val="clear" w:color="auto" w:fill="auto"/>
        <w:tblLayout w:type="autofit"/>
        <w:tblCellMar>
          <w:top w:w="0" w:type="dxa"/>
          <w:left w:w="108" w:type="dxa"/>
          <w:bottom w:w="0" w:type="dxa"/>
          <w:right w:w="108" w:type="dxa"/>
        </w:tblCellMar>
      </w:tblPr>
      <w:tblGrid>
        <w:gridCol w:w="2782"/>
        <w:gridCol w:w="222"/>
        <w:gridCol w:w="222"/>
        <w:gridCol w:w="4126"/>
        <w:gridCol w:w="874"/>
        <w:gridCol w:w="1697"/>
        <w:gridCol w:w="874"/>
        <w:gridCol w:w="654"/>
        <w:gridCol w:w="654"/>
        <w:gridCol w:w="1598"/>
      </w:tblGrid>
      <w:tr>
        <w:tblPrEx>
          <w:shd w:val="clear" w:color="auto" w:fill="auto"/>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部门：栾川县质量技术监督局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0" w:type="auto"/>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CellMar>
            <w:top w:w="0" w:type="dxa"/>
            <w:left w:w="108" w:type="dxa"/>
            <w:bottom w:w="0" w:type="dxa"/>
            <w:right w:w="108" w:type="dxa"/>
          </w:tblCellMar>
        </w:tblPrEx>
        <w:trPr>
          <w:trHeight w:val="308" w:hRule="atLeast"/>
        </w:trPr>
        <w:tc>
          <w:tcPr>
            <w:tcW w:w="0" w:type="auto"/>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640.13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质量技术监督与检验检疫事务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2011706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质量技术监督行政执法及业务管理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其他质量技术监督与检验检疫事务支出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注：本表反映部门本年度各项支出情况。本表金额转换为万元时，因四舍五入可能存在尾差。</w:t>
            </w:r>
          </w:p>
        </w:tc>
      </w:tr>
    </w:tbl>
    <w:p>
      <w:pPr>
        <w:pStyle w:val="3"/>
        <w:spacing w:before="8"/>
        <w:ind w:left="0"/>
        <w:rPr>
          <w:sz w:val="23"/>
        </w:rPr>
      </w:pPr>
    </w:p>
    <w:p>
      <w:pPr>
        <w:pStyle w:val="3"/>
        <w:spacing w:before="8"/>
        <w:ind w:left="0"/>
        <w:rPr>
          <w:sz w:val="23"/>
        </w:rPr>
      </w:pPr>
    </w:p>
    <w:tbl>
      <w:tblPr>
        <w:tblStyle w:val="7"/>
        <w:tblW w:w="0" w:type="auto"/>
        <w:tblInd w:w="93" w:type="dxa"/>
        <w:shd w:val="clear" w:color="auto" w:fill="auto"/>
        <w:tblLayout w:type="autofit"/>
        <w:tblCellMar>
          <w:top w:w="0" w:type="dxa"/>
          <w:left w:w="108" w:type="dxa"/>
          <w:bottom w:w="0" w:type="dxa"/>
          <w:right w:w="108" w:type="dxa"/>
        </w:tblCellMar>
      </w:tblPr>
      <w:tblGrid>
        <w:gridCol w:w="3135"/>
        <w:gridCol w:w="552"/>
        <w:gridCol w:w="893"/>
        <w:gridCol w:w="3888"/>
        <w:gridCol w:w="552"/>
        <w:gridCol w:w="892"/>
        <w:gridCol w:w="1646"/>
        <w:gridCol w:w="2145"/>
      </w:tblGrid>
      <w:tr>
        <w:tblPrEx>
          <w:shd w:val="clear" w:color="auto" w:fill="auto"/>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部门：栾川县质量技术监督局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5"/>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CellMar>
            <w:top w:w="0" w:type="dxa"/>
            <w:left w:w="108" w:type="dxa"/>
            <w:bottom w:w="0" w:type="dxa"/>
            <w:right w:w="108" w:type="dxa"/>
          </w:tblCellMar>
        </w:tblPrEx>
        <w:trPr>
          <w:trHeight w:val="292" w:hRule="atLeast"/>
        </w:trPr>
        <w:tc>
          <w:tcPr>
            <w:tcW w:w="0" w:type="auto"/>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r>
      <w:tr>
        <w:tblPrEx>
          <w:tblCellMar>
            <w:top w:w="0" w:type="dxa"/>
            <w:left w:w="108" w:type="dxa"/>
            <w:bottom w:w="0" w:type="dxa"/>
            <w:right w:w="108" w:type="dxa"/>
          </w:tblCellMar>
        </w:tblPrEx>
        <w:trPr>
          <w:trHeight w:val="615" w:hRule="atLeast"/>
        </w:trPr>
        <w:tc>
          <w:tcPr>
            <w:tcW w:w="0" w:type="auto"/>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578.18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九、医疗卫生与计划生育支出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十八、国土海洋气象等支出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578.18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108.96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108.96</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687.14</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62" w:hRule="atLeast"/>
        </w:trPr>
        <w:tc>
          <w:tcPr>
            <w:tcW w:w="0" w:type="auto"/>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注：本表反映部门本年度一般公共预算财政拨款和政府性基金预算财政拨款的总收支和年末结转结余情况。本表金额转换为万元时，因四舍五入可能存在尾差。</w:t>
            </w:r>
          </w:p>
        </w:tc>
      </w:tr>
    </w:tbl>
    <w:p>
      <w:pPr>
        <w:pStyle w:val="3"/>
        <w:spacing w:before="8"/>
        <w:ind w:left="0"/>
        <w:rPr>
          <w:sz w:val="23"/>
        </w:rPr>
      </w:pPr>
    </w:p>
    <w:p>
      <w:pPr>
        <w:pStyle w:val="3"/>
        <w:spacing w:before="8"/>
        <w:ind w:left="0"/>
        <w:rPr>
          <w:sz w:val="23"/>
        </w:rPr>
      </w:pPr>
    </w:p>
    <w:p>
      <w:pPr>
        <w:pStyle w:val="3"/>
        <w:spacing w:before="8"/>
        <w:ind w:left="0"/>
        <w:rPr>
          <w:sz w:val="23"/>
        </w:rPr>
      </w:pPr>
    </w:p>
    <w:p>
      <w:pPr>
        <w:pStyle w:val="3"/>
        <w:spacing w:before="8"/>
        <w:ind w:left="0"/>
        <w:rPr>
          <w:sz w:val="23"/>
        </w:rPr>
      </w:pPr>
    </w:p>
    <w:tbl>
      <w:tblPr>
        <w:tblStyle w:val="7"/>
        <w:tblW w:w="11670" w:type="dxa"/>
        <w:tblInd w:w="93" w:type="dxa"/>
        <w:shd w:val="clear" w:color="auto" w:fill="auto"/>
        <w:tblLayout w:type="autofit"/>
        <w:tblCellMar>
          <w:top w:w="0" w:type="dxa"/>
          <w:left w:w="108" w:type="dxa"/>
          <w:bottom w:w="0" w:type="dxa"/>
          <w:right w:w="108" w:type="dxa"/>
        </w:tblCellMar>
      </w:tblPr>
      <w:tblGrid>
        <w:gridCol w:w="2674"/>
        <w:gridCol w:w="324"/>
        <w:gridCol w:w="324"/>
        <w:gridCol w:w="3961"/>
        <w:gridCol w:w="2140"/>
        <w:gridCol w:w="2140"/>
        <w:gridCol w:w="2140"/>
      </w:tblGrid>
      <w:tr>
        <w:tblPrEx>
          <w:shd w:val="clear" w:color="auto" w:fill="auto"/>
          <w:tblCellMar>
            <w:top w:w="0" w:type="dxa"/>
            <w:left w:w="108" w:type="dxa"/>
            <w:bottom w:w="0" w:type="dxa"/>
            <w:right w:w="108" w:type="dxa"/>
          </w:tblCellMar>
        </w:tblPrEx>
        <w:trPr>
          <w:trHeight w:val="390" w:hRule="atLeast"/>
        </w:trPr>
        <w:tc>
          <w:tcPr>
            <w:tcW w:w="330"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50" w:type="dxa"/>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c>
          <w:tcPr>
            <w:tcW w:w="22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部门：栾川县质量技术监督局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CellMar>
            <w:top w:w="0" w:type="dxa"/>
            <w:left w:w="108" w:type="dxa"/>
            <w:bottom w:w="0" w:type="dxa"/>
            <w:right w:w="108" w:type="dxa"/>
          </w:tblCellMar>
        </w:tblPrEx>
        <w:trPr>
          <w:trHeight w:val="277"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640.13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163.11</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质量技术监督与检验检疫事务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73.29</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2011706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质量技术监督行政执法及业务管理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其他质量技术监督与检验检疫事务支出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71.61</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注：本表反映部门本年度一般公共预算财政拨款支出情况。本表金额转换为万元时，因四舍五入可能存在尾差。</w:t>
            </w:r>
          </w:p>
        </w:tc>
      </w:tr>
    </w:tbl>
    <w:p>
      <w:pPr>
        <w:pStyle w:val="3"/>
        <w:spacing w:before="8"/>
        <w:ind w:left="0"/>
        <w:rPr>
          <w:sz w:val="23"/>
        </w:rPr>
      </w:pPr>
    </w:p>
    <w:p>
      <w:pPr>
        <w:pStyle w:val="3"/>
        <w:spacing w:before="8"/>
        <w:ind w:left="0"/>
        <w:rPr>
          <w:sz w:val="23"/>
        </w:rPr>
      </w:pPr>
    </w:p>
    <w:p>
      <w:pPr>
        <w:pStyle w:val="3"/>
        <w:spacing w:before="8"/>
        <w:ind w:left="0"/>
        <w:rPr>
          <w:sz w:val="23"/>
        </w:rPr>
      </w:pPr>
    </w:p>
    <w:p>
      <w:pPr>
        <w:pStyle w:val="3"/>
        <w:spacing w:before="8"/>
        <w:ind w:left="0"/>
        <w:rPr>
          <w:sz w:val="23"/>
        </w:rPr>
      </w:pPr>
    </w:p>
    <w:tbl>
      <w:tblPr>
        <w:tblStyle w:val="7"/>
        <w:tblW w:w="0" w:type="auto"/>
        <w:tblInd w:w="93" w:type="dxa"/>
        <w:shd w:val="clear" w:color="auto" w:fill="auto"/>
        <w:tblLayout w:type="autofit"/>
        <w:tblCellMar>
          <w:top w:w="0" w:type="dxa"/>
          <w:left w:w="108" w:type="dxa"/>
          <w:bottom w:w="0" w:type="dxa"/>
          <w:right w:w="108" w:type="dxa"/>
        </w:tblCellMar>
      </w:tblPr>
      <w:tblGrid>
        <w:gridCol w:w="1847"/>
        <w:gridCol w:w="2286"/>
        <w:gridCol w:w="630"/>
        <w:gridCol w:w="561"/>
        <w:gridCol w:w="3414"/>
        <w:gridCol w:w="561"/>
        <w:gridCol w:w="561"/>
        <w:gridCol w:w="2837"/>
        <w:gridCol w:w="1006"/>
      </w:tblGrid>
      <w:tr>
        <w:tblPrEx>
          <w:shd w:val="clear" w:color="auto" w:fill="auto"/>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一般公共预算财政拨款基本支出决算表</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公开06表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部门：栾川县质量技术监督局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CellMar>
            <w:top w:w="0" w:type="dxa"/>
            <w:left w:w="108" w:type="dxa"/>
            <w:bottom w:w="0" w:type="dxa"/>
            <w:right w:w="108"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CellMar>
            <w:top w:w="0" w:type="dxa"/>
            <w:left w:w="108" w:type="dxa"/>
            <w:bottom w:w="0" w:type="dxa"/>
            <w:right w:w="108" w:type="dxa"/>
          </w:tblCellMar>
        </w:tblPrEx>
        <w:trPr>
          <w:trHeight w:val="308" w:hRule="atLeast"/>
        </w:trPr>
        <w:tc>
          <w:tcPr>
            <w:tcW w:w="0" w:type="auto"/>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424.17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236.28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439.57</w:t>
            </w:r>
          </w:p>
        </w:tc>
        <w:tc>
          <w:tcPr>
            <w:tcW w:w="0" w:type="auto"/>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37.45</w:t>
            </w:r>
          </w:p>
        </w:tc>
      </w:tr>
      <w:tr>
        <w:tblPrEx>
          <w:tblCellMar>
            <w:top w:w="0" w:type="dxa"/>
            <w:left w:w="108" w:type="dxa"/>
            <w:bottom w:w="0" w:type="dxa"/>
            <w:right w:w="108" w:type="dxa"/>
          </w:tblCellMar>
        </w:tblPrEx>
        <w:trPr>
          <w:trHeight w:val="308"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注：本表反映部门本年度一般公共预算财政拨款基本支出明细情况。本表金额转换为万元时，因四舍五入可能存在尾差。</w:t>
            </w:r>
          </w:p>
        </w:tc>
      </w:tr>
    </w:tbl>
    <w:p>
      <w:pPr>
        <w:pStyle w:val="3"/>
        <w:spacing w:before="8"/>
        <w:ind w:left="0"/>
        <w:rPr>
          <w:sz w:val="23"/>
        </w:rPr>
      </w:pPr>
    </w:p>
    <w:p>
      <w:pPr>
        <w:pStyle w:val="3"/>
        <w:spacing w:before="8"/>
        <w:ind w:left="0"/>
        <w:rPr>
          <w:sz w:val="23"/>
        </w:rPr>
      </w:pPr>
    </w:p>
    <w:tbl>
      <w:tblPr>
        <w:tblStyle w:val="7"/>
        <w:tblW w:w="0" w:type="auto"/>
        <w:tblInd w:w="93" w:type="dxa"/>
        <w:shd w:val="clear" w:color="auto" w:fill="auto"/>
        <w:tblLayout w:type="autofit"/>
        <w:tblCellMar>
          <w:top w:w="0" w:type="dxa"/>
          <w:left w:w="108" w:type="dxa"/>
          <w:bottom w:w="0" w:type="dxa"/>
          <w:right w:w="108" w:type="dxa"/>
        </w:tblCellMar>
      </w:tblPr>
      <w:tblGrid>
        <w:gridCol w:w="1804"/>
        <w:gridCol w:w="619"/>
        <w:gridCol w:w="552"/>
        <w:gridCol w:w="485"/>
        <w:gridCol w:w="552"/>
        <w:gridCol w:w="5860"/>
        <w:gridCol w:w="552"/>
        <w:gridCol w:w="619"/>
        <w:gridCol w:w="552"/>
        <w:gridCol w:w="485"/>
        <w:gridCol w:w="552"/>
        <w:gridCol w:w="1071"/>
      </w:tblGrid>
      <w:tr>
        <w:tblPrEx>
          <w:shd w:val="clear" w:color="auto" w:fill="auto"/>
          <w:tblCellMar>
            <w:top w:w="0" w:type="dxa"/>
            <w:left w:w="108" w:type="dxa"/>
            <w:bottom w:w="0" w:type="dxa"/>
            <w:right w:w="108" w:type="dxa"/>
          </w:tblCellMar>
        </w:tblPrEx>
        <w:trPr>
          <w:trHeight w:val="540"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一般公共预算财政拨款“三公”经费支出决算表</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部门：栾川县质量技术监督局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trHeight w:val="308"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CellMar>
            <w:top w:w="0" w:type="dxa"/>
            <w:left w:w="108" w:type="dxa"/>
            <w:bottom w:w="0" w:type="dxa"/>
            <w:right w:w="108"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0" w:type="auto"/>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CellMar>
            <w:top w:w="0" w:type="dxa"/>
            <w:left w:w="108" w:type="dxa"/>
            <w:bottom w:w="0" w:type="dxa"/>
            <w:right w:w="108" w:type="dxa"/>
          </w:tblCellMar>
        </w:tblPrEx>
        <w:trPr>
          <w:trHeight w:val="615" w:hRule="atLeast"/>
        </w:trPr>
        <w:tc>
          <w:tcPr>
            <w:tcW w:w="0" w:type="auto"/>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0" w:type="auto"/>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r>
      <w:tr>
        <w:tblPrEx>
          <w:tblCellMar>
            <w:top w:w="0" w:type="dxa"/>
            <w:left w:w="108" w:type="dxa"/>
            <w:bottom w:w="0" w:type="dxa"/>
            <w:right w:w="108" w:type="dxa"/>
          </w:tblCellMar>
        </w:tblPrEx>
        <w:trPr>
          <w:trHeight w:val="615" w:hRule="atLeast"/>
        </w:trPr>
        <w:tc>
          <w:tcPr>
            <w:tcW w:w="0" w:type="auto"/>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年初预算数，决算数是包括当年一般公共预算财政拨款和以前年度结转资金安排的实际支出。本表金额转换为万元时，因四舍五入可能存在尾差。</w:t>
            </w:r>
          </w:p>
        </w:tc>
      </w:tr>
    </w:tbl>
    <w:p>
      <w:pPr>
        <w:pStyle w:val="3"/>
        <w:spacing w:before="8"/>
        <w:ind w:left="0"/>
        <w:rPr>
          <w:sz w:val="23"/>
        </w:rPr>
      </w:pPr>
    </w:p>
    <w:p>
      <w:pPr>
        <w:pStyle w:val="3"/>
        <w:spacing w:before="8"/>
        <w:ind w:left="0"/>
        <w:rPr>
          <w:sz w:val="23"/>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59"/>
        <w:gridCol w:w="323"/>
        <w:gridCol w:w="326"/>
        <w:gridCol w:w="1355"/>
        <w:gridCol w:w="949"/>
        <w:gridCol w:w="875"/>
        <w:gridCol w:w="668"/>
        <w:gridCol w:w="949"/>
        <w:gridCol w:w="751"/>
        <w:gridCol w:w="2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5000" w:type="pct"/>
            <w:gridSpan w:val="10"/>
            <w:tcBorders>
              <w:top w:val="nil"/>
              <w:left w:val="nil"/>
              <w:bottom w:val="nil"/>
              <w:right w:val="nil"/>
              <w:tl2br w:val="nil"/>
              <w:tr2bl w:val="nil"/>
            </w:tcBorders>
            <w:noWrap/>
            <w:vAlign w:val="bottom"/>
          </w:tcPr>
          <w:p>
            <w:pPr>
              <w:spacing w:beforeLines="0" w:afterLines="0"/>
              <w:jc w:val="center"/>
              <w:rPr>
                <w:rFonts w:hint="default" w:ascii="Arial" w:hAnsi="Arial" w:cs="Arial"/>
                <w:color w:val="000000"/>
                <w:sz w:val="20"/>
                <w:szCs w:val="20"/>
              </w:rPr>
            </w:pPr>
            <w:r>
              <w:rPr>
                <w:rFonts w:hint="eastAsia" w:ascii="宋体" w:hAnsi="宋体" w:cs="宋体"/>
                <w:color w:val="000000"/>
                <w:kern w:val="0"/>
                <w:sz w:val="30"/>
                <w:szCs w:val="30"/>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79" w:type="pct"/>
            <w:tcBorders>
              <w:top w:val="nil"/>
              <w:left w:val="nil"/>
              <w:bottom w:val="nil"/>
              <w:right w:val="nil"/>
              <w:tl2br w:val="nil"/>
              <w:tr2bl w:val="nil"/>
            </w:tcBorders>
            <w:noWrap/>
            <w:vAlign w:val="bottom"/>
          </w:tcPr>
          <w:p>
            <w:pPr>
              <w:spacing w:beforeLines="0" w:afterLines="0"/>
              <w:rPr>
                <w:rFonts w:hint="default" w:ascii="Arial" w:hAnsi="Arial" w:cs="Arial"/>
                <w:color w:val="000000"/>
                <w:sz w:val="20"/>
                <w:szCs w:val="20"/>
              </w:rPr>
            </w:pPr>
          </w:p>
        </w:tc>
        <w:tc>
          <w:tcPr>
            <w:tcW w:w="117" w:type="pct"/>
            <w:tcBorders>
              <w:top w:val="nil"/>
              <w:left w:val="nil"/>
              <w:bottom w:val="nil"/>
              <w:right w:val="nil"/>
              <w:tl2br w:val="nil"/>
              <w:tr2bl w:val="nil"/>
            </w:tcBorders>
            <w:noWrap/>
            <w:vAlign w:val="bottom"/>
          </w:tcPr>
          <w:p>
            <w:pPr>
              <w:spacing w:beforeLines="0" w:afterLines="0"/>
              <w:rPr>
                <w:rFonts w:hint="default" w:ascii="Arial" w:hAnsi="Arial" w:cs="Arial"/>
                <w:color w:val="000000"/>
                <w:sz w:val="20"/>
                <w:szCs w:val="20"/>
              </w:rPr>
            </w:pPr>
          </w:p>
        </w:tc>
        <w:tc>
          <w:tcPr>
            <w:tcW w:w="117" w:type="pct"/>
            <w:tcBorders>
              <w:top w:val="nil"/>
              <w:left w:val="nil"/>
              <w:bottom w:val="nil"/>
              <w:right w:val="nil"/>
              <w:tl2br w:val="nil"/>
              <w:tr2bl w:val="nil"/>
            </w:tcBorders>
            <w:noWrap/>
            <w:vAlign w:val="bottom"/>
          </w:tcPr>
          <w:p>
            <w:pPr>
              <w:spacing w:beforeLines="0" w:afterLines="0"/>
              <w:rPr>
                <w:rFonts w:hint="default" w:ascii="Arial" w:hAnsi="Arial" w:cs="Arial"/>
                <w:color w:val="000000"/>
                <w:sz w:val="20"/>
                <w:szCs w:val="20"/>
              </w:rPr>
            </w:pPr>
          </w:p>
        </w:tc>
        <w:tc>
          <w:tcPr>
            <w:tcW w:w="491" w:type="pct"/>
            <w:tcBorders>
              <w:top w:val="nil"/>
              <w:left w:val="nil"/>
              <w:bottom w:val="nil"/>
              <w:right w:val="nil"/>
              <w:tl2br w:val="nil"/>
              <w:tr2bl w:val="nil"/>
            </w:tcBorders>
            <w:noWrap/>
            <w:vAlign w:val="bottom"/>
          </w:tcPr>
          <w:p>
            <w:pPr>
              <w:spacing w:beforeLines="0" w:afterLines="0"/>
              <w:rPr>
                <w:rFonts w:hint="default" w:ascii="Arial" w:hAnsi="Arial" w:cs="Arial"/>
                <w:color w:val="000000"/>
                <w:sz w:val="20"/>
                <w:szCs w:val="20"/>
              </w:rPr>
            </w:pPr>
          </w:p>
        </w:tc>
        <w:tc>
          <w:tcPr>
            <w:tcW w:w="344" w:type="pct"/>
            <w:tcBorders>
              <w:top w:val="nil"/>
              <w:left w:val="nil"/>
              <w:bottom w:val="nil"/>
              <w:right w:val="nil"/>
              <w:tl2br w:val="nil"/>
              <w:tr2bl w:val="nil"/>
            </w:tcBorders>
            <w:noWrap/>
            <w:vAlign w:val="bottom"/>
          </w:tcPr>
          <w:p>
            <w:pPr>
              <w:spacing w:beforeLines="0" w:afterLines="0"/>
              <w:rPr>
                <w:rFonts w:hint="default" w:ascii="Arial" w:hAnsi="Arial" w:cs="Arial"/>
                <w:color w:val="000000"/>
                <w:sz w:val="20"/>
                <w:szCs w:val="20"/>
              </w:rPr>
            </w:pPr>
          </w:p>
        </w:tc>
        <w:tc>
          <w:tcPr>
            <w:tcW w:w="317" w:type="pct"/>
            <w:tcBorders>
              <w:top w:val="nil"/>
              <w:left w:val="nil"/>
              <w:bottom w:val="nil"/>
              <w:right w:val="nil"/>
              <w:tl2br w:val="nil"/>
              <w:tr2bl w:val="nil"/>
            </w:tcBorders>
            <w:noWrap/>
            <w:vAlign w:val="bottom"/>
          </w:tcPr>
          <w:p>
            <w:pPr>
              <w:spacing w:beforeLines="0" w:afterLines="0"/>
              <w:rPr>
                <w:rFonts w:hint="default" w:ascii="Arial" w:hAnsi="Arial" w:cs="Arial"/>
                <w:color w:val="000000"/>
                <w:sz w:val="20"/>
                <w:szCs w:val="20"/>
              </w:rPr>
            </w:pPr>
          </w:p>
        </w:tc>
        <w:tc>
          <w:tcPr>
            <w:tcW w:w="242" w:type="pct"/>
            <w:tcBorders>
              <w:top w:val="nil"/>
              <w:left w:val="nil"/>
              <w:bottom w:val="nil"/>
              <w:right w:val="nil"/>
              <w:tl2br w:val="nil"/>
              <w:tr2bl w:val="nil"/>
            </w:tcBorders>
            <w:noWrap/>
            <w:vAlign w:val="bottom"/>
          </w:tcPr>
          <w:p>
            <w:pPr>
              <w:spacing w:beforeLines="0" w:afterLines="0"/>
              <w:rPr>
                <w:rFonts w:hint="default" w:ascii="Arial" w:hAnsi="Arial" w:cs="Arial"/>
                <w:color w:val="000000"/>
                <w:sz w:val="20"/>
                <w:szCs w:val="20"/>
              </w:rPr>
            </w:pPr>
          </w:p>
        </w:tc>
        <w:tc>
          <w:tcPr>
            <w:tcW w:w="344" w:type="pct"/>
            <w:tcBorders>
              <w:top w:val="nil"/>
              <w:left w:val="nil"/>
              <w:bottom w:val="nil"/>
              <w:right w:val="nil"/>
              <w:tl2br w:val="nil"/>
              <w:tr2bl w:val="nil"/>
            </w:tcBorders>
            <w:noWrap/>
            <w:vAlign w:val="bottom"/>
          </w:tcPr>
          <w:p>
            <w:pPr>
              <w:spacing w:beforeLines="0" w:afterLines="0"/>
              <w:rPr>
                <w:rFonts w:hint="default" w:ascii="Arial" w:hAnsi="Arial" w:cs="Arial"/>
                <w:color w:val="000000"/>
                <w:sz w:val="20"/>
                <w:szCs w:val="20"/>
              </w:rPr>
            </w:pPr>
          </w:p>
        </w:tc>
        <w:tc>
          <w:tcPr>
            <w:tcW w:w="270" w:type="pct"/>
            <w:tcBorders>
              <w:top w:val="nil"/>
              <w:left w:val="nil"/>
              <w:bottom w:val="nil"/>
              <w:right w:val="nil"/>
              <w:tl2br w:val="nil"/>
              <w:tr2bl w:val="nil"/>
            </w:tcBorders>
            <w:noWrap/>
            <w:vAlign w:val="bottom"/>
          </w:tcPr>
          <w:p>
            <w:pPr>
              <w:spacing w:beforeLines="0" w:afterLines="0"/>
              <w:rPr>
                <w:rFonts w:hint="default" w:ascii="Arial" w:hAnsi="Arial" w:cs="Arial"/>
                <w:color w:val="000000"/>
                <w:sz w:val="20"/>
                <w:szCs w:val="20"/>
              </w:rPr>
            </w:pPr>
          </w:p>
        </w:tc>
        <w:tc>
          <w:tcPr>
            <w:tcW w:w="775" w:type="pct"/>
            <w:tcBorders>
              <w:top w:val="nil"/>
              <w:left w:val="nil"/>
              <w:bottom w:val="nil"/>
              <w:right w:val="nil"/>
              <w:tl2br w:val="nil"/>
              <w:tr2bl w:val="nil"/>
            </w:tcBorders>
            <w:noWrap/>
            <w:vAlign w:val="bottom"/>
          </w:tcPr>
          <w:p>
            <w:pPr>
              <w:spacing w:beforeLines="0" w:afterLines="0"/>
              <w:jc w:val="right"/>
              <w:textAlignment w:val="bottom"/>
              <w:rPr>
                <w:rFonts w:hint="eastAsia" w:ascii="宋体" w:hAnsi="宋体" w:cs="宋体"/>
                <w:color w:val="000000"/>
                <w:sz w:val="20"/>
                <w:szCs w:val="20"/>
              </w:rPr>
            </w:pPr>
            <w:r>
              <w:rPr>
                <w:rFonts w:hint="eastAsia" w:ascii="宋体" w:hAnsi="宋体" w:cs="宋体"/>
                <w:color w:val="000000"/>
                <w:kern w:val="0"/>
                <w:sz w:val="20"/>
                <w:szCs w:val="20"/>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979" w:type="pct"/>
            <w:tcBorders>
              <w:top w:val="nil"/>
              <w:left w:val="nil"/>
              <w:bottom w:val="nil"/>
              <w:right w:val="nil"/>
              <w:tl2br w:val="nil"/>
              <w:tr2bl w:val="nil"/>
            </w:tcBorders>
            <w:noWrap/>
            <w:vAlign w:val="bottom"/>
          </w:tcPr>
          <w:p>
            <w:pPr>
              <w:spacing w:beforeLines="0" w:afterLines="0"/>
              <w:jc w:val="left"/>
              <w:textAlignment w:val="bottom"/>
              <w:rPr>
                <w:rFonts w:hint="eastAsia" w:ascii="宋体" w:hAnsi="宋体" w:cs="宋体"/>
                <w:color w:val="000000"/>
                <w:sz w:val="20"/>
                <w:szCs w:val="20"/>
              </w:rPr>
            </w:pPr>
            <w:r>
              <w:rPr>
                <w:rFonts w:hint="eastAsia" w:ascii="宋体" w:hAnsi="宋体" w:cs="宋体"/>
                <w:color w:val="000000"/>
                <w:kern w:val="0"/>
                <w:sz w:val="20"/>
                <w:szCs w:val="20"/>
                <w:lang w:val="en-US" w:eastAsia="zh-CN" w:bidi="ar"/>
              </w:rPr>
              <w:t>部门：河南省洛阳市栾川县</w:t>
            </w:r>
            <w:r>
              <w:rPr>
                <w:rFonts w:hint="eastAsia" w:cs="宋体"/>
                <w:color w:val="000000"/>
                <w:kern w:val="0"/>
                <w:sz w:val="20"/>
                <w:szCs w:val="20"/>
                <w:lang w:val="en-US" w:eastAsia="zh-CN" w:bidi="ar"/>
              </w:rPr>
              <w:t>质量技术监督</w:t>
            </w:r>
            <w:r>
              <w:rPr>
                <w:rFonts w:hint="eastAsia" w:ascii="宋体" w:hAnsi="宋体" w:cs="宋体"/>
                <w:color w:val="000000"/>
                <w:kern w:val="0"/>
                <w:sz w:val="20"/>
                <w:szCs w:val="20"/>
                <w:lang w:val="en-US" w:eastAsia="zh-CN" w:bidi="ar"/>
              </w:rPr>
              <w:t>局</w:t>
            </w:r>
          </w:p>
        </w:tc>
        <w:tc>
          <w:tcPr>
            <w:tcW w:w="117" w:type="pct"/>
            <w:tcBorders>
              <w:top w:val="nil"/>
              <w:left w:val="nil"/>
              <w:bottom w:val="nil"/>
              <w:right w:val="nil"/>
              <w:tl2br w:val="nil"/>
              <w:tr2bl w:val="nil"/>
            </w:tcBorders>
            <w:noWrap/>
            <w:vAlign w:val="bottom"/>
          </w:tcPr>
          <w:p>
            <w:pPr>
              <w:spacing w:beforeLines="0" w:afterLines="0"/>
              <w:rPr>
                <w:rFonts w:hint="default" w:ascii="Arial" w:hAnsi="Arial" w:cs="Arial"/>
                <w:color w:val="000000"/>
                <w:sz w:val="20"/>
                <w:szCs w:val="20"/>
              </w:rPr>
            </w:pPr>
          </w:p>
        </w:tc>
        <w:tc>
          <w:tcPr>
            <w:tcW w:w="117" w:type="pct"/>
            <w:tcBorders>
              <w:top w:val="nil"/>
              <w:left w:val="nil"/>
              <w:bottom w:val="nil"/>
              <w:right w:val="nil"/>
              <w:tl2br w:val="nil"/>
              <w:tr2bl w:val="nil"/>
            </w:tcBorders>
            <w:noWrap/>
            <w:vAlign w:val="bottom"/>
          </w:tcPr>
          <w:p>
            <w:pPr>
              <w:spacing w:beforeLines="0" w:afterLines="0"/>
              <w:rPr>
                <w:rFonts w:hint="default" w:ascii="Arial" w:hAnsi="Arial" w:cs="Arial"/>
                <w:color w:val="000000"/>
                <w:sz w:val="20"/>
                <w:szCs w:val="20"/>
              </w:rPr>
            </w:pPr>
          </w:p>
        </w:tc>
        <w:tc>
          <w:tcPr>
            <w:tcW w:w="491" w:type="pct"/>
            <w:tcBorders>
              <w:top w:val="nil"/>
              <w:left w:val="nil"/>
              <w:bottom w:val="nil"/>
              <w:right w:val="nil"/>
              <w:tl2br w:val="nil"/>
              <w:tr2bl w:val="nil"/>
            </w:tcBorders>
            <w:noWrap/>
            <w:vAlign w:val="bottom"/>
          </w:tcPr>
          <w:p>
            <w:pPr>
              <w:spacing w:beforeLines="0" w:afterLines="0"/>
              <w:rPr>
                <w:rFonts w:hint="default" w:ascii="Arial" w:hAnsi="Arial" w:cs="Arial"/>
                <w:color w:val="000000"/>
                <w:sz w:val="20"/>
                <w:szCs w:val="20"/>
              </w:rPr>
            </w:pPr>
          </w:p>
        </w:tc>
        <w:tc>
          <w:tcPr>
            <w:tcW w:w="344" w:type="pct"/>
            <w:tcBorders>
              <w:top w:val="nil"/>
              <w:left w:val="nil"/>
              <w:bottom w:val="nil"/>
              <w:right w:val="nil"/>
              <w:tl2br w:val="nil"/>
              <w:tr2bl w:val="nil"/>
            </w:tcBorders>
            <w:noWrap/>
            <w:vAlign w:val="bottom"/>
          </w:tcPr>
          <w:p>
            <w:pPr>
              <w:spacing w:beforeLines="0" w:afterLines="0"/>
              <w:rPr>
                <w:rFonts w:hint="default" w:ascii="Arial" w:hAnsi="Arial" w:cs="Arial"/>
                <w:color w:val="000000"/>
                <w:sz w:val="20"/>
                <w:szCs w:val="20"/>
              </w:rPr>
            </w:pPr>
          </w:p>
        </w:tc>
        <w:tc>
          <w:tcPr>
            <w:tcW w:w="317" w:type="pct"/>
            <w:tcBorders>
              <w:top w:val="nil"/>
              <w:left w:val="nil"/>
              <w:bottom w:val="nil"/>
              <w:right w:val="nil"/>
              <w:tl2br w:val="nil"/>
              <w:tr2bl w:val="nil"/>
            </w:tcBorders>
            <w:noWrap/>
            <w:vAlign w:val="bottom"/>
          </w:tcPr>
          <w:p>
            <w:pPr>
              <w:spacing w:beforeLines="0" w:afterLines="0"/>
              <w:rPr>
                <w:rFonts w:hint="default" w:ascii="Arial" w:hAnsi="Arial" w:cs="Arial"/>
                <w:color w:val="000000"/>
                <w:sz w:val="20"/>
                <w:szCs w:val="20"/>
              </w:rPr>
            </w:pPr>
          </w:p>
        </w:tc>
        <w:tc>
          <w:tcPr>
            <w:tcW w:w="242" w:type="pct"/>
            <w:tcBorders>
              <w:top w:val="nil"/>
              <w:left w:val="nil"/>
              <w:bottom w:val="nil"/>
              <w:right w:val="nil"/>
              <w:tl2br w:val="nil"/>
              <w:tr2bl w:val="nil"/>
            </w:tcBorders>
            <w:noWrap/>
            <w:vAlign w:val="bottom"/>
          </w:tcPr>
          <w:p>
            <w:pPr>
              <w:spacing w:beforeLines="0" w:afterLines="0"/>
              <w:rPr>
                <w:rFonts w:hint="default" w:ascii="Arial" w:hAnsi="Arial" w:cs="Arial"/>
                <w:color w:val="000000"/>
                <w:sz w:val="20"/>
                <w:szCs w:val="20"/>
              </w:rPr>
            </w:pPr>
          </w:p>
        </w:tc>
        <w:tc>
          <w:tcPr>
            <w:tcW w:w="344" w:type="pct"/>
            <w:tcBorders>
              <w:top w:val="nil"/>
              <w:left w:val="nil"/>
              <w:bottom w:val="nil"/>
              <w:right w:val="nil"/>
              <w:tl2br w:val="nil"/>
              <w:tr2bl w:val="nil"/>
            </w:tcBorders>
            <w:noWrap/>
            <w:vAlign w:val="bottom"/>
          </w:tcPr>
          <w:p>
            <w:pPr>
              <w:spacing w:beforeLines="0" w:afterLines="0"/>
              <w:rPr>
                <w:rFonts w:hint="default" w:ascii="Arial" w:hAnsi="Arial" w:cs="Arial"/>
                <w:color w:val="000000"/>
                <w:sz w:val="20"/>
                <w:szCs w:val="20"/>
              </w:rPr>
            </w:pPr>
          </w:p>
        </w:tc>
        <w:tc>
          <w:tcPr>
            <w:tcW w:w="270" w:type="pct"/>
            <w:tcBorders>
              <w:top w:val="nil"/>
              <w:left w:val="nil"/>
              <w:bottom w:val="nil"/>
              <w:right w:val="nil"/>
              <w:tl2br w:val="nil"/>
              <w:tr2bl w:val="nil"/>
            </w:tcBorders>
            <w:noWrap/>
            <w:vAlign w:val="bottom"/>
          </w:tcPr>
          <w:p>
            <w:pPr>
              <w:spacing w:beforeLines="0" w:afterLines="0"/>
              <w:rPr>
                <w:rFonts w:hint="default" w:ascii="Arial" w:hAnsi="Arial" w:cs="Arial"/>
                <w:color w:val="000000"/>
                <w:sz w:val="20"/>
                <w:szCs w:val="20"/>
              </w:rPr>
            </w:pPr>
          </w:p>
        </w:tc>
        <w:tc>
          <w:tcPr>
            <w:tcW w:w="775" w:type="pct"/>
            <w:tcBorders>
              <w:top w:val="nil"/>
              <w:left w:val="nil"/>
              <w:bottom w:val="nil"/>
              <w:right w:val="nil"/>
              <w:tl2br w:val="nil"/>
              <w:tr2bl w:val="nil"/>
            </w:tcBorders>
            <w:noWrap/>
            <w:vAlign w:val="bottom"/>
          </w:tcPr>
          <w:p>
            <w:pPr>
              <w:spacing w:beforeLines="0" w:afterLines="0"/>
              <w:jc w:val="right"/>
              <w:textAlignment w:val="bottom"/>
              <w:rPr>
                <w:rFonts w:hint="eastAsia" w:ascii="宋体" w:hAnsi="宋体" w:cs="宋体"/>
                <w:color w:val="000000"/>
                <w:sz w:val="20"/>
                <w:szCs w:val="20"/>
              </w:rPr>
            </w:pPr>
            <w:r>
              <w:rPr>
                <w:rFonts w:hint="eastAsia" w:ascii="宋体" w:hAnsi="宋体" w:cs="宋体"/>
                <w:color w:val="000000"/>
                <w:kern w:val="0"/>
                <w:sz w:val="20"/>
                <w:szCs w:val="2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05" w:type="pct"/>
            <w:gridSpan w:val="4"/>
            <w:tcBorders>
              <w:top w:val="single" w:color="000000" w:sz="4" w:space="0"/>
              <w:left w:val="single" w:color="000000" w:sz="4" w:space="0"/>
              <w:bottom w:val="single" w:color="000000" w:sz="4" w:space="0"/>
              <w:right w:val="single" w:color="000000" w:sz="4" w:space="0"/>
              <w:tl2br w:val="nil"/>
              <w:tr2bl w:val="nil"/>
            </w:tcBorders>
            <w:shd w:val="clear" w:color="FFFFFF" w:fill="C0C0C0"/>
            <w:noWrap/>
            <w:vAlign w:val="center"/>
          </w:tcPr>
          <w:p>
            <w:pPr>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项目</w:t>
            </w:r>
          </w:p>
        </w:tc>
        <w:tc>
          <w:tcPr>
            <w:tcW w:w="344" w:type="pct"/>
            <w:vMerge w:val="restart"/>
            <w:tcBorders>
              <w:top w:val="single" w:color="000000" w:sz="4" w:space="0"/>
              <w:left w:val="nil"/>
              <w:bottom w:val="single" w:color="000000" w:sz="4" w:space="0"/>
              <w:right w:val="single" w:color="000000" w:sz="4" w:space="0"/>
              <w:tl2br w:val="nil"/>
              <w:tr2bl w:val="nil"/>
            </w:tcBorders>
            <w:shd w:val="clear" w:color="FFFFFF" w:fill="C0C0C0"/>
            <w:noWrap w:val="0"/>
            <w:vAlign w:val="center"/>
          </w:tcPr>
          <w:p>
            <w:pPr>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年初结转和结余</w:t>
            </w:r>
          </w:p>
        </w:tc>
        <w:tc>
          <w:tcPr>
            <w:tcW w:w="317" w:type="pct"/>
            <w:vMerge w:val="restart"/>
            <w:tcBorders>
              <w:top w:val="single" w:color="000000" w:sz="4" w:space="0"/>
              <w:left w:val="nil"/>
              <w:bottom w:val="single" w:color="000000" w:sz="4" w:space="0"/>
              <w:right w:val="single" w:color="000000" w:sz="4" w:space="0"/>
              <w:tl2br w:val="nil"/>
              <w:tr2bl w:val="nil"/>
            </w:tcBorders>
            <w:shd w:val="clear" w:color="FFFFFF" w:fill="C0C0C0"/>
            <w:noWrap w:val="0"/>
            <w:vAlign w:val="center"/>
          </w:tcPr>
          <w:p>
            <w:pPr>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本年收入</w:t>
            </w:r>
          </w:p>
        </w:tc>
        <w:tc>
          <w:tcPr>
            <w:tcW w:w="858" w:type="pct"/>
            <w:gridSpan w:val="3"/>
            <w:tcBorders>
              <w:top w:val="single" w:color="000000" w:sz="4" w:space="0"/>
              <w:left w:val="nil"/>
              <w:bottom w:val="single" w:color="000000" w:sz="4" w:space="0"/>
              <w:right w:val="single" w:color="000000" w:sz="4" w:space="0"/>
              <w:tl2br w:val="nil"/>
              <w:tr2bl w:val="nil"/>
            </w:tcBorders>
            <w:shd w:val="clear" w:color="FFFFFF" w:fill="C0C0C0"/>
            <w:noWrap w:val="0"/>
            <w:vAlign w:val="center"/>
          </w:tcPr>
          <w:p>
            <w:pPr>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本年支出</w:t>
            </w:r>
          </w:p>
        </w:tc>
        <w:tc>
          <w:tcPr>
            <w:tcW w:w="775" w:type="pct"/>
            <w:vMerge w:val="restart"/>
            <w:tcBorders>
              <w:top w:val="single" w:color="000000" w:sz="4" w:space="0"/>
              <w:left w:val="nil"/>
              <w:bottom w:val="single" w:color="000000" w:sz="4" w:space="0"/>
              <w:right w:val="single" w:color="000000" w:sz="4" w:space="0"/>
              <w:tl2br w:val="nil"/>
              <w:tr2bl w:val="nil"/>
            </w:tcBorders>
            <w:shd w:val="clear" w:color="FFFFFF" w:fill="C0C0C0"/>
            <w:noWrap w:val="0"/>
            <w:vAlign w:val="center"/>
          </w:tcPr>
          <w:p>
            <w:pPr>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14" w:type="pct"/>
            <w:gridSpan w:val="3"/>
            <w:vMerge w:val="restart"/>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pPr>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功能分类科目编码</w:t>
            </w:r>
          </w:p>
        </w:tc>
        <w:tc>
          <w:tcPr>
            <w:tcW w:w="491" w:type="pct"/>
            <w:vMerge w:val="restart"/>
            <w:tcBorders>
              <w:top w:val="nil"/>
              <w:left w:val="nil"/>
              <w:bottom w:val="single" w:color="000000" w:sz="4" w:space="0"/>
              <w:right w:val="single" w:color="000000" w:sz="4" w:space="0"/>
              <w:tl2br w:val="nil"/>
              <w:tr2bl w:val="nil"/>
            </w:tcBorders>
            <w:shd w:val="clear" w:color="FFFFFF" w:fill="C0C0C0"/>
            <w:noWrap/>
            <w:vAlign w:val="center"/>
          </w:tcPr>
          <w:p>
            <w:pPr>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科目名称</w:t>
            </w:r>
          </w:p>
        </w:tc>
        <w:tc>
          <w:tcPr>
            <w:tcW w:w="344" w:type="pct"/>
            <w:vMerge w:val="continue"/>
            <w:tcBorders>
              <w:top w:val="single" w:color="000000" w:sz="4" w:space="0"/>
              <w:left w:val="nil"/>
              <w:bottom w:val="single" w:color="000000" w:sz="4" w:space="0"/>
              <w:right w:val="single" w:color="000000" w:sz="4" w:space="0"/>
              <w:tl2br w:val="nil"/>
              <w:tr2bl w:val="nil"/>
            </w:tcBorders>
            <w:shd w:val="clear" w:color="FFFFFF" w:fill="C0C0C0"/>
            <w:noWrap w:val="0"/>
            <w:vAlign w:val="center"/>
          </w:tcPr>
          <w:p>
            <w:pPr>
              <w:spacing w:beforeLines="0" w:afterLines="0"/>
              <w:jc w:val="center"/>
              <w:rPr>
                <w:rFonts w:hint="eastAsia" w:ascii="宋体" w:hAnsi="宋体" w:cs="宋体"/>
                <w:color w:val="000000"/>
                <w:sz w:val="22"/>
                <w:szCs w:val="22"/>
              </w:rPr>
            </w:pPr>
          </w:p>
        </w:tc>
        <w:tc>
          <w:tcPr>
            <w:tcW w:w="317" w:type="pct"/>
            <w:vMerge w:val="continue"/>
            <w:tcBorders>
              <w:top w:val="single" w:color="000000" w:sz="4" w:space="0"/>
              <w:left w:val="nil"/>
              <w:bottom w:val="single" w:color="000000" w:sz="4" w:space="0"/>
              <w:right w:val="single" w:color="000000" w:sz="4" w:space="0"/>
              <w:tl2br w:val="nil"/>
              <w:tr2bl w:val="nil"/>
            </w:tcBorders>
            <w:shd w:val="clear" w:color="FFFFFF" w:fill="C0C0C0"/>
            <w:noWrap w:val="0"/>
            <w:vAlign w:val="center"/>
          </w:tcPr>
          <w:p>
            <w:pPr>
              <w:spacing w:beforeLines="0" w:afterLines="0"/>
              <w:jc w:val="center"/>
              <w:rPr>
                <w:rFonts w:hint="eastAsia" w:ascii="宋体" w:hAnsi="宋体" w:cs="宋体"/>
                <w:color w:val="000000"/>
                <w:sz w:val="22"/>
                <w:szCs w:val="22"/>
              </w:rPr>
            </w:pPr>
          </w:p>
        </w:tc>
        <w:tc>
          <w:tcPr>
            <w:tcW w:w="242" w:type="pct"/>
            <w:vMerge w:val="restart"/>
            <w:tcBorders>
              <w:top w:val="nil"/>
              <w:left w:val="nil"/>
              <w:bottom w:val="single" w:color="000000" w:sz="4" w:space="0"/>
              <w:right w:val="single" w:color="000000" w:sz="4" w:space="0"/>
              <w:tl2br w:val="nil"/>
              <w:tr2bl w:val="nil"/>
            </w:tcBorders>
            <w:shd w:val="clear" w:color="FFFFFF" w:fill="C0C0C0"/>
            <w:noWrap w:val="0"/>
            <w:vAlign w:val="center"/>
          </w:tcPr>
          <w:p>
            <w:pPr>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小计</w:t>
            </w:r>
          </w:p>
        </w:tc>
        <w:tc>
          <w:tcPr>
            <w:tcW w:w="344" w:type="pct"/>
            <w:vMerge w:val="restart"/>
            <w:tcBorders>
              <w:top w:val="nil"/>
              <w:left w:val="nil"/>
              <w:bottom w:val="single" w:color="000000" w:sz="4" w:space="0"/>
              <w:right w:val="single" w:color="000000" w:sz="4" w:space="0"/>
              <w:tl2br w:val="nil"/>
              <w:tr2bl w:val="nil"/>
            </w:tcBorders>
            <w:shd w:val="clear" w:color="FFFFFF" w:fill="C0C0C0"/>
            <w:noWrap w:val="0"/>
            <w:vAlign w:val="center"/>
          </w:tcPr>
          <w:p>
            <w:pPr>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基本支出</w:t>
            </w:r>
          </w:p>
        </w:tc>
        <w:tc>
          <w:tcPr>
            <w:tcW w:w="270" w:type="pct"/>
            <w:vMerge w:val="restart"/>
            <w:tcBorders>
              <w:top w:val="nil"/>
              <w:left w:val="nil"/>
              <w:bottom w:val="single" w:color="000000" w:sz="4" w:space="0"/>
              <w:right w:val="single" w:color="000000" w:sz="4" w:space="0"/>
              <w:tl2br w:val="nil"/>
              <w:tr2bl w:val="nil"/>
            </w:tcBorders>
            <w:shd w:val="clear" w:color="FFFFFF" w:fill="C0C0C0"/>
            <w:noWrap w:val="0"/>
            <w:vAlign w:val="center"/>
          </w:tcPr>
          <w:p>
            <w:pPr>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项目支出</w:t>
            </w:r>
          </w:p>
        </w:tc>
        <w:tc>
          <w:tcPr>
            <w:tcW w:w="775" w:type="pct"/>
            <w:vMerge w:val="continue"/>
            <w:tcBorders>
              <w:top w:val="single" w:color="000000" w:sz="4" w:space="0"/>
              <w:left w:val="nil"/>
              <w:bottom w:val="single" w:color="000000" w:sz="4" w:space="0"/>
              <w:right w:val="single" w:color="000000" w:sz="4" w:space="0"/>
              <w:tl2br w:val="nil"/>
              <w:tr2bl w:val="nil"/>
            </w:tcBorders>
            <w:shd w:val="clear" w:color="FFFFFF" w:fill="C0C0C0"/>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14" w:type="pct"/>
            <w:gridSpan w:val="3"/>
            <w:vMerge w:val="continue"/>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pPr>
              <w:spacing w:beforeLines="0" w:afterLines="0"/>
              <w:jc w:val="center"/>
              <w:rPr>
                <w:rFonts w:hint="eastAsia" w:ascii="宋体" w:hAnsi="宋体" w:cs="宋体"/>
                <w:color w:val="000000"/>
                <w:sz w:val="22"/>
                <w:szCs w:val="22"/>
              </w:rPr>
            </w:pPr>
          </w:p>
        </w:tc>
        <w:tc>
          <w:tcPr>
            <w:tcW w:w="491" w:type="pct"/>
            <w:vMerge w:val="continue"/>
            <w:tcBorders>
              <w:top w:val="nil"/>
              <w:left w:val="nil"/>
              <w:bottom w:val="single" w:color="000000" w:sz="4" w:space="0"/>
              <w:right w:val="single" w:color="000000" w:sz="4" w:space="0"/>
              <w:tl2br w:val="nil"/>
              <w:tr2bl w:val="nil"/>
            </w:tcBorders>
            <w:shd w:val="clear" w:color="FFFFFF" w:fill="C0C0C0"/>
            <w:noWrap/>
            <w:vAlign w:val="center"/>
          </w:tcPr>
          <w:p>
            <w:pPr>
              <w:spacing w:beforeLines="0" w:afterLines="0"/>
              <w:jc w:val="center"/>
              <w:rPr>
                <w:rFonts w:hint="eastAsia" w:ascii="宋体" w:hAnsi="宋体" w:cs="宋体"/>
                <w:color w:val="000000"/>
                <w:sz w:val="22"/>
                <w:szCs w:val="22"/>
              </w:rPr>
            </w:pPr>
          </w:p>
        </w:tc>
        <w:tc>
          <w:tcPr>
            <w:tcW w:w="344" w:type="pct"/>
            <w:vMerge w:val="continue"/>
            <w:tcBorders>
              <w:top w:val="single" w:color="000000" w:sz="4" w:space="0"/>
              <w:left w:val="nil"/>
              <w:bottom w:val="single" w:color="000000" w:sz="4" w:space="0"/>
              <w:right w:val="single" w:color="000000" w:sz="4" w:space="0"/>
              <w:tl2br w:val="nil"/>
              <w:tr2bl w:val="nil"/>
            </w:tcBorders>
            <w:shd w:val="clear" w:color="FFFFFF" w:fill="C0C0C0"/>
            <w:noWrap w:val="0"/>
            <w:vAlign w:val="center"/>
          </w:tcPr>
          <w:p>
            <w:pPr>
              <w:spacing w:beforeLines="0" w:afterLines="0"/>
              <w:jc w:val="center"/>
              <w:rPr>
                <w:rFonts w:hint="eastAsia" w:ascii="宋体" w:hAnsi="宋体" w:cs="宋体"/>
                <w:color w:val="000000"/>
                <w:sz w:val="22"/>
                <w:szCs w:val="22"/>
              </w:rPr>
            </w:pPr>
          </w:p>
        </w:tc>
        <w:tc>
          <w:tcPr>
            <w:tcW w:w="317" w:type="pct"/>
            <w:vMerge w:val="continue"/>
            <w:tcBorders>
              <w:top w:val="single" w:color="000000" w:sz="4" w:space="0"/>
              <w:left w:val="nil"/>
              <w:bottom w:val="single" w:color="000000" w:sz="4" w:space="0"/>
              <w:right w:val="single" w:color="000000" w:sz="4" w:space="0"/>
              <w:tl2br w:val="nil"/>
              <w:tr2bl w:val="nil"/>
            </w:tcBorders>
            <w:shd w:val="clear" w:color="FFFFFF" w:fill="C0C0C0"/>
            <w:noWrap w:val="0"/>
            <w:vAlign w:val="center"/>
          </w:tcPr>
          <w:p>
            <w:pPr>
              <w:spacing w:beforeLines="0" w:afterLines="0"/>
              <w:jc w:val="center"/>
              <w:rPr>
                <w:rFonts w:hint="eastAsia" w:ascii="宋体" w:hAnsi="宋体" w:cs="宋体"/>
                <w:color w:val="000000"/>
                <w:sz w:val="22"/>
                <w:szCs w:val="22"/>
              </w:rPr>
            </w:pPr>
          </w:p>
        </w:tc>
        <w:tc>
          <w:tcPr>
            <w:tcW w:w="242" w:type="pct"/>
            <w:vMerge w:val="continue"/>
            <w:tcBorders>
              <w:top w:val="nil"/>
              <w:left w:val="nil"/>
              <w:bottom w:val="single" w:color="000000" w:sz="4" w:space="0"/>
              <w:right w:val="single" w:color="000000" w:sz="4" w:space="0"/>
              <w:tl2br w:val="nil"/>
              <w:tr2bl w:val="nil"/>
            </w:tcBorders>
            <w:shd w:val="clear" w:color="FFFFFF" w:fill="C0C0C0"/>
            <w:noWrap w:val="0"/>
            <w:vAlign w:val="center"/>
          </w:tcPr>
          <w:p>
            <w:pPr>
              <w:spacing w:beforeLines="0" w:afterLines="0"/>
              <w:jc w:val="center"/>
              <w:rPr>
                <w:rFonts w:hint="eastAsia" w:ascii="宋体" w:hAnsi="宋体" w:cs="宋体"/>
                <w:color w:val="000000"/>
                <w:sz w:val="22"/>
                <w:szCs w:val="22"/>
              </w:rPr>
            </w:pPr>
          </w:p>
        </w:tc>
        <w:tc>
          <w:tcPr>
            <w:tcW w:w="344" w:type="pct"/>
            <w:vMerge w:val="continue"/>
            <w:tcBorders>
              <w:top w:val="nil"/>
              <w:left w:val="nil"/>
              <w:bottom w:val="single" w:color="000000" w:sz="4" w:space="0"/>
              <w:right w:val="single" w:color="000000" w:sz="4" w:space="0"/>
              <w:tl2br w:val="nil"/>
              <w:tr2bl w:val="nil"/>
            </w:tcBorders>
            <w:shd w:val="clear" w:color="FFFFFF" w:fill="C0C0C0"/>
            <w:noWrap w:val="0"/>
            <w:vAlign w:val="center"/>
          </w:tcPr>
          <w:p>
            <w:pPr>
              <w:spacing w:beforeLines="0" w:afterLines="0"/>
              <w:jc w:val="center"/>
              <w:rPr>
                <w:rFonts w:hint="eastAsia" w:ascii="宋体" w:hAnsi="宋体" w:cs="宋体"/>
                <w:color w:val="000000"/>
                <w:sz w:val="22"/>
                <w:szCs w:val="22"/>
              </w:rPr>
            </w:pPr>
          </w:p>
        </w:tc>
        <w:tc>
          <w:tcPr>
            <w:tcW w:w="270" w:type="pct"/>
            <w:vMerge w:val="continue"/>
            <w:tcBorders>
              <w:top w:val="nil"/>
              <w:left w:val="nil"/>
              <w:bottom w:val="single" w:color="000000" w:sz="4" w:space="0"/>
              <w:right w:val="single" w:color="000000" w:sz="4" w:space="0"/>
              <w:tl2br w:val="nil"/>
              <w:tr2bl w:val="nil"/>
            </w:tcBorders>
            <w:shd w:val="clear" w:color="FFFFFF" w:fill="C0C0C0"/>
            <w:noWrap w:val="0"/>
            <w:vAlign w:val="center"/>
          </w:tcPr>
          <w:p>
            <w:pPr>
              <w:spacing w:beforeLines="0" w:afterLines="0"/>
              <w:jc w:val="center"/>
              <w:rPr>
                <w:rFonts w:hint="eastAsia" w:ascii="宋体" w:hAnsi="宋体" w:cs="宋体"/>
                <w:color w:val="000000"/>
                <w:sz w:val="22"/>
                <w:szCs w:val="22"/>
              </w:rPr>
            </w:pPr>
          </w:p>
        </w:tc>
        <w:tc>
          <w:tcPr>
            <w:tcW w:w="775" w:type="pct"/>
            <w:vMerge w:val="continue"/>
            <w:tcBorders>
              <w:top w:val="single" w:color="000000" w:sz="4" w:space="0"/>
              <w:left w:val="nil"/>
              <w:bottom w:val="single" w:color="000000" w:sz="4" w:space="0"/>
              <w:right w:val="single" w:color="000000" w:sz="4" w:space="0"/>
              <w:tl2br w:val="nil"/>
              <w:tr2bl w:val="nil"/>
            </w:tcBorders>
            <w:shd w:val="clear" w:color="FFFFFF" w:fill="C0C0C0"/>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14" w:type="pct"/>
            <w:gridSpan w:val="3"/>
            <w:vMerge w:val="continue"/>
            <w:tcBorders>
              <w:top w:val="nil"/>
              <w:left w:val="single" w:color="000000" w:sz="4" w:space="0"/>
              <w:bottom w:val="single" w:color="000000" w:sz="4" w:space="0"/>
              <w:right w:val="single" w:color="000000" w:sz="4" w:space="0"/>
              <w:tl2br w:val="nil"/>
              <w:tr2bl w:val="nil"/>
            </w:tcBorders>
            <w:shd w:val="clear" w:color="FFFFFF" w:fill="C0C0C0"/>
            <w:noWrap w:val="0"/>
            <w:vAlign w:val="center"/>
          </w:tcPr>
          <w:p>
            <w:pPr>
              <w:spacing w:beforeLines="0" w:afterLines="0"/>
              <w:jc w:val="center"/>
              <w:rPr>
                <w:rFonts w:hint="eastAsia" w:ascii="宋体" w:hAnsi="宋体" w:cs="宋体"/>
                <w:color w:val="000000"/>
                <w:sz w:val="22"/>
                <w:szCs w:val="22"/>
              </w:rPr>
            </w:pPr>
          </w:p>
        </w:tc>
        <w:tc>
          <w:tcPr>
            <w:tcW w:w="491" w:type="pct"/>
            <w:vMerge w:val="continue"/>
            <w:tcBorders>
              <w:top w:val="nil"/>
              <w:left w:val="nil"/>
              <w:bottom w:val="single" w:color="000000" w:sz="4" w:space="0"/>
              <w:right w:val="single" w:color="000000" w:sz="4" w:space="0"/>
              <w:tl2br w:val="nil"/>
              <w:tr2bl w:val="nil"/>
            </w:tcBorders>
            <w:shd w:val="clear" w:color="FFFFFF" w:fill="C0C0C0"/>
            <w:noWrap/>
            <w:vAlign w:val="center"/>
          </w:tcPr>
          <w:p>
            <w:pPr>
              <w:spacing w:beforeLines="0" w:afterLines="0"/>
              <w:jc w:val="center"/>
              <w:rPr>
                <w:rFonts w:hint="eastAsia" w:ascii="宋体" w:hAnsi="宋体" w:cs="宋体"/>
                <w:color w:val="000000"/>
                <w:sz w:val="22"/>
                <w:szCs w:val="22"/>
              </w:rPr>
            </w:pPr>
          </w:p>
        </w:tc>
        <w:tc>
          <w:tcPr>
            <w:tcW w:w="344" w:type="pct"/>
            <w:vMerge w:val="continue"/>
            <w:tcBorders>
              <w:top w:val="single" w:color="000000" w:sz="4" w:space="0"/>
              <w:left w:val="nil"/>
              <w:bottom w:val="single" w:color="000000" w:sz="4" w:space="0"/>
              <w:right w:val="single" w:color="000000" w:sz="4" w:space="0"/>
              <w:tl2br w:val="nil"/>
              <w:tr2bl w:val="nil"/>
            </w:tcBorders>
            <w:shd w:val="clear" w:color="FFFFFF" w:fill="C0C0C0"/>
            <w:noWrap w:val="0"/>
            <w:vAlign w:val="center"/>
          </w:tcPr>
          <w:p>
            <w:pPr>
              <w:spacing w:beforeLines="0" w:afterLines="0"/>
              <w:jc w:val="center"/>
              <w:rPr>
                <w:rFonts w:hint="eastAsia" w:ascii="宋体" w:hAnsi="宋体" w:cs="宋体"/>
                <w:color w:val="000000"/>
                <w:sz w:val="22"/>
                <w:szCs w:val="22"/>
              </w:rPr>
            </w:pPr>
          </w:p>
        </w:tc>
        <w:tc>
          <w:tcPr>
            <w:tcW w:w="317" w:type="pct"/>
            <w:vMerge w:val="continue"/>
            <w:tcBorders>
              <w:top w:val="single" w:color="000000" w:sz="4" w:space="0"/>
              <w:left w:val="nil"/>
              <w:bottom w:val="single" w:color="000000" w:sz="4" w:space="0"/>
              <w:right w:val="single" w:color="000000" w:sz="4" w:space="0"/>
              <w:tl2br w:val="nil"/>
              <w:tr2bl w:val="nil"/>
            </w:tcBorders>
            <w:shd w:val="clear" w:color="FFFFFF" w:fill="C0C0C0"/>
            <w:noWrap w:val="0"/>
            <w:vAlign w:val="center"/>
          </w:tcPr>
          <w:p>
            <w:pPr>
              <w:spacing w:beforeLines="0" w:afterLines="0"/>
              <w:jc w:val="center"/>
              <w:rPr>
                <w:rFonts w:hint="eastAsia" w:ascii="宋体" w:hAnsi="宋体" w:cs="宋体"/>
                <w:color w:val="000000"/>
                <w:sz w:val="22"/>
                <w:szCs w:val="22"/>
              </w:rPr>
            </w:pPr>
          </w:p>
        </w:tc>
        <w:tc>
          <w:tcPr>
            <w:tcW w:w="242" w:type="pct"/>
            <w:vMerge w:val="continue"/>
            <w:tcBorders>
              <w:top w:val="nil"/>
              <w:left w:val="nil"/>
              <w:bottom w:val="single" w:color="000000" w:sz="4" w:space="0"/>
              <w:right w:val="single" w:color="000000" w:sz="4" w:space="0"/>
              <w:tl2br w:val="nil"/>
              <w:tr2bl w:val="nil"/>
            </w:tcBorders>
            <w:shd w:val="clear" w:color="FFFFFF" w:fill="C0C0C0"/>
            <w:noWrap w:val="0"/>
            <w:vAlign w:val="center"/>
          </w:tcPr>
          <w:p>
            <w:pPr>
              <w:spacing w:beforeLines="0" w:afterLines="0"/>
              <w:jc w:val="center"/>
              <w:rPr>
                <w:rFonts w:hint="eastAsia" w:ascii="宋体" w:hAnsi="宋体" w:cs="宋体"/>
                <w:color w:val="000000"/>
                <w:sz w:val="22"/>
                <w:szCs w:val="22"/>
              </w:rPr>
            </w:pPr>
          </w:p>
        </w:tc>
        <w:tc>
          <w:tcPr>
            <w:tcW w:w="344" w:type="pct"/>
            <w:vMerge w:val="continue"/>
            <w:tcBorders>
              <w:top w:val="nil"/>
              <w:left w:val="nil"/>
              <w:bottom w:val="single" w:color="000000" w:sz="4" w:space="0"/>
              <w:right w:val="single" w:color="000000" w:sz="4" w:space="0"/>
              <w:tl2br w:val="nil"/>
              <w:tr2bl w:val="nil"/>
            </w:tcBorders>
            <w:shd w:val="clear" w:color="FFFFFF" w:fill="C0C0C0"/>
            <w:noWrap w:val="0"/>
            <w:vAlign w:val="center"/>
          </w:tcPr>
          <w:p>
            <w:pPr>
              <w:spacing w:beforeLines="0" w:afterLines="0"/>
              <w:jc w:val="center"/>
              <w:rPr>
                <w:rFonts w:hint="eastAsia" w:ascii="宋体" w:hAnsi="宋体" w:cs="宋体"/>
                <w:color w:val="000000"/>
                <w:sz w:val="22"/>
                <w:szCs w:val="22"/>
              </w:rPr>
            </w:pPr>
          </w:p>
        </w:tc>
        <w:tc>
          <w:tcPr>
            <w:tcW w:w="270" w:type="pct"/>
            <w:vMerge w:val="continue"/>
            <w:tcBorders>
              <w:top w:val="nil"/>
              <w:left w:val="nil"/>
              <w:bottom w:val="single" w:color="000000" w:sz="4" w:space="0"/>
              <w:right w:val="single" w:color="000000" w:sz="4" w:space="0"/>
              <w:tl2br w:val="nil"/>
              <w:tr2bl w:val="nil"/>
            </w:tcBorders>
            <w:shd w:val="clear" w:color="FFFFFF" w:fill="C0C0C0"/>
            <w:noWrap w:val="0"/>
            <w:vAlign w:val="center"/>
          </w:tcPr>
          <w:p>
            <w:pPr>
              <w:spacing w:beforeLines="0" w:afterLines="0"/>
              <w:jc w:val="center"/>
              <w:rPr>
                <w:rFonts w:hint="eastAsia" w:ascii="宋体" w:hAnsi="宋体" w:cs="宋体"/>
                <w:color w:val="000000"/>
                <w:sz w:val="22"/>
                <w:szCs w:val="22"/>
              </w:rPr>
            </w:pPr>
          </w:p>
        </w:tc>
        <w:tc>
          <w:tcPr>
            <w:tcW w:w="775" w:type="pct"/>
            <w:vMerge w:val="continue"/>
            <w:tcBorders>
              <w:top w:val="single" w:color="000000" w:sz="4" w:space="0"/>
              <w:left w:val="nil"/>
              <w:bottom w:val="single" w:color="000000" w:sz="4" w:space="0"/>
              <w:right w:val="single" w:color="000000" w:sz="4" w:space="0"/>
              <w:tl2br w:val="nil"/>
              <w:tr2bl w:val="nil"/>
            </w:tcBorders>
            <w:shd w:val="clear" w:color="FFFFFF" w:fill="C0C0C0"/>
            <w:noWrap w:val="0"/>
            <w:vAlign w:val="center"/>
          </w:tcPr>
          <w:p>
            <w:pPr>
              <w:spacing w:beforeLines="0" w:afterLines="0"/>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05" w:type="pct"/>
            <w:gridSpan w:val="4"/>
            <w:tcBorders>
              <w:top w:val="nil"/>
              <w:left w:val="single" w:color="000000" w:sz="4" w:space="0"/>
              <w:bottom w:val="single" w:color="000000" w:sz="4" w:space="0"/>
              <w:right w:val="single" w:color="000000" w:sz="4" w:space="0"/>
              <w:tl2br w:val="nil"/>
              <w:tr2bl w:val="nil"/>
            </w:tcBorders>
            <w:shd w:val="clear" w:color="FFFFFF" w:fill="C0C0C0"/>
            <w:noWrap/>
            <w:vAlign w:val="center"/>
          </w:tcPr>
          <w:p>
            <w:pPr>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栏次</w:t>
            </w:r>
          </w:p>
        </w:tc>
        <w:tc>
          <w:tcPr>
            <w:tcW w:w="344" w:type="pct"/>
            <w:tcBorders>
              <w:top w:val="nil"/>
              <w:left w:val="nil"/>
              <w:bottom w:val="single" w:color="000000" w:sz="4" w:space="0"/>
              <w:right w:val="single" w:color="000000" w:sz="4" w:space="0"/>
              <w:tl2br w:val="nil"/>
              <w:tr2bl w:val="nil"/>
            </w:tcBorders>
            <w:shd w:val="clear" w:color="FFFFFF" w:fill="C0C0C0"/>
            <w:noWrap/>
            <w:vAlign w:val="center"/>
          </w:tcPr>
          <w:p>
            <w:pPr>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1</w:t>
            </w:r>
          </w:p>
        </w:tc>
        <w:tc>
          <w:tcPr>
            <w:tcW w:w="317" w:type="pct"/>
            <w:tcBorders>
              <w:top w:val="nil"/>
              <w:left w:val="nil"/>
              <w:bottom w:val="single" w:color="000000" w:sz="4" w:space="0"/>
              <w:right w:val="single" w:color="000000" w:sz="4" w:space="0"/>
              <w:tl2br w:val="nil"/>
              <w:tr2bl w:val="nil"/>
            </w:tcBorders>
            <w:shd w:val="clear" w:color="FFFFFF" w:fill="C0C0C0"/>
            <w:noWrap/>
            <w:vAlign w:val="center"/>
          </w:tcPr>
          <w:p>
            <w:pPr>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2</w:t>
            </w:r>
          </w:p>
        </w:tc>
        <w:tc>
          <w:tcPr>
            <w:tcW w:w="242" w:type="pct"/>
            <w:tcBorders>
              <w:top w:val="nil"/>
              <w:left w:val="nil"/>
              <w:bottom w:val="single" w:color="000000" w:sz="4" w:space="0"/>
              <w:right w:val="single" w:color="000000" w:sz="4" w:space="0"/>
              <w:tl2br w:val="nil"/>
              <w:tr2bl w:val="nil"/>
            </w:tcBorders>
            <w:shd w:val="clear" w:color="FFFFFF" w:fill="C0C0C0"/>
            <w:noWrap/>
            <w:vAlign w:val="center"/>
          </w:tcPr>
          <w:p>
            <w:pPr>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3</w:t>
            </w:r>
          </w:p>
        </w:tc>
        <w:tc>
          <w:tcPr>
            <w:tcW w:w="344" w:type="pct"/>
            <w:tcBorders>
              <w:top w:val="nil"/>
              <w:left w:val="nil"/>
              <w:bottom w:val="single" w:color="000000" w:sz="4" w:space="0"/>
              <w:right w:val="single" w:color="000000" w:sz="4" w:space="0"/>
              <w:tl2br w:val="nil"/>
              <w:tr2bl w:val="nil"/>
            </w:tcBorders>
            <w:shd w:val="clear" w:color="FFFFFF" w:fill="C0C0C0"/>
            <w:noWrap/>
            <w:vAlign w:val="center"/>
          </w:tcPr>
          <w:p>
            <w:pPr>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4</w:t>
            </w:r>
          </w:p>
        </w:tc>
        <w:tc>
          <w:tcPr>
            <w:tcW w:w="270" w:type="pct"/>
            <w:tcBorders>
              <w:top w:val="nil"/>
              <w:left w:val="nil"/>
              <w:bottom w:val="single" w:color="000000" w:sz="4" w:space="0"/>
              <w:right w:val="single" w:color="000000" w:sz="4" w:space="0"/>
              <w:tl2br w:val="nil"/>
              <w:tr2bl w:val="nil"/>
            </w:tcBorders>
            <w:shd w:val="clear" w:color="FFFFFF" w:fill="C0C0C0"/>
            <w:noWrap/>
            <w:vAlign w:val="center"/>
          </w:tcPr>
          <w:p>
            <w:pPr>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5</w:t>
            </w:r>
          </w:p>
        </w:tc>
        <w:tc>
          <w:tcPr>
            <w:tcW w:w="775" w:type="pct"/>
            <w:tcBorders>
              <w:top w:val="nil"/>
              <w:left w:val="nil"/>
              <w:bottom w:val="single" w:color="000000" w:sz="4" w:space="0"/>
              <w:right w:val="single" w:color="000000" w:sz="4" w:space="0"/>
              <w:tl2br w:val="nil"/>
              <w:tr2bl w:val="nil"/>
            </w:tcBorders>
            <w:shd w:val="clear" w:color="FFFFFF" w:fill="C0C0C0"/>
            <w:noWrap/>
            <w:vAlign w:val="center"/>
          </w:tcPr>
          <w:p>
            <w:pPr>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705" w:type="pct"/>
            <w:gridSpan w:val="4"/>
            <w:tcBorders>
              <w:top w:val="nil"/>
              <w:left w:val="single" w:color="000000" w:sz="4" w:space="0"/>
              <w:bottom w:val="single" w:color="000000" w:sz="4" w:space="0"/>
              <w:right w:val="single" w:color="000000" w:sz="4" w:space="0"/>
              <w:tl2br w:val="nil"/>
              <w:tr2bl w:val="nil"/>
            </w:tcBorders>
            <w:shd w:val="clear" w:color="FFFFFF" w:fill="C0C0C0"/>
            <w:noWrap/>
            <w:vAlign w:val="center"/>
          </w:tcPr>
          <w:p>
            <w:pPr>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合计</w:t>
            </w:r>
          </w:p>
        </w:tc>
        <w:tc>
          <w:tcPr>
            <w:tcW w:w="344"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b/>
                <w:color w:val="000000"/>
                <w:sz w:val="22"/>
                <w:szCs w:val="22"/>
              </w:rPr>
            </w:pPr>
          </w:p>
        </w:tc>
        <w:tc>
          <w:tcPr>
            <w:tcW w:w="317"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b/>
                <w:color w:val="000000"/>
                <w:sz w:val="22"/>
                <w:szCs w:val="22"/>
              </w:rPr>
            </w:pPr>
          </w:p>
        </w:tc>
        <w:tc>
          <w:tcPr>
            <w:tcW w:w="242"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b/>
                <w:color w:val="000000"/>
                <w:sz w:val="22"/>
                <w:szCs w:val="22"/>
              </w:rPr>
            </w:pPr>
          </w:p>
        </w:tc>
        <w:tc>
          <w:tcPr>
            <w:tcW w:w="344"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b/>
                <w:color w:val="000000"/>
                <w:sz w:val="22"/>
                <w:szCs w:val="22"/>
              </w:rPr>
            </w:pPr>
          </w:p>
        </w:tc>
        <w:tc>
          <w:tcPr>
            <w:tcW w:w="270"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b/>
                <w:color w:val="000000"/>
                <w:sz w:val="22"/>
                <w:szCs w:val="22"/>
              </w:rPr>
            </w:pPr>
          </w:p>
        </w:tc>
        <w:tc>
          <w:tcPr>
            <w:tcW w:w="775"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14" w:type="pct"/>
            <w:gridSpan w:val="3"/>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无</w:t>
            </w:r>
          </w:p>
        </w:tc>
        <w:tc>
          <w:tcPr>
            <w:tcW w:w="491" w:type="pct"/>
            <w:tcBorders>
              <w:top w:val="nil"/>
              <w:left w:val="nil"/>
              <w:bottom w:val="single" w:color="000000" w:sz="4" w:space="0"/>
              <w:right w:val="single" w:color="000000" w:sz="4" w:space="0"/>
              <w:tl2br w:val="nil"/>
              <w:tr2bl w:val="nil"/>
            </w:tcBorders>
            <w:noWrap/>
            <w:vAlign w:val="center"/>
          </w:tcPr>
          <w:p>
            <w:pPr>
              <w:spacing w:beforeLines="0" w:afterLines="0"/>
              <w:jc w:val="left"/>
              <w:rPr>
                <w:rFonts w:hint="eastAsia" w:ascii="宋体" w:hAnsi="宋体" w:cs="宋体"/>
                <w:color w:val="000000"/>
                <w:sz w:val="22"/>
                <w:szCs w:val="22"/>
              </w:rPr>
            </w:pPr>
          </w:p>
        </w:tc>
        <w:tc>
          <w:tcPr>
            <w:tcW w:w="344"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317"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242"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344"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270"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775"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14" w:type="pct"/>
            <w:gridSpan w:val="3"/>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eastAsia" w:ascii="宋体" w:hAnsi="宋体" w:cs="宋体"/>
                <w:color w:val="000000"/>
                <w:sz w:val="22"/>
                <w:szCs w:val="22"/>
              </w:rPr>
            </w:pPr>
          </w:p>
        </w:tc>
        <w:tc>
          <w:tcPr>
            <w:tcW w:w="491" w:type="pct"/>
            <w:tcBorders>
              <w:top w:val="nil"/>
              <w:left w:val="nil"/>
              <w:bottom w:val="single" w:color="000000" w:sz="4" w:space="0"/>
              <w:right w:val="single" w:color="000000" w:sz="4" w:space="0"/>
              <w:tl2br w:val="nil"/>
              <w:tr2bl w:val="nil"/>
            </w:tcBorders>
            <w:noWrap/>
            <w:vAlign w:val="center"/>
          </w:tcPr>
          <w:p>
            <w:pPr>
              <w:spacing w:beforeLines="0" w:afterLines="0"/>
              <w:jc w:val="left"/>
              <w:rPr>
                <w:rFonts w:hint="eastAsia" w:ascii="宋体" w:hAnsi="宋体" w:cs="宋体"/>
                <w:color w:val="000000"/>
                <w:sz w:val="22"/>
                <w:szCs w:val="22"/>
              </w:rPr>
            </w:pPr>
          </w:p>
        </w:tc>
        <w:tc>
          <w:tcPr>
            <w:tcW w:w="344"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317"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242"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344"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270"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775"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14" w:type="pct"/>
            <w:gridSpan w:val="3"/>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eastAsia" w:ascii="宋体" w:hAnsi="宋体" w:cs="宋体"/>
                <w:color w:val="000000"/>
                <w:sz w:val="22"/>
                <w:szCs w:val="22"/>
              </w:rPr>
            </w:pPr>
          </w:p>
        </w:tc>
        <w:tc>
          <w:tcPr>
            <w:tcW w:w="491" w:type="pct"/>
            <w:tcBorders>
              <w:top w:val="nil"/>
              <w:left w:val="nil"/>
              <w:bottom w:val="single" w:color="000000" w:sz="4" w:space="0"/>
              <w:right w:val="single" w:color="000000" w:sz="4" w:space="0"/>
              <w:tl2br w:val="nil"/>
              <w:tr2bl w:val="nil"/>
            </w:tcBorders>
            <w:noWrap/>
            <w:vAlign w:val="center"/>
          </w:tcPr>
          <w:p>
            <w:pPr>
              <w:spacing w:beforeLines="0" w:afterLines="0"/>
              <w:jc w:val="left"/>
              <w:rPr>
                <w:rFonts w:hint="eastAsia" w:ascii="宋体" w:hAnsi="宋体" w:cs="宋体"/>
                <w:color w:val="000000"/>
                <w:sz w:val="22"/>
                <w:szCs w:val="22"/>
              </w:rPr>
            </w:pPr>
          </w:p>
        </w:tc>
        <w:tc>
          <w:tcPr>
            <w:tcW w:w="344"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317"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242"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344"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270"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775"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14" w:type="pct"/>
            <w:gridSpan w:val="3"/>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eastAsia" w:ascii="宋体" w:hAnsi="宋体" w:cs="宋体"/>
                <w:color w:val="000000"/>
                <w:sz w:val="22"/>
                <w:szCs w:val="22"/>
              </w:rPr>
            </w:pPr>
          </w:p>
        </w:tc>
        <w:tc>
          <w:tcPr>
            <w:tcW w:w="491" w:type="pct"/>
            <w:tcBorders>
              <w:top w:val="nil"/>
              <w:left w:val="nil"/>
              <w:bottom w:val="single" w:color="000000" w:sz="4" w:space="0"/>
              <w:right w:val="single" w:color="000000" w:sz="4" w:space="0"/>
              <w:tl2br w:val="nil"/>
              <w:tr2bl w:val="nil"/>
            </w:tcBorders>
            <w:noWrap/>
            <w:vAlign w:val="center"/>
          </w:tcPr>
          <w:p>
            <w:pPr>
              <w:spacing w:beforeLines="0" w:afterLines="0"/>
              <w:jc w:val="left"/>
              <w:rPr>
                <w:rFonts w:hint="eastAsia" w:ascii="宋体" w:hAnsi="宋体" w:cs="宋体"/>
                <w:color w:val="000000"/>
                <w:sz w:val="22"/>
                <w:szCs w:val="22"/>
              </w:rPr>
            </w:pPr>
          </w:p>
        </w:tc>
        <w:tc>
          <w:tcPr>
            <w:tcW w:w="344"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317"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242"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344"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270"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775"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14" w:type="pct"/>
            <w:gridSpan w:val="3"/>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eastAsia" w:ascii="宋体" w:hAnsi="宋体" w:cs="宋体"/>
                <w:color w:val="000000"/>
                <w:sz w:val="22"/>
                <w:szCs w:val="22"/>
              </w:rPr>
            </w:pPr>
          </w:p>
        </w:tc>
        <w:tc>
          <w:tcPr>
            <w:tcW w:w="491" w:type="pct"/>
            <w:tcBorders>
              <w:top w:val="nil"/>
              <w:left w:val="nil"/>
              <w:bottom w:val="single" w:color="000000" w:sz="4" w:space="0"/>
              <w:right w:val="single" w:color="000000" w:sz="4" w:space="0"/>
              <w:tl2br w:val="nil"/>
              <w:tr2bl w:val="nil"/>
            </w:tcBorders>
            <w:noWrap/>
            <w:vAlign w:val="center"/>
          </w:tcPr>
          <w:p>
            <w:pPr>
              <w:spacing w:beforeLines="0" w:afterLines="0"/>
              <w:jc w:val="left"/>
              <w:rPr>
                <w:rFonts w:hint="eastAsia" w:ascii="宋体" w:hAnsi="宋体" w:cs="宋体"/>
                <w:color w:val="000000"/>
                <w:sz w:val="22"/>
                <w:szCs w:val="22"/>
              </w:rPr>
            </w:pPr>
          </w:p>
        </w:tc>
        <w:tc>
          <w:tcPr>
            <w:tcW w:w="344"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317"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242"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344"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270"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775"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14" w:type="pct"/>
            <w:gridSpan w:val="3"/>
            <w:tcBorders>
              <w:top w:val="nil"/>
              <w:left w:val="single" w:color="000000" w:sz="4" w:space="0"/>
              <w:bottom w:val="single" w:color="000000" w:sz="4" w:space="0"/>
              <w:right w:val="single" w:color="000000" w:sz="4" w:space="0"/>
              <w:tl2br w:val="nil"/>
              <w:tr2bl w:val="nil"/>
            </w:tcBorders>
            <w:noWrap/>
            <w:vAlign w:val="center"/>
          </w:tcPr>
          <w:p>
            <w:pPr>
              <w:spacing w:beforeLines="0" w:afterLines="0"/>
              <w:jc w:val="left"/>
              <w:rPr>
                <w:rFonts w:hint="eastAsia" w:ascii="宋体" w:hAnsi="宋体" w:cs="宋体"/>
                <w:color w:val="000000"/>
                <w:sz w:val="22"/>
                <w:szCs w:val="22"/>
              </w:rPr>
            </w:pPr>
          </w:p>
        </w:tc>
        <w:tc>
          <w:tcPr>
            <w:tcW w:w="491" w:type="pct"/>
            <w:tcBorders>
              <w:top w:val="nil"/>
              <w:left w:val="nil"/>
              <w:bottom w:val="single" w:color="000000" w:sz="4" w:space="0"/>
              <w:right w:val="single" w:color="000000" w:sz="4" w:space="0"/>
              <w:tl2br w:val="nil"/>
              <w:tr2bl w:val="nil"/>
            </w:tcBorders>
            <w:noWrap/>
            <w:vAlign w:val="center"/>
          </w:tcPr>
          <w:p>
            <w:pPr>
              <w:spacing w:beforeLines="0" w:afterLines="0"/>
              <w:jc w:val="left"/>
              <w:rPr>
                <w:rFonts w:hint="eastAsia" w:ascii="宋体" w:hAnsi="宋体" w:cs="宋体"/>
                <w:color w:val="000000"/>
                <w:sz w:val="22"/>
                <w:szCs w:val="22"/>
              </w:rPr>
            </w:pPr>
          </w:p>
        </w:tc>
        <w:tc>
          <w:tcPr>
            <w:tcW w:w="344"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317"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242"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344"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270"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c>
          <w:tcPr>
            <w:tcW w:w="775" w:type="pct"/>
            <w:tcBorders>
              <w:top w:val="nil"/>
              <w:left w:val="nil"/>
              <w:bottom w:val="single" w:color="000000" w:sz="4" w:space="0"/>
              <w:right w:val="single" w:color="000000" w:sz="4" w:space="0"/>
              <w:tl2br w:val="nil"/>
              <w:tr2bl w:val="nil"/>
            </w:tcBorders>
            <w:noWrap/>
            <w:vAlign w:val="center"/>
          </w:tcPr>
          <w:p>
            <w:pPr>
              <w:spacing w:beforeLines="0" w:afterLines="0"/>
              <w:jc w:val="right"/>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nil"/>
              <w:left w:val="nil"/>
              <w:bottom w:val="nil"/>
              <w:right w:val="nil"/>
              <w:tl2br w:val="nil"/>
              <w:tr2bl w:val="nil"/>
            </w:tcBorders>
            <w:noWrap/>
            <w:vAlign w:val="center"/>
          </w:tcPr>
          <w:p>
            <w:pPr>
              <w:spacing w:beforeLines="0" w:afterLines="0"/>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bidi="ar"/>
              </w:rPr>
              <w:t>注：本表反映部门本年度政府性基金预算财政拨款收入、支出及结转和结余情况。</w:t>
            </w:r>
          </w:p>
        </w:tc>
      </w:tr>
    </w:tbl>
    <w:p>
      <w:pPr>
        <w:spacing w:beforeLines="0" w:afterLines="0"/>
        <w:jc w:val="left"/>
        <w:rPr>
          <w:rFonts w:hint="eastAsia" w:ascii="宋体" w:hAnsi="宋体"/>
          <w:sz w:val="38"/>
          <w:szCs w:val="24"/>
          <w:lang w:val="zh-CN"/>
        </w:rPr>
      </w:pPr>
    </w:p>
    <w:p>
      <w:pPr>
        <w:spacing w:beforeLines="0" w:afterLines="0"/>
        <w:jc w:val="left"/>
        <w:rPr>
          <w:rFonts w:hint="eastAsia" w:ascii="宋体" w:hAnsi="宋体"/>
          <w:sz w:val="38"/>
          <w:szCs w:val="24"/>
          <w:lang w:val="zh-CN"/>
        </w:rPr>
      </w:pPr>
    </w:p>
    <w:p>
      <w:pPr>
        <w:pStyle w:val="3"/>
        <w:spacing w:before="8"/>
        <w:ind w:left="0"/>
        <w:rPr>
          <w:sz w:val="23"/>
        </w:rPr>
      </w:pPr>
      <w:r>
        <w:rPr>
          <w:rFonts w:hint="eastAsia" w:ascii="宋体" w:hAnsi="宋体" w:cs="宋体"/>
          <w:color w:val="000000"/>
          <w:kern w:val="0"/>
          <w:sz w:val="22"/>
          <w:szCs w:val="22"/>
          <w:lang w:val="zh-CN" w:eastAsia="zh-CN" w:bidi="ar"/>
        </w:rPr>
        <w:t xml:space="preserve">说明：我部门没有政府性基金收入，也没有使用政府性基金安排的支出，故本表无数据。    </w:t>
      </w:r>
      <w:r>
        <w:rPr>
          <w:rFonts w:hint="eastAsia" w:ascii="宋体" w:hAnsi="宋体"/>
          <w:sz w:val="38"/>
          <w:szCs w:val="24"/>
          <w:lang w:val="zh-CN"/>
        </w:rPr>
        <w:t xml:space="preserve">         </w:t>
      </w:r>
    </w:p>
    <w:p>
      <w:pPr>
        <w:pStyle w:val="3"/>
        <w:spacing w:before="8"/>
        <w:ind w:left="0"/>
        <w:rPr>
          <w:sz w:val="23"/>
        </w:rPr>
      </w:pPr>
    </w:p>
    <w:p>
      <w:pPr>
        <w:pStyle w:val="3"/>
        <w:spacing w:before="8"/>
        <w:ind w:left="0"/>
        <w:rPr>
          <w:sz w:val="23"/>
        </w:rPr>
      </w:pPr>
    </w:p>
    <w:p>
      <w:pPr>
        <w:pStyle w:val="3"/>
        <w:spacing w:before="8"/>
        <w:ind w:left="0"/>
        <w:rPr>
          <w:sz w:val="23"/>
        </w:rPr>
      </w:pPr>
    </w:p>
    <w:p>
      <w:pPr>
        <w:pStyle w:val="3"/>
        <w:spacing w:before="8"/>
        <w:ind w:left="0"/>
        <w:rPr>
          <w:sz w:val="23"/>
        </w:rPr>
      </w:pPr>
    </w:p>
    <w:p>
      <w:pPr>
        <w:pStyle w:val="3"/>
        <w:spacing w:before="8"/>
        <w:ind w:left="0"/>
        <w:rPr>
          <w:sz w:val="23"/>
        </w:rPr>
      </w:pPr>
    </w:p>
    <w:p>
      <w:pPr>
        <w:pStyle w:val="3"/>
        <w:spacing w:before="8"/>
        <w:ind w:left="0"/>
        <w:rPr>
          <w:sz w:val="23"/>
        </w:rPr>
        <w:sectPr>
          <w:pgSz w:w="16840" w:h="11910" w:orient="landscape"/>
          <w:pgMar w:top="1480" w:right="1580" w:bottom="1200" w:left="1680" w:header="0" w:footer="1481" w:gutter="0"/>
          <w:cols w:space="720" w:num="1"/>
        </w:sectPr>
      </w:pPr>
    </w:p>
    <w:p>
      <w:pPr>
        <w:pStyle w:val="3"/>
        <w:spacing w:before="8"/>
        <w:ind w:left="0"/>
        <w:rPr>
          <w:sz w:val="23"/>
        </w:rPr>
      </w:pPr>
    </w:p>
    <w:p>
      <w:pPr>
        <w:pStyle w:val="3"/>
        <w:spacing w:before="8"/>
        <w:ind w:left="0"/>
        <w:rPr>
          <w:sz w:val="23"/>
        </w:rPr>
      </w:pPr>
    </w:p>
    <w:p>
      <w:pPr>
        <w:pStyle w:val="3"/>
        <w:spacing w:before="8"/>
        <w:ind w:left="0"/>
        <w:rPr>
          <w:sz w:val="23"/>
        </w:rPr>
      </w:pPr>
    </w:p>
    <w:p>
      <w:pPr>
        <w:pStyle w:val="3"/>
        <w:spacing w:before="8"/>
        <w:ind w:left="0"/>
        <w:rPr>
          <w:sz w:val="23"/>
        </w:rPr>
      </w:pPr>
    </w:p>
    <w:p>
      <w:pPr>
        <w:pStyle w:val="3"/>
        <w:spacing w:before="8"/>
        <w:ind w:left="0"/>
        <w:rPr>
          <w:sz w:val="23"/>
        </w:rPr>
      </w:pPr>
    </w:p>
    <w:p>
      <w:pPr>
        <w:pStyle w:val="3"/>
        <w:spacing w:before="8"/>
        <w:ind w:left="0"/>
        <w:rPr>
          <w:sz w:val="23"/>
        </w:rPr>
      </w:pPr>
    </w:p>
    <w:p>
      <w:pPr>
        <w:pStyle w:val="3"/>
        <w:spacing w:before="8"/>
        <w:ind w:left="0"/>
        <w:rPr>
          <w:sz w:val="23"/>
        </w:rPr>
      </w:pPr>
    </w:p>
    <w:p>
      <w:pPr>
        <w:pStyle w:val="3"/>
        <w:spacing w:before="8"/>
        <w:ind w:left="0"/>
        <w:rPr>
          <w:sz w:val="23"/>
        </w:rPr>
      </w:pPr>
    </w:p>
    <w:p>
      <w:pPr>
        <w:pStyle w:val="3"/>
        <w:spacing w:before="8"/>
        <w:ind w:left="0"/>
        <w:rPr>
          <w:sz w:val="23"/>
        </w:rPr>
      </w:pPr>
    </w:p>
    <w:p>
      <w:pPr>
        <w:pStyle w:val="3"/>
        <w:spacing w:before="8"/>
        <w:ind w:left="0"/>
        <w:rPr>
          <w:sz w:val="23"/>
        </w:rPr>
      </w:pPr>
    </w:p>
    <w:p>
      <w:pPr>
        <w:pStyle w:val="3"/>
        <w:ind w:left="108" w:right="196"/>
        <w:jc w:val="center"/>
        <w:rPr>
          <w:rFonts w:hint="eastAsia" w:ascii="黑体" w:hAnsi="黑体" w:eastAsia="黑体"/>
          <w:sz w:val="48"/>
          <w:szCs w:val="48"/>
        </w:rPr>
      </w:pPr>
      <w:r>
        <w:rPr>
          <w:rFonts w:hint="eastAsia" w:ascii="黑体" w:hAnsi="黑体" w:eastAsia="黑体"/>
          <w:sz w:val="48"/>
          <w:szCs w:val="48"/>
        </w:rPr>
        <w:t xml:space="preserve"> </w:t>
      </w:r>
      <w:r>
        <w:rPr>
          <w:rFonts w:ascii="黑体" w:hAnsi="黑体" w:eastAsia="黑体"/>
          <w:sz w:val="48"/>
          <w:szCs w:val="48"/>
        </w:rPr>
        <w:t>201</w:t>
      </w:r>
      <w:r>
        <w:rPr>
          <w:rFonts w:ascii="黑体" w:hAnsi="黑体" w:eastAsia="黑体"/>
          <w:sz w:val="48"/>
          <w:szCs w:val="48"/>
          <w:lang w:val="en-US"/>
        </w:rPr>
        <w:t>8</w:t>
      </w:r>
      <w:r>
        <w:rPr>
          <w:rFonts w:hint="eastAsia" w:ascii="黑体" w:hAnsi="黑体" w:eastAsia="黑体"/>
          <w:sz w:val="48"/>
          <w:szCs w:val="48"/>
        </w:rPr>
        <w:t>年部门决算情况说明</w:t>
      </w:r>
    </w:p>
    <w:p>
      <w:pPr>
        <w:pStyle w:val="3"/>
        <w:ind w:left="0" w:leftChars="0" w:right="196" w:firstLine="0" w:firstLineChars="0"/>
        <w:jc w:val="both"/>
        <w:rPr>
          <w:rFonts w:hint="eastAsia" w:ascii="黑体" w:hAnsi="黑体" w:eastAsia="黑体"/>
          <w:sz w:val="48"/>
          <w:szCs w:val="48"/>
        </w:rPr>
      </w:pPr>
    </w:p>
    <w:p>
      <w:pPr>
        <w:pStyle w:val="3"/>
        <w:ind w:left="108" w:right="196"/>
        <w:jc w:val="center"/>
        <w:rPr>
          <w:rFonts w:hint="eastAsia" w:ascii="黑体" w:hAnsi="黑体" w:eastAsia="黑体"/>
          <w:sz w:val="48"/>
          <w:szCs w:val="48"/>
        </w:rPr>
      </w:pPr>
    </w:p>
    <w:p>
      <w:pPr>
        <w:adjustRightInd w:val="0"/>
        <w:rPr>
          <w:sz w:val="32"/>
          <w:szCs w:val="32"/>
        </w:rPr>
      </w:pPr>
      <w:r>
        <w:rPr>
          <w:rFonts w:hint="eastAsia"/>
          <w:sz w:val="32"/>
          <w:szCs w:val="32"/>
        </w:rPr>
        <w:t>一、收入支出决算总体情况说明</w:t>
      </w:r>
    </w:p>
    <w:p>
      <w:pPr>
        <w:adjustRightInd w:val="0"/>
        <w:rPr>
          <w:sz w:val="32"/>
          <w:szCs w:val="32"/>
        </w:rPr>
      </w:pPr>
    </w:p>
    <w:p>
      <w:pPr>
        <w:adjustRightInd w:val="0"/>
        <w:rPr>
          <w:sz w:val="32"/>
          <w:szCs w:val="32"/>
        </w:rPr>
      </w:pPr>
      <w:r>
        <w:rPr>
          <w:sz w:val="32"/>
          <w:szCs w:val="32"/>
        </w:rPr>
        <w:t>2018</w:t>
      </w:r>
      <w:r>
        <w:rPr>
          <w:rFonts w:hint="eastAsia"/>
          <w:sz w:val="32"/>
          <w:szCs w:val="32"/>
        </w:rPr>
        <w:t>年度收、支总计均为</w:t>
      </w:r>
      <w:r>
        <w:rPr>
          <w:sz w:val="32"/>
          <w:szCs w:val="32"/>
        </w:rPr>
        <w:t>702.14</w:t>
      </w:r>
      <w:r>
        <w:rPr>
          <w:rFonts w:hint="eastAsia"/>
          <w:sz w:val="32"/>
          <w:szCs w:val="32"/>
        </w:rPr>
        <w:t>万元。与上年度相比，收、支总计各增加</w:t>
      </w:r>
      <w:r>
        <w:rPr>
          <w:sz w:val="32"/>
          <w:szCs w:val="32"/>
        </w:rPr>
        <w:t>55.19</w:t>
      </w:r>
      <w:r>
        <w:rPr>
          <w:rFonts w:hint="eastAsia"/>
          <w:sz w:val="32"/>
          <w:szCs w:val="32"/>
        </w:rPr>
        <w:t>万元，增长</w:t>
      </w:r>
      <w:r>
        <w:rPr>
          <w:sz w:val="32"/>
          <w:szCs w:val="32"/>
        </w:rPr>
        <w:t>8.53%</w:t>
      </w:r>
      <w:r>
        <w:rPr>
          <w:rFonts w:hint="eastAsia"/>
          <w:sz w:val="32"/>
          <w:szCs w:val="32"/>
        </w:rPr>
        <w:t>。主要原因是</w:t>
      </w:r>
      <w:r>
        <w:rPr>
          <w:rFonts w:hint="eastAsia"/>
          <w:position w:val="1"/>
          <w:sz w:val="32"/>
          <w:szCs w:val="32"/>
        </w:rPr>
        <w:t>人员工资增长和机关养老保险缴费</w:t>
      </w:r>
      <w:r>
        <w:rPr>
          <w:rFonts w:hint="eastAsia"/>
          <w:sz w:val="32"/>
          <w:szCs w:val="32"/>
        </w:rPr>
        <w:t>。</w:t>
      </w:r>
    </w:p>
    <w:p>
      <w:pPr>
        <w:adjustRightInd w:val="0"/>
        <w:rPr>
          <w:sz w:val="32"/>
          <w:szCs w:val="32"/>
        </w:rPr>
      </w:pPr>
    </w:p>
    <w:p>
      <w:pPr>
        <w:adjustRightInd w:val="0"/>
        <w:rPr>
          <w:sz w:val="32"/>
          <w:szCs w:val="32"/>
        </w:rPr>
      </w:pPr>
      <w:r>
        <w:rPr>
          <w:rFonts w:hint="eastAsia"/>
          <w:sz w:val="32"/>
          <w:szCs w:val="32"/>
        </w:rPr>
        <w:t>二、收入决算情况说明</w:t>
      </w:r>
    </w:p>
    <w:p>
      <w:pPr>
        <w:adjustRightInd w:val="0"/>
        <w:rPr>
          <w:sz w:val="32"/>
          <w:szCs w:val="32"/>
        </w:rPr>
      </w:pPr>
    </w:p>
    <w:p>
      <w:pPr>
        <w:adjustRightInd w:val="0"/>
        <w:rPr>
          <w:sz w:val="32"/>
          <w:szCs w:val="32"/>
        </w:rPr>
      </w:pPr>
      <w:r>
        <w:rPr>
          <w:sz w:val="32"/>
          <w:szCs w:val="32"/>
        </w:rPr>
        <w:t>2018</w:t>
      </w:r>
      <w:r>
        <w:rPr>
          <w:rFonts w:hint="eastAsia"/>
          <w:sz w:val="32"/>
          <w:szCs w:val="32"/>
        </w:rPr>
        <w:t>年度收入合计</w:t>
      </w:r>
      <w:r>
        <w:rPr>
          <w:sz w:val="32"/>
          <w:szCs w:val="32"/>
        </w:rPr>
        <w:t>593.18</w:t>
      </w:r>
      <w:r>
        <w:rPr>
          <w:rFonts w:hint="eastAsia"/>
          <w:sz w:val="32"/>
          <w:szCs w:val="32"/>
        </w:rPr>
        <w:t>万元，其中：财政拨款收入</w:t>
      </w:r>
      <w:r>
        <w:rPr>
          <w:sz w:val="32"/>
          <w:szCs w:val="32"/>
        </w:rPr>
        <w:t>578.18</w:t>
      </w:r>
      <w:r>
        <w:rPr>
          <w:rFonts w:hint="eastAsia"/>
          <w:sz w:val="32"/>
          <w:szCs w:val="32"/>
        </w:rPr>
        <w:t>万元，占</w:t>
      </w:r>
      <w:r>
        <w:rPr>
          <w:sz w:val="32"/>
          <w:szCs w:val="32"/>
        </w:rPr>
        <w:t>97.47%</w:t>
      </w:r>
      <w:r>
        <w:rPr>
          <w:rFonts w:hint="eastAsia"/>
          <w:sz w:val="32"/>
          <w:szCs w:val="32"/>
        </w:rPr>
        <w:t>；上级补助收入</w:t>
      </w:r>
      <w:r>
        <w:rPr>
          <w:sz w:val="32"/>
          <w:szCs w:val="32"/>
        </w:rPr>
        <w:t>0</w:t>
      </w:r>
      <w:r>
        <w:rPr>
          <w:rFonts w:hint="eastAsia"/>
          <w:sz w:val="32"/>
          <w:szCs w:val="32"/>
        </w:rPr>
        <w:t>万元，占</w:t>
      </w:r>
      <w:r>
        <w:rPr>
          <w:sz w:val="32"/>
          <w:szCs w:val="32"/>
        </w:rPr>
        <w:t>0%</w:t>
      </w:r>
      <w:r>
        <w:rPr>
          <w:rFonts w:hint="eastAsia"/>
          <w:sz w:val="32"/>
          <w:szCs w:val="32"/>
        </w:rPr>
        <w:t>；事业收入</w:t>
      </w:r>
      <w:r>
        <w:rPr>
          <w:sz w:val="32"/>
          <w:szCs w:val="32"/>
        </w:rPr>
        <w:t>0</w:t>
      </w:r>
      <w:r>
        <w:rPr>
          <w:rFonts w:hint="eastAsia"/>
          <w:sz w:val="32"/>
          <w:szCs w:val="32"/>
        </w:rPr>
        <w:t>万元，占</w:t>
      </w:r>
      <w:r>
        <w:rPr>
          <w:sz w:val="32"/>
          <w:szCs w:val="32"/>
        </w:rPr>
        <w:t>0%</w:t>
      </w:r>
      <w:r>
        <w:rPr>
          <w:rFonts w:hint="eastAsia"/>
          <w:sz w:val="32"/>
          <w:szCs w:val="32"/>
        </w:rPr>
        <w:t>；经营收入</w:t>
      </w:r>
      <w:r>
        <w:rPr>
          <w:sz w:val="32"/>
          <w:szCs w:val="32"/>
        </w:rPr>
        <w:t>0</w:t>
      </w:r>
      <w:r>
        <w:rPr>
          <w:rFonts w:hint="eastAsia"/>
          <w:sz w:val="32"/>
          <w:szCs w:val="32"/>
        </w:rPr>
        <w:t>万元，占</w:t>
      </w:r>
      <w:r>
        <w:rPr>
          <w:sz w:val="32"/>
          <w:szCs w:val="32"/>
        </w:rPr>
        <w:t>0%</w:t>
      </w:r>
      <w:r>
        <w:rPr>
          <w:rFonts w:hint="eastAsia"/>
          <w:sz w:val="32"/>
          <w:szCs w:val="32"/>
        </w:rPr>
        <w:t>；附属单位上缴收入</w:t>
      </w:r>
      <w:r>
        <w:rPr>
          <w:sz w:val="32"/>
          <w:szCs w:val="32"/>
        </w:rPr>
        <w:t>0</w:t>
      </w:r>
      <w:r>
        <w:rPr>
          <w:rFonts w:hint="eastAsia"/>
          <w:sz w:val="32"/>
          <w:szCs w:val="32"/>
        </w:rPr>
        <w:t>万元，占</w:t>
      </w:r>
      <w:r>
        <w:rPr>
          <w:sz w:val="32"/>
          <w:szCs w:val="32"/>
        </w:rPr>
        <w:t>0%</w:t>
      </w:r>
      <w:r>
        <w:rPr>
          <w:rFonts w:hint="eastAsia"/>
          <w:sz w:val="32"/>
          <w:szCs w:val="32"/>
        </w:rPr>
        <w:t>；其他收入</w:t>
      </w:r>
      <w:r>
        <w:rPr>
          <w:sz w:val="32"/>
          <w:szCs w:val="32"/>
        </w:rPr>
        <w:t>15</w:t>
      </w:r>
      <w:r>
        <w:rPr>
          <w:rFonts w:hint="eastAsia"/>
          <w:sz w:val="32"/>
          <w:szCs w:val="32"/>
        </w:rPr>
        <w:t>万元，占</w:t>
      </w:r>
      <w:r>
        <w:rPr>
          <w:sz w:val="32"/>
          <w:szCs w:val="32"/>
        </w:rPr>
        <w:t>2.53%</w:t>
      </w:r>
      <w:r>
        <w:rPr>
          <w:rFonts w:hint="eastAsia"/>
          <w:sz w:val="32"/>
          <w:szCs w:val="32"/>
        </w:rPr>
        <w:t>。</w:t>
      </w:r>
    </w:p>
    <w:p>
      <w:pPr>
        <w:adjustRightInd w:val="0"/>
        <w:rPr>
          <w:sz w:val="32"/>
          <w:szCs w:val="32"/>
        </w:rPr>
      </w:pPr>
      <w:r>
        <w:rPr>
          <w:rFonts w:hint="eastAsia"/>
          <w:sz w:val="32"/>
          <w:szCs w:val="32"/>
        </w:rPr>
        <w:t>三、支出决算情况说明</w:t>
      </w:r>
    </w:p>
    <w:p>
      <w:pPr>
        <w:adjustRightInd w:val="0"/>
        <w:rPr>
          <w:sz w:val="32"/>
          <w:szCs w:val="32"/>
        </w:rPr>
      </w:pPr>
    </w:p>
    <w:p>
      <w:pPr>
        <w:adjustRightInd w:val="0"/>
        <w:rPr>
          <w:sz w:val="32"/>
          <w:szCs w:val="32"/>
        </w:rPr>
      </w:pPr>
      <w:r>
        <w:rPr>
          <w:sz w:val="32"/>
          <w:szCs w:val="32"/>
        </w:rPr>
        <w:t>2018</w:t>
      </w:r>
      <w:r>
        <w:rPr>
          <w:rFonts w:hint="eastAsia"/>
          <w:sz w:val="32"/>
          <w:szCs w:val="32"/>
        </w:rPr>
        <w:t>年度支出合计</w:t>
      </w:r>
      <w:r>
        <w:rPr>
          <w:sz w:val="32"/>
          <w:szCs w:val="32"/>
        </w:rPr>
        <w:t>640.13</w:t>
      </w:r>
      <w:r>
        <w:rPr>
          <w:rFonts w:hint="eastAsia"/>
          <w:sz w:val="32"/>
          <w:szCs w:val="32"/>
        </w:rPr>
        <w:t>万元，其中：基本支出</w:t>
      </w:r>
      <w:r>
        <w:rPr>
          <w:sz w:val="32"/>
          <w:szCs w:val="32"/>
        </w:rPr>
        <w:t>477.02</w:t>
      </w:r>
      <w:r>
        <w:rPr>
          <w:rFonts w:hint="eastAsia"/>
          <w:sz w:val="32"/>
          <w:szCs w:val="32"/>
        </w:rPr>
        <w:t>万元，占</w:t>
      </w:r>
      <w:r>
        <w:rPr>
          <w:sz w:val="32"/>
          <w:szCs w:val="32"/>
        </w:rPr>
        <w:t>74.52%</w:t>
      </w:r>
      <w:r>
        <w:rPr>
          <w:rFonts w:hint="eastAsia"/>
          <w:sz w:val="32"/>
          <w:szCs w:val="32"/>
        </w:rPr>
        <w:t>；项目支出</w:t>
      </w:r>
      <w:r>
        <w:rPr>
          <w:sz w:val="32"/>
          <w:szCs w:val="32"/>
        </w:rPr>
        <w:t>163.11</w:t>
      </w:r>
      <w:r>
        <w:rPr>
          <w:rFonts w:hint="eastAsia"/>
          <w:sz w:val="32"/>
          <w:szCs w:val="32"/>
        </w:rPr>
        <w:t>万元，占</w:t>
      </w:r>
      <w:r>
        <w:rPr>
          <w:sz w:val="32"/>
          <w:szCs w:val="32"/>
        </w:rPr>
        <w:t>25.48%</w:t>
      </w:r>
      <w:r>
        <w:rPr>
          <w:rFonts w:hint="eastAsia"/>
          <w:sz w:val="32"/>
          <w:szCs w:val="32"/>
        </w:rPr>
        <w:t>；上缴上级支出</w:t>
      </w:r>
      <w:r>
        <w:rPr>
          <w:sz w:val="32"/>
          <w:szCs w:val="32"/>
        </w:rPr>
        <w:t>0</w:t>
      </w:r>
      <w:r>
        <w:rPr>
          <w:rFonts w:hint="eastAsia"/>
          <w:sz w:val="32"/>
          <w:szCs w:val="32"/>
        </w:rPr>
        <w:t>万元，占</w:t>
      </w:r>
      <w:r>
        <w:rPr>
          <w:sz w:val="32"/>
          <w:szCs w:val="32"/>
        </w:rPr>
        <w:t>0%</w:t>
      </w:r>
      <w:r>
        <w:rPr>
          <w:rFonts w:hint="eastAsia"/>
          <w:sz w:val="32"/>
          <w:szCs w:val="32"/>
        </w:rPr>
        <w:t>；经营支出</w:t>
      </w:r>
      <w:r>
        <w:rPr>
          <w:sz w:val="32"/>
          <w:szCs w:val="32"/>
        </w:rPr>
        <w:t>0</w:t>
      </w:r>
      <w:r>
        <w:rPr>
          <w:rFonts w:hint="eastAsia"/>
          <w:sz w:val="32"/>
          <w:szCs w:val="32"/>
        </w:rPr>
        <w:t>万元，占</w:t>
      </w:r>
      <w:r>
        <w:rPr>
          <w:sz w:val="32"/>
          <w:szCs w:val="32"/>
        </w:rPr>
        <w:t>0%</w:t>
      </w:r>
      <w:r>
        <w:rPr>
          <w:rFonts w:hint="eastAsia"/>
          <w:sz w:val="32"/>
          <w:szCs w:val="32"/>
        </w:rPr>
        <w:t>；对附属单位补助支出</w:t>
      </w:r>
      <w:r>
        <w:rPr>
          <w:sz w:val="32"/>
          <w:szCs w:val="32"/>
        </w:rPr>
        <w:t>0</w:t>
      </w:r>
      <w:r>
        <w:rPr>
          <w:rFonts w:hint="eastAsia"/>
          <w:sz w:val="32"/>
          <w:szCs w:val="32"/>
        </w:rPr>
        <w:t>万元，占</w:t>
      </w:r>
      <w:r>
        <w:rPr>
          <w:sz w:val="32"/>
          <w:szCs w:val="32"/>
        </w:rPr>
        <w:t>0%</w:t>
      </w:r>
      <w:r>
        <w:rPr>
          <w:rFonts w:hint="eastAsia"/>
          <w:sz w:val="32"/>
          <w:szCs w:val="32"/>
        </w:rPr>
        <w:t>。</w:t>
      </w:r>
    </w:p>
    <w:p>
      <w:pPr>
        <w:adjustRightInd w:val="0"/>
        <w:rPr>
          <w:sz w:val="32"/>
          <w:szCs w:val="32"/>
        </w:rPr>
      </w:pPr>
    </w:p>
    <w:p>
      <w:pPr>
        <w:adjustRightInd w:val="0"/>
        <w:rPr>
          <w:sz w:val="32"/>
          <w:szCs w:val="32"/>
        </w:rPr>
      </w:pPr>
      <w:r>
        <w:rPr>
          <w:rFonts w:hint="eastAsia"/>
          <w:sz w:val="32"/>
          <w:szCs w:val="32"/>
        </w:rPr>
        <w:t>四、财政拨款收入支出决算总体情况说明</w:t>
      </w:r>
    </w:p>
    <w:p>
      <w:pPr>
        <w:adjustRightInd w:val="0"/>
        <w:rPr>
          <w:sz w:val="32"/>
          <w:szCs w:val="32"/>
        </w:rPr>
      </w:pPr>
    </w:p>
    <w:p>
      <w:pPr>
        <w:adjustRightInd w:val="0"/>
        <w:rPr>
          <w:sz w:val="32"/>
          <w:szCs w:val="32"/>
        </w:rPr>
      </w:pPr>
      <w:r>
        <w:rPr>
          <w:sz w:val="32"/>
          <w:szCs w:val="32"/>
        </w:rPr>
        <w:t>2018</w:t>
      </w:r>
      <w:r>
        <w:rPr>
          <w:rFonts w:hint="eastAsia"/>
          <w:sz w:val="32"/>
          <w:szCs w:val="32"/>
        </w:rPr>
        <w:t>年度财政拨款收、支总计均为</w:t>
      </w:r>
      <w:r>
        <w:rPr>
          <w:sz w:val="32"/>
          <w:szCs w:val="32"/>
        </w:rPr>
        <w:t>687.14</w:t>
      </w:r>
      <w:r>
        <w:rPr>
          <w:rFonts w:hint="eastAsia"/>
          <w:sz w:val="32"/>
          <w:szCs w:val="32"/>
        </w:rPr>
        <w:t>万元。与上年度相比，财政拨款收、支总计各增加</w:t>
      </w:r>
      <w:r>
        <w:rPr>
          <w:sz w:val="32"/>
          <w:szCs w:val="32"/>
        </w:rPr>
        <w:t>55.19</w:t>
      </w:r>
      <w:r>
        <w:rPr>
          <w:rFonts w:hint="eastAsia"/>
          <w:sz w:val="32"/>
          <w:szCs w:val="32"/>
        </w:rPr>
        <w:t>万元，增长</w:t>
      </w:r>
      <w:r>
        <w:rPr>
          <w:sz w:val="32"/>
          <w:szCs w:val="32"/>
        </w:rPr>
        <w:t>8.73%</w:t>
      </w:r>
      <w:r>
        <w:rPr>
          <w:rFonts w:hint="eastAsia"/>
          <w:sz w:val="32"/>
          <w:szCs w:val="32"/>
        </w:rPr>
        <w:t>。主要原因是</w:t>
      </w:r>
      <w:r>
        <w:rPr>
          <w:rFonts w:hint="eastAsia"/>
          <w:position w:val="1"/>
          <w:sz w:val="32"/>
          <w:szCs w:val="32"/>
        </w:rPr>
        <w:t>人员工资增长和机关养老保险缴费</w:t>
      </w:r>
      <w:r>
        <w:rPr>
          <w:rFonts w:hint="eastAsia"/>
          <w:sz w:val="32"/>
          <w:szCs w:val="32"/>
        </w:rPr>
        <w:t>。</w:t>
      </w:r>
    </w:p>
    <w:p>
      <w:pPr>
        <w:adjustRightInd w:val="0"/>
        <w:rPr>
          <w:sz w:val="32"/>
          <w:szCs w:val="32"/>
        </w:rPr>
      </w:pPr>
      <w:r>
        <w:rPr>
          <w:rFonts w:hint="eastAsia"/>
          <w:sz w:val="32"/>
          <w:szCs w:val="32"/>
        </w:rPr>
        <w:t>五、一般公共预算财政拨款支出决算情况说明</w:t>
      </w:r>
    </w:p>
    <w:p>
      <w:pPr>
        <w:adjustRightInd w:val="0"/>
        <w:rPr>
          <w:sz w:val="32"/>
          <w:szCs w:val="32"/>
        </w:rPr>
      </w:pPr>
    </w:p>
    <w:p>
      <w:pPr>
        <w:adjustRightInd w:val="0"/>
        <w:rPr>
          <w:sz w:val="32"/>
          <w:szCs w:val="32"/>
        </w:rPr>
      </w:pPr>
      <w:r>
        <w:rPr>
          <w:rFonts w:hint="eastAsia"/>
          <w:sz w:val="32"/>
          <w:szCs w:val="32"/>
        </w:rPr>
        <w:t>（一）总体情况。</w:t>
      </w:r>
    </w:p>
    <w:p>
      <w:pPr>
        <w:adjustRightInd w:val="0"/>
        <w:rPr>
          <w:sz w:val="32"/>
          <w:szCs w:val="32"/>
        </w:rPr>
      </w:pPr>
    </w:p>
    <w:p>
      <w:pPr>
        <w:adjustRightInd w:val="0"/>
        <w:rPr>
          <w:sz w:val="32"/>
          <w:szCs w:val="32"/>
        </w:rPr>
      </w:pPr>
      <w:r>
        <w:rPr>
          <w:sz w:val="32"/>
          <w:szCs w:val="32"/>
        </w:rPr>
        <w:t>2018</w:t>
      </w:r>
      <w:r>
        <w:rPr>
          <w:rFonts w:hint="eastAsia"/>
          <w:sz w:val="32"/>
          <w:szCs w:val="32"/>
        </w:rPr>
        <w:t>年度一般公共预算财政拨款支出</w:t>
      </w:r>
      <w:r>
        <w:rPr>
          <w:sz w:val="32"/>
          <w:szCs w:val="32"/>
        </w:rPr>
        <w:t>640.13</w:t>
      </w:r>
      <w:r>
        <w:rPr>
          <w:rFonts w:hint="eastAsia"/>
          <w:sz w:val="32"/>
          <w:szCs w:val="32"/>
        </w:rPr>
        <w:t>万元，占本年支出合计的</w:t>
      </w:r>
      <w:r>
        <w:rPr>
          <w:sz w:val="32"/>
          <w:szCs w:val="32"/>
        </w:rPr>
        <w:t>100%</w:t>
      </w:r>
      <w:r>
        <w:rPr>
          <w:rFonts w:hint="eastAsia"/>
          <w:sz w:val="32"/>
          <w:szCs w:val="32"/>
        </w:rPr>
        <w:t>。与上年度相比，一般公共预算财政拨款支出增加</w:t>
      </w:r>
      <w:r>
        <w:rPr>
          <w:sz w:val="32"/>
          <w:szCs w:val="32"/>
        </w:rPr>
        <w:t>117.15</w:t>
      </w:r>
      <w:r>
        <w:rPr>
          <w:rFonts w:hint="eastAsia"/>
          <w:sz w:val="32"/>
          <w:szCs w:val="32"/>
        </w:rPr>
        <w:t>万元，增长</w:t>
      </w:r>
      <w:r>
        <w:rPr>
          <w:sz w:val="32"/>
          <w:szCs w:val="32"/>
        </w:rPr>
        <w:t>22.4%</w:t>
      </w:r>
      <w:r>
        <w:rPr>
          <w:rFonts w:hint="eastAsia"/>
          <w:sz w:val="32"/>
          <w:szCs w:val="32"/>
        </w:rPr>
        <w:t>。主要原因是</w:t>
      </w:r>
      <w:r>
        <w:rPr>
          <w:rFonts w:hint="eastAsia"/>
          <w:position w:val="1"/>
          <w:sz w:val="32"/>
          <w:szCs w:val="32"/>
        </w:rPr>
        <w:t>人员工资增长和机关养老保险缴费</w:t>
      </w:r>
      <w:r>
        <w:rPr>
          <w:rFonts w:hint="eastAsia"/>
          <w:sz w:val="32"/>
          <w:szCs w:val="32"/>
        </w:rPr>
        <w:t>。</w:t>
      </w:r>
    </w:p>
    <w:p>
      <w:pPr>
        <w:adjustRightInd w:val="0"/>
        <w:rPr>
          <w:sz w:val="32"/>
          <w:szCs w:val="32"/>
        </w:rPr>
      </w:pPr>
    </w:p>
    <w:p>
      <w:pPr>
        <w:adjustRightInd w:val="0"/>
        <w:rPr>
          <w:sz w:val="32"/>
          <w:szCs w:val="32"/>
        </w:rPr>
      </w:pPr>
      <w:r>
        <w:rPr>
          <w:rFonts w:hint="eastAsia"/>
          <w:sz w:val="32"/>
          <w:szCs w:val="32"/>
        </w:rPr>
        <w:t>（二）结构情况。</w:t>
      </w:r>
    </w:p>
    <w:p>
      <w:pPr>
        <w:adjustRightInd w:val="0"/>
        <w:rPr>
          <w:sz w:val="32"/>
          <w:szCs w:val="32"/>
        </w:rPr>
      </w:pPr>
    </w:p>
    <w:p>
      <w:pPr>
        <w:adjustRightInd w:val="0"/>
        <w:rPr>
          <w:sz w:val="32"/>
          <w:szCs w:val="32"/>
        </w:rPr>
      </w:pPr>
      <w:r>
        <w:rPr>
          <w:sz w:val="32"/>
          <w:szCs w:val="32"/>
        </w:rPr>
        <w:t>2018</w:t>
      </w:r>
      <w:r>
        <w:rPr>
          <w:rFonts w:hint="eastAsia"/>
          <w:sz w:val="32"/>
          <w:szCs w:val="32"/>
        </w:rPr>
        <w:t>年度一般公共预算财政拨款支出</w:t>
      </w:r>
      <w:r>
        <w:rPr>
          <w:sz w:val="32"/>
          <w:szCs w:val="32"/>
        </w:rPr>
        <w:t>640.13</w:t>
      </w:r>
      <w:r>
        <w:rPr>
          <w:rFonts w:hint="eastAsia"/>
          <w:sz w:val="32"/>
          <w:szCs w:val="32"/>
        </w:rPr>
        <w:t>万元，主要用于以下方面：一般公共服务（类）支出</w:t>
      </w:r>
      <w:r>
        <w:rPr>
          <w:sz w:val="32"/>
          <w:szCs w:val="32"/>
        </w:rPr>
        <w:t>568.5</w:t>
      </w:r>
      <w:r>
        <w:rPr>
          <w:rFonts w:hint="eastAsia"/>
          <w:sz w:val="32"/>
          <w:szCs w:val="32"/>
        </w:rPr>
        <w:t>万元，占</w:t>
      </w:r>
      <w:r>
        <w:rPr>
          <w:sz w:val="32"/>
          <w:szCs w:val="32"/>
        </w:rPr>
        <w:t>88%</w:t>
      </w:r>
      <w:r>
        <w:rPr>
          <w:rFonts w:hint="eastAsia"/>
          <w:sz w:val="32"/>
          <w:szCs w:val="32"/>
        </w:rPr>
        <w:t>，农林水支出（类）</w:t>
      </w:r>
      <w:r>
        <w:rPr>
          <w:sz w:val="32"/>
          <w:szCs w:val="32"/>
        </w:rPr>
        <w:t>71.61</w:t>
      </w:r>
      <w:r>
        <w:rPr>
          <w:rFonts w:hint="eastAsia"/>
          <w:sz w:val="32"/>
          <w:szCs w:val="32"/>
        </w:rPr>
        <w:t>万元，占</w:t>
      </w:r>
      <w:r>
        <w:rPr>
          <w:sz w:val="32"/>
          <w:szCs w:val="32"/>
        </w:rPr>
        <w:t>12%</w:t>
      </w:r>
      <w:r>
        <w:rPr>
          <w:rFonts w:hint="eastAsia"/>
          <w:sz w:val="32"/>
          <w:szCs w:val="32"/>
        </w:rPr>
        <w:t>。</w:t>
      </w:r>
    </w:p>
    <w:p>
      <w:pPr>
        <w:adjustRightInd w:val="0"/>
        <w:rPr>
          <w:sz w:val="32"/>
          <w:szCs w:val="32"/>
        </w:rPr>
      </w:pPr>
    </w:p>
    <w:p>
      <w:pPr>
        <w:adjustRightInd w:val="0"/>
        <w:rPr>
          <w:sz w:val="32"/>
          <w:szCs w:val="32"/>
        </w:rPr>
      </w:pPr>
      <w:r>
        <w:rPr>
          <w:rFonts w:hint="eastAsia"/>
          <w:sz w:val="32"/>
          <w:szCs w:val="32"/>
        </w:rPr>
        <w:t>（三）具体情况。</w:t>
      </w:r>
    </w:p>
    <w:p>
      <w:pPr>
        <w:adjustRightInd w:val="0"/>
        <w:rPr>
          <w:sz w:val="32"/>
          <w:szCs w:val="32"/>
        </w:rPr>
      </w:pPr>
    </w:p>
    <w:p>
      <w:pPr>
        <w:adjustRightInd w:val="0"/>
        <w:rPr>
          <w:sz w:val="32"/>
          <w:szCs w:val="32"/>
        </w:rPr>
      </w:pPr>
      <w:r>
        <w:rPr>
          <w:sz w:val="32"/>
          <w:szCs w:val="32"/>
        </w:rPr>
        <w:t>2018</w:t>
      </w:r>
      <w:r>
        <w:rPr>
          <w:rFonts w:hint="eastAsia"/>
          <w:sz w:val="32"/>
          <w:szCs w:val="32"/>
        </w:rPr>
        <w:t>年度一般公共预算财政拨款支出年初预算为</w:t>
      </w:r>
      <w:r>
        <w:rPr>
          <w:sz w:val="32"/>
          <w:szCs w:val="32"/>
        </w:rPr>
        <w:t>544.2393</w:t>
      </w:r>
      <w:r>
        <w:rPr>
          <w:rFonts w:hint="eastAsia"/>
          <w:sz w:val="32"/>
          <w:szCs w:val="32"/>
        </w:rPr>
        <w:t>万元，支出决算为</w:t>
      </w:r>
      <w:r>
        <w:rPr>
          <w:sz w:val="32"/>
          <w:szCs w:val="32"/>
        </w:rPr>
        <w:t>640.13</w:t>
      </w:r>
      <w:r>
        <w:rPr>
          <w:rFonts w:hint="eastAsia"/>
          <w:sz w:val="32"/>
          <w:szCs w:val="32"/>
        </w:rPr>
        <w:t>万元，完成年初预算的</w:t>
      </w:r>
      <w:r>
        <w:rPr>
          <w:sz w:val="32"/>
          <w:szCs w:val="32"/>
        </w:rPr>
        <w:t>150.48%</w:t>
      </w:r>
      <w:r>
        <w:rPr>
          <w:rFonts w:hint="eastAsia"/>
          <w:sz w:val="32"/>
          <w:szCs w:val="32"/>
        </w:rPr>
        <w:t>。其中：</w:t>
      </w:r>
    </w:p>
    <w:p>
      <w:pPr>
        <w:adjustRightInd w:val="0"/>
        <w:rPr>
          <w:sz w:val="32"/>
          <w:szCs w:val="32"/>
        </w:rPr>
      </w:pPr>
    </w:p>
    <w:p>
      <w:pPr>
        <w:adjustRightInd w:val="0"/>
        <w:rPr>
          <w:sz w:val="32"/>
          <w:szCs w:val="32"/>
        </w:rPr>
      </w:pPr>
      <w:r>
        <w:rPr>
          <w:sz w:val="32"/>
          <w:szCs w:val="32"/>
        </w:rPr>
        <w:t>1</w:t>
      </w:r>
      <w:r>
        <w:rPr>
          <w:rFonts w:hint="eastAsia"/>
          <w:sz w:val="32"/>
          <w:szCs w:val="32"/>
        </w:rPr>
        <w:t>．一般公共性服务支出（类）质量技术监督与检验检疫事务（款）行政运行（项）：年初预算为</w:t>
      </w:r>
      <w:r>
        <w:rPr>
          <w:sz w:val="32"/>
          <w:szCs w:val="32"/>
        </w:rPr>
        <w:t>459.9250</w:t>
      </w:r>
      <w:r>
        <w:rPr>
          <w:rFonts w:hint="eastAsia"/>
          <w:sz w:val="32"/>
          <w:szCs w:val="32"/>
        </w:rPr>
        <w:t>万元，支出决算为</w:t>
      </w:r>
      <w:r>
        <w:rPr>
          <w:sz w:val="32"/>
          <w:szCs w:val="32"/>
        </w:rPr>
        <w:t>477.02</w:t>
      </w:r>
      <w:r>
        <w:rPr>
          <w:rFonts w:hint="eastAsia"/>
          <w:sz w:val="32"/>
          <w:szCs w:val="32"/>
        </w:rPr>
        <w:t>万元，完成年初预算的</w:t>
      </w:r>
      <w:r>
        <w:rPr>
          <w:sz w:val="32"/>
          <w:szCs w:val="32"/>
        </w:rPr>
        <w:t>103%</w:t>
      </w:r>
      <w:r>
        <w:rPr>
          <w:rFonts w:hint="eastAsia"/>
          <w:sz w:val="32"/>
          <w:szCs w:val="32"/>
        </w:rPr>
        <w:t>。决算数与年初预算数存在差异的主要原因是</w:t>
      </w:r>
      <w:r>
        <w:rPr>
          <w:rFonts w:hint="eastAsia"/>
          <w:position w:val="1"/>
          <w:sz w:val="32"/>
          <w:szCs w:val="32"/>
        </w:rPr>
        <w:t>人员工资增长和机关养老保险缴费</w:t>
      </w:r>
      <w:r>
        <w:rPr>
          <w:rFonts w:hint="eastAsia"/>
          <w:sz w:val="32"/>
          <w:szCs w:val="32"/>
        </w:rPr>
        <w:t>。</w:t>
      </w:r>
    </w:p>
    <w:p>
      <w:pPr>
        <w:adjustRightInd w:val="0"/>
        <w:rPr>
          <w:sz w:val="32"/>
          <w:szCs w:val="32"/>
        </w:rPr>
      </w:pPr>
    </w:p>
    <w:p>
      <w:pPr>
        <w:numPr>
          <w:ilvl w:val="0"/>
          <w:numId w:val="3"/>
        </w:numPr>
        <w:adjustRightInd w:val="0"/>
        <w:rPr>
          <w:rFonts w:hint="eastAsia"/>
          <w:sz w:val="32"/>
          <w:szCs w:val="32"/>
        </w:rPr>
      </w:pPr>
      <w:r>
        <w:rPr>
          <w:rFonts w:hint="eastAsia"/>
          <w:sz w:val="32"/>
          <w:szCs w:val="32"/>
        </w:rPr>
        <w:t>一般公共性服务支出（类）质量技术监督与检验检疫事务（款）一般行政管理事务（项）年初预算为</w:t>
      </w:r>
      <w:r>
        <w:rPr>
          <w:rFonts w:hint="eastAsia"/>
          <w:sz w:val="32"/>
          <w:szCs w:val="32"/>
          <w:lang w:val="en-US" w:eastAsia="zh-CN"/>
        </w:rPr>
        <w:t>73.29</w:t>
      </w:r>
      <w:r>
        <w:rPr>
          <w:rFonts w:hint="eastAsia"/>
          <w:sz w:val="32"/>
          <w:szCs w:val="32"/>
        </w:rPr>
        <w:t>万元，支出决算为</w:t>
      </w:r>
      <w:r>
        <w:rPr>
          <w:rFonts w:hint="eastAsia"/>
          <w:sz w:val="32"/>
          <w:szCs w:val="32"/>
          <w:lang w:val="en-US" w:eastAsia="zh-CN"/>
        </w:rPr>
        <w:t>73.29</w:t>
      </w:r>
      <w:r>
        <w:rPr>
          <w:rFonts w:hint="eastAsia"/>
          <w:sz w:val="32"/>
          <w:szCs w:val="32"/>
        </w:rPr>
        <w:t>万元，完成年初预算的</w:t>
      </w:r>
      <w:r>
        <w:rPr>
          <w:sz w:val="32"/>
          <w:szCs w:val="32"/>
        </w:rPr>
        <w:t>10</w:t>
      </w:r>
      <w:r>
        <w:rPr>
          <w:rFonts w:hint="eastAsia"/>
          <w:sz w:val="32"/>
          <w:szCs w:val="32"/>
          <w:lang w:val="en-US" w:eastAsia="zh-CN"/>
        </w:rPr>
        <w:t>0</w:t>
      </w:r>
      <w:r>
        <w:rPr>
          <w:sz w:val="32"/>
          <w:szCs w:val="32"/>
        </w:rPr>
        <w:t>%</w:t>
      </w:r>
      <w:r>
        <w:rPr>
          <w:rFonts w:hint="eastAsia"/>
          <w:sz w:val="32"/>
          <w:szCs w:val="32"/>
        </w:rPr>
        <w:t>。</w:t>
      </w:r>
    </w:p>
    <w:p>
      <w:pPr>
        <w:numPr>
          <w:ilvl w:val="0"/>
          <w:numId w:val="3"/>
        </w:numPr>
        <w:adjustRightInd w:val="0"/>
        <w:rPr>
          <w:rFonts w:hint="eastAsia"/>
          <w:sz w:val="32"/>
          <w:szCs w:val="32"/>
        </w:rPr>
      </w:pPr>
      <w:r>
        <w:rPr>
          <w:rFonts w:hint="eastAsia"/>
          <w:sz w:val="32"/>
          <w:szCs w:val="32"/>
        </w:rPr>
        <w:t>一般公共性服务支出（类）质量技术监督与检验检疫事务（款）质量技术监督行政执法及业务管理（项）年初预算为</w:t>
      </w:r>
      <w:r>
        <w:rPr>
          <w:rFonts w:hint="eastAsia"/>
          <w:sz w:val="32"/>
          <w:szCs w:val="32"/>
          <w:lang w:val="en-US" w:eastAsia="zh-CN"/>
        </w:rPr>
        <w:t>4.92</w:t>
      </w:r>
      <w:r>
        <w:rPr>
          <w:rFonts w:hint="eastAsia"/>
          <w:sz w:val="32"/>
          <w:szCs w:val="32"/>
        </w:rPr>
        <w:t>万元，支出决算为</w:t>
      </w:r>
      <w:r>
        <w:rPr>
          <w:rFonts w:hint="eastAsia"/>
          <w:sz w:val="32"/>
          <w:szCs w:val="32"/>
          <w:lang w:val="en-US" w:eastAsia="zh-CN"/>
        </w:rPr>
        <w:t>4.92</w:t>
      </w:r>
      <w:r>
        <w:rPr>
          <w:rFonts w:hint="eastAsia"/>
          <w:sz w:val="32"/>
          <w:szCs w:val="32"/>
        </w:rPr>
        <w:t>万元，完成年初预算的</w:t>
      </w:r>
      <w:r>
        <w:rPr>
          <w:sz w:val="32"/>
          <w:szCs w:val="32"/>
        </w:rPr>
        <w:t>10</w:t>
      </w:r>
      <w:r>
        <w:rPr>
          <w:rFonts w:hint="eastAsia"/>
          <w:sz w:val="32"/>
          <w:szCs w:val="32"/>
          <w:lang w:val="en-US" w:eastAsia="zh-CN"/>
        </w:rPr>
        <w:t>0</w:t>
      </w:r>
      <w:r>
        <w:rPr>
          <w:sz w:val="32"/>
          <w:szCs w:val="32"/>
        </w:rPr>
        <w:t>%</w:t>
      </w:r>
      <w:r>
        <w:rPr>
          <w:rFonts w:hint="eastAsia"/>
          <w:sz w:val="32"/>
          <w:szCs w:val="32"/>
        </w:rPr>
        <w:t>。</w:t>
      </w:r>
    </w:p>
    <w:p>
      <w:pPr>
        <w:numPr>
          <w:numId w:val="0"/>
        </w:numPr>
        <w:adjustRightInd w:val="0"/>
        <w:rPr>
          <w:sz w:val="32"/>
          <w:szCs w:val="32"/>
        </w:rPr>
      </w:pPr>
    </w:p>
    <w:p>
      <w:pPr>
        <w:numPr>
          <w:ilvl w:val="0"/>
          <w:numId w:val="3"/>
        </w:numPr>
        <w:adjustRightInd w:val="0"/>
        <w:rPr>
          <w:sz w:val="32"/>
          <w:szCs w:val="32"/>
        </w:rPr>
      </w:pPr>
      <w:r>
        <w:rPr>
          <w:rFonts w:hint="eastAsia"/>
          <w:sz w:val="32"/>
          <w:szCs w:val="32"/>
        </w:rPr>
        <w:t>一般公共性服务支出（类）质量技术监督与检验检疫事务（款）其他质量技术监督与检验检疫事务支出（项）：年初预算为</w:t>
      </w:r>
      <w:r>
        <w:rPr>
          <w:rFonts w:hint="eastAsia"/>
          <w:sz w:val="32"/>
          <w:szCs w:val="32"/>
          <w:lang w:val="en-US" w:eastAsia="zh-CN"/>
        </w:rPr>
        <w:t>13.29</w:t>
      </w:r>
      <w:r>
        <w:rPr>
          <w:rFonts w:hint="eastAsia"/>
          <w:sz w:val="32"/>
          <w:szCs w:val="32"/>
        </w:rPr>
        <w:t>万元，支出决算为</w:t>
      </w:r>
      <w:r>
        <w:rPr>
          <w:rFonts w:hint="eastAsia"/>
          <w:sz w:val="32"/>
          <w:szCs w:val="32"/>
          <w:lang w:val="en-US" w:eastAsia="zh-CN"/>
        </w:rPr>
        <w:t>13.29</w:t>
      </w:r>
      <w:r>
        <w:rPr>
          <w:rFonts w:hint="eastAsia"/>
          <w:sz w:val="32"/>
          <w:szCs w:val="32"/>
        </w:rPr>
        <w:t>万元，完成年初预算的</w:t>
      </w:r>
      <w:r>
        <w:rPr>
          <w:rFonts w:hint="eastAsia"/>
          <w:sz w:val="32"/>
          <w:szCs w:val="32"/>
          <w:lang w:val="en-US" w:eastAsia="zh-CN"/>
        </w:rPr>
        <w:t>100</w:t>
      </w:r>
      <w:r>
        <w:rPr>
          <w:sz w:val="32"/>
          <w:szCs w:val="32"/>
        </w:rPr>
        <w:t>%</w:t>
      </w:r>
      <w:r>
        <w:rPr>
          <w:rFonts w:hint="eastAsia"/>
          <w:sz w:val="32"/>
          <w:szCs w:val="32"/>
        </w:rPr>
        <w:t>。</w:t>
      </w:r>
    </w:p>
    <w:p>
      <w:pPr>
        <w:numPr>
          <w:numId w:val="0"/>
        </w:numPr>
        <w:adjustRightInd w:val="0"/>
        <w:rPr>
          <w:sz w:val="32"/>
          <w:szCs w:val="32"/>
        </w:rPr>
      </w:pPr>
    </w:p>
    <w:p>
      <w:pPr>
        <w:adjustRightInd w:val="0"/>
        <w:rPr>
          <w:sz w:val="32"/>
          <w:szCs w:val="32"/>
        </w:rPr>
      </w:pPr>
      <w:r>
        <w:rPr>
          <w:rFonts w:hint="eastAsia"/>
          <w:sz w:val="32"/>
          <w:szCs w:val="32"/>
          <w:lang w:val="en-US" w:eastAsia="zh-CN"/>
        </w:rPr>
        <w:t>5</w:t>
      </w:r>
      <w:r>
        <w:rPr>
          <w:sz w:val="32"/>
          <w:szCs w:val="32"/>
        </w:rPr>
        <w:t>.</w:t>
      </w:r>
      <w:r>
        <w:rPr>
          <w:rFonts w:hint="eastAsia"/>
          <w:sz w:val="32"/>
          <w:szCs w:val="32"/>
        </w:rPr>
        <w:t>农林水支出（类）扶贫（款）农村基础设施建设（项）：年初预算为</w:t>
      </w:r>
      <w:r>
        <w:rPr>
          <w:sz w:val="32"/>
          <w:szCs w:val="32"/>
        </w:rPr>
        <w:t>0</w:t>
      </w:r>
      <w:r>
        <w:rPr>
          <w:rFonts w:hint="eastAsia"/>
          <w:sz w:val="32"/>
          <w:szCs w:val="32"/>
        </w:rPr>
        <w:t>万元，支出决算为</w:t>
      </w:r>
      <w:r>
        <w:rPr>
          <w:sz w:val="32"/>
          <w:szCs w:val="32"/>
        </w:rPr>
        <w:t>71.61</w:t>
      </w:r>
      <w:r>
        <w:rPr>
          <w:rFonts w:hint="eastAsia"/>
          <w:sz w:val="32"/>
          <w:szCs w:val="32"/>
        </w:rPr>
        <w:t>万元，决算数与年初数存在着差异的主要原因农林水项目资金未纳入年初预算。</w:t>
      </w:r>
    </w:p>
    <w:p>
      <w:pPr>
        <w:adjustRightInd w:val="0"/>
        <w:rPr>
          <w:rFonts w:hint="eastAsia"/>
          <w:sz w:val="32"/>
          <w:szCs w:val="32"/>
        </w:rPr>
      </w:pPr>
    </w:p>
    <w:p>
      <w:pPr>
        <w:adjustRightInd w:val="0"/>
        <w:rPr>
          <w:sz w:val="32"/>
          <w:szCs w:val="32"/>
        </w:rPr>
      </w:pPr>
      <w:bookmarkStart w:id="0" w:name="_GoBack"/>
      <w:bookmarkEnd w:id="0"/>
      <w:r>
        <w:rPr>
          <w:rFonts w:hint="eastAsia"/>
          <w:sz w:val="32"/>
          <w:szCs w:val="32"/>
        </w:rPr>
        <w:t>六、一般公共预算财政拨款基本支出决算情况说明</w:t>
      </w:r>
    </w:p>
    <w:p>
      <w:pPr>
        <w:adjustRightInd w:val="0"/>
        <w:rPr>
          <w:sz w:val="32"/>
          <w:szCs w:val="32"/>
        </w:rPr>
      </w:pPr>
    </w:p>
    <w:p>
      <w:pPr>
        <w:adjustRightInd w:val="0"/>
        <w:rPr>
          <w:sz w:val="32"/>
          <w:szCs w:val="32"/>
        </w:rPr>
      </w:pPr>
      <w:r>
        <w:rPr>
          <w:sz w:val="32"/>
          <w:szCs w:val="32"/>
        </w:rPr>
        <w:t>2018</w:t>
      </w:r>
      <w:r>
        <w:rPr>
          <w:rFonts w:hint="eastAsia"/>
          <w:sz w:val="32"/>
          <w:szCs w:val="32"/>
        </w:rPr>
        <w:t>年度一般公共预算财政拨款基本支出</w:t>
      </w:r>
      <w:r>
        <w:rPr>
          <w:sz w:val="32"/>
          <w:szCs w:val="32"/>
        </w:rPr>
        <w:t>477.02</w:t>
      </w:r>
      <w:r>
        <w:rPr>
          <w:rFonts w:hint="eastAsia"/>
          <w:sz w:val="32"/>
          <w:szCs w:val="32"/>
        </w:rPr>
        <w:t>万元。其中：人员经费</w:t>
      </w:r>
      <w:r>
        <w:rPr>
          <w:sz w:val="32"/>
          <w:szCs w:val="32"/>
        </w:rPr>
        <w:t>439.57</w:t>
      </w:r>
      <w:r>
        <w:rPr>
          <w:rFonts w:hint="eastAsia"/>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sz w:val="32"/>
          <w:szCs w:val="32"/>
        </w:rPr>
        <w:t>37.45</w:t>
      </w:r>
      <w:r>
        <w:rPr>
          <w:rFonts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adjustRightInd w:val="0"/>
        <w:rPr>
          <w:sz w:val="32"/>
          <w:szCs w:val="32"/>
        </w:rPr>
      </w:pPr>
    </w:p>
    <w:p>
      <w:pPr>
        <w:adjustRightInd w:val="0"/>
        <w:rPr>
          <w:sz w:val="32"/>
          <w:szCs w:val="32"/>
        </w:rPr>
      </w:pPr>
      <w:r>
        <w:rPr>
          <w:rFonts w:hint="eastAsia"/>
          <w:sz w:val="32"/>
          <w:szCs w:val="32"/>
        </w:rPr>
        <w:t>七、一般公共预算财政拨款“三公”经费支出决算情况说明</w:t>
      </w:r>
    </w:p>
    <w:p>
      <w:pPr>
        <w:adjustRightInd w:val="0"/>
        <w:rPr>
          <w:sz w:val="32"/>
          <w:szCs w:val="32"/>
        </w:rPr>
      </w:pPr>
    </w:p>
    <w:p>
      <w:pPr>
        <w:adjustRightInd w:val="0"/>
        <w:rPr>
          <w:sz w:val="32"/>
          <w:szCs w:val="32"/>
        </w:rPr>
      </w:pPr>
      <w:r>
        <w:rPr>
          <w:rFonts w:hint="eastAsia"/>
          <w:sz w:val="32"/>
          <w:szCs w:val="32"/>
        </w:rPr>
        <w:t>（一）“三公”经费财政拨款支出决算总体情况说明。</w:t>
      </w:r>
    </w:p>
    <w:p>
      <w:pPr>
        <w:adjustRightInd w:val="0"/>
        <w:rPr>
          <w:sz w:val="32"/>
          <w:szCs w:val="32"/>
        </w:rPr>
      </w:pPr>
    </w:p>
    <w:p>
      <w:pPr>
        <w:adjustRightInd w:val="0"/>
        <w:rPr>
          <w:sz w:val="32"/>
          <w:szCs w:val="32"/>
        </w:rPr>
      </w:pPr>
      <w:r>
        <w:rPr>
          <w:sz w:val="32"/>
          <w:szCs w:val="32"/>
        </w:rPr>
        <w:t>2018</w:t>
      </w:r>
      <w:r>
        <w:rPr>
          <w:rFonts w:hint="eastAsia"/>
          <w:sz w:val="32"/>
          <w:szCs w:val="32"/>
        </w:rPr>
        <w:t>年度“三公”经费财政拨款支出预算为</w:t>
      </w:r>
      <w:r>
        <w:rPr>
          <w:sz w:val="32"/>
          <w:szCs w:val="32"/>
        </w:rPr>
        <w:t>19</w:t>
      </w:r>
      <w:r>
        <w:rPr>
          <w:rFonts w:hint="eastAsia"/>
          <w:sz w:val="32"/>
          <w:szCs w:val="32"/>
        </w:rPr>
        <w:t>万元，支出决算为</w:t>
      </w:r>
      <w:r>
        <w:rPr>
          <w:sz w:val="32"/>
          <w:szCs w:val="32"/>
        </w:rPr>
        <w:t>12.37</w:t>
      </w:r>
      <w:r>
        <w:rPr>
          <w:rFonts w:hint="eastAsia"/>
          <w:sz w:val="32"/>
          <w:szCs w:val="32"/>
        </w:rPr>
        <w:t>万元，完成预算的</w:t>
      </w:r>
      <w:r>
        <w:rPr>
          <w:sz w:val="32"/>
          <w:szCs w:val="32"/>
        </w:rPr>
        <w:t>65.083711%</w:t>
      </w:r>
      <w:r>
        <w:rPr>
          <w:rFonts w:hint="eastAsia"/>
          <w:sz w:val="32"/>
          <w:szCs w:val="32"/>
        </w:rPr>
        <w:t>。</w:t>
      </w:r>
      <w:r>
        <w:rPr>
          <w:sz w:val="32"/>
          <w:szCs w:val="32"/>
        </w:rPr>
        <w:t>2018</w:t>
      </w:r>
      <w:r>
        <w:rPr>
          <w:rFonts w:hint="eastAsia"/>
          <w:sz w:val="32"/>
          <w:szCs w:val="32"/>
        </w:rPr>
        <w:t>年度“三公”经费支出决算数与预算数存在差异的主要原因是压缩招待费用、压缩运行维护费支出</w:t>
      </w:r>
      <w:r>
        <w:rPr>
          <w:sz w:val="32"/>
          <w:szCs w:val="32"/>
          <w:lang w:val="en-US"/>
        </w:rPr>
        <w:t>,</w:t>
      </w:r>
      <w:r>
        <w:rPr>
          <w:rFonts w:hint="eastAsia"/>
          <w:sz w:val="32"/>
          <w:szCs w:val="32"/>
          <w:lang w:val="en-US"/>
        </w:rPr>
        <w:t>不造成浪费</w:t>
      </w:r>
      <w:r>
        <w:rPr>
          <w:rFonts w:hint="eastAsia"/>
          <w:sz w:val="32"/>
          <w:szCs w:val="32"/>
        </w:rPr>
        <w:t>。</w:t>
      </w:r>
    </w:p>
    <w:p>
      <w:pPr>
        <w:adjustRightInd w:val="0"/>
        <w:rPr>
          <w:sz w:val="32"/>
          <w:szCs w:val="32"/>
        </w:rPr>
      </w:pPr>
    </w:p>
    <w:p>
      <w:pPr>
        <w:adjustRightInd w:val="0"/>
        <w:rPr>
          <w:sz w:val="32"/>
          <w:szCs w:val="32"/>
        </w:rPr>
      </w:pPr>
      <w:r>
        <w:rPr>
          <w:rFonts w:hint="eastAsia"/>
          <w:sz w:val="32"/>
          <w:szCs w:val="32"/>
        </w:rPr>
        <w:t>（二）“三公”经费财政拨款支出决算具体情况说明。</w:t>
      </w:r>
    </w:p>
    <w:p>
      <w:pPr>
        <w:adjustRightInd w:val="0"/>
        <w:rPr>
          <w:sz w:val="32"/>
          <w:szCs w:val="32"/>
        </w:rPr>
      </w:pPr>
    </w:p>
    <w:p>
      <w:pPr>
        <w:adjustRightInd w:val="0"/>
        <w:rPr>
          <w:sz w:val="32"/>
          <w:szCs w:val="32"/>
        </w:rPr>
      </w:pPr>
      <w:r>
        <w:rPr>
          <w:sz w:val="32"/>
          <w:szCs w:val="32"/>
        </w:rPr>
        <w:t>2018</w:t>
      </w:r>
      <w:r>
        <w:rPr>
          <w:rFonts w:hint="eastAsia"/>
          <w:sz w:val="32"/>
          <w:szCs w:val="32"/>
        </w:rPr>
        <w:t>年度“三公”经费财政拨款支出决算中，因公出国（境）费支出决算</w:t>
      </w:r>
      <w:r>
        <w:rPr>
          <w:sz w:val="32"/>
          <w:szCs w:val="32"/>
        </w:rPr>
        <w:t>0</w:t>
      </w:r>
      <w:r>
        <w:rPr>
          <w:rFonts w:hint="eastAsia"/>
          <w:sz w:val="32"/>
          <w:szCs w:val="32"/>
        </w:rPr>
        <w:t>万元，完成预算的</w:t>
      </w:r>
      <w:r>
        <w:rPr>
          <w:sz w:val="32"/>
          <w:szCs w:val="32"/>
        </w:rPr>
        <w:t>0%</w:t>
      </w:r>
      <w:r>
        <w:rPr>
          <w:rFonts w:hint="eastAsia"/>
          <w:sz w:val="32"/>
          <w:szCs w:val="32"/>
        </w:rPr>
        <w:t>，占</w:t>
      </w:r>
      <w:r>
        <w:rPr>
          <w:sz w:val="32"/>
          <w:szCs w:val="32"/>
        </w:rPr>
        <w:t>0%</w:t>
      </w:r>
      <w:r>
        <w:rPr>
          <w:rFonts w:hint="eastAsia"/>
          <w:sz w:val="32"/>
          <w:szCs w:val="32"/>
        </w:rPr>
        <w:t>；公务用车购置及运行费支出决算</w:t>
      </w:r>
      <w:r>
        <w:rPr>
          <w:sz w:val="32"/>
          <w:szCs w:val="32"/>
        </w:rPr>
        <w:t>11.32</w:t>
      </w:r>
      <w:r>
        <w:rPr>
          <w:rFonts w:hint="eastAsia"/>
          <w:sz w:val="32"/>
          <w:szCs w:val="32"/>
        </w:rPr>
        <w:t>万元，完成预算的</w:t>
      </w:r>
      <w:r>
        <w:rPr>
          <w:sz w:val="32"/>
          <w:szCs w:val="32"/>
        </w:rPr>
        <w:t>75.46%</w:t>
      </w:r>
      <w:r>
        <w:rPr>
          <w:rFonts w:hint="eastAsia"/>
          <w:sz w:val="32"/>
          <w:szCs w:val="32"/>
        </w:rPr>
        <w:t>，占</w:t>
      </w:r>
      <w:r>
        <w:rPr>
          <w:sz w:val="32"/>
          <w:szCs w:val="32"/>
        </w:rPr>
        <w:t>91.536%</w:t>
      </w:r>
      <w:r>
        <w:rPr>
          <w:rFonts w:hint="eastAsia"/>
          <w:sz w:val="32"/>
          <w:szCs w:val="32"/>
        </w:rPr>
        <w:t>；公务接待费支出决算</w:t>
      </w:r>
      <w:r>
        <w:rPr>
          <w:sz w:val="32"/>
          <w:szCs w:val="32"/>
        </w:rPr>
        <w:t>1.05</w:t>
      </w:r>
      <w:r>
        <w:rPr>
          <w:rFonts w:hint="eastAsia"/>
          <w:sz w:val="32"/>
          <w:szCs w:val="32"/>
        </w:rPr>
        <w:t>万元，完成预算的</w:t>
      </w:r>
      <w:r>
        <w:rPr>
          <w:sz w:val="32"/>
          <w:szCs w:val="32"/>
        </w:rPr>
        <w:t>26.18%</w:t>
      </w:r>
      <w:r>
        <w:rPr>
          <w:rFonts w:hint="eastAsia"/>
          <w:sz w:val="32"/>
          <w:szCs w:val="32"/>
        </w:rPr>
        <w:t>，占</w:t>
      </w:r>
      <w:r>
        <w:rPr>
          <w:sz w:val="32"/>
          <w:szCs w:val="32"/>
        </w:rPr>
        <w:t>8.47%</w:t>
      </w:r>
      <w:r>
        <w:rPr>
          <w:rFonts w:hint="eastAsia"/>
          <w:sz w:val="32"/>
          <w:szCs w:val="32"/>
        </w:rPr>
        <w:t>。具体情况如下：</w:t>
      </w:r>
    </w:p>
    <w:p>
      <w:pPr>
        <w:adjustRightInd w:val="0"/>
        <w:rPr>
          <w:sz w:val="32"/>
          <w:szCs w:val="32"/>
        </w:rPr>
      </w:pPr>
    </w:p>
    <w:p>
      <w:pPr>
        <w:adjustRightInd w:val="0"/>
        <w:rPr>
          <w:sz w:val="32"/>
          <w:szCs w:val="32"/>
        </w:rPr>
      </w:pPr>
      <w:r>
        <w:rPr>
          <w:sz w:val="32"/>
          <w:szCs w:val="32"/>
        </w:rPr>
        <w:t>1</w:t>
      </w:r>
      <w:r>
        <w:rPr>
          <w:rFonts w:hint="eastAsia"/>
          <w:sz w:val="32"/>
          <w:szCs w:val="32"/>
        </w:rPr>
        <w:t>．因公出国（境）费年初预算为</w:t>
      </w:r>
      <w:r>
        <w:rPr>
          <w:sz w:val="32"/>
          <w:szCs w:val="32"/>
        </w:rPr>
        <w:t>0</w:t>
      </w:r>
      <w:r>
        <w:rPr>
          <w:rFonts w:hint="eastAsia"/>
          <w:sz w:val="32"/>
          <w:szCs w:val="32"/>
        </w:rPr>
        <w:t>万元，支出决算为</w:t>
      </w:r>
      <w:r>
        <w:rPr>
          <w:sz w:val="32"/>
          <w:szCs w:val="32"/>
        </w:rPr>
        <w:t>0</w:t>
      </w:r>
      <w:r>
        <w:rPr>
          <w:rFonts w:hint="eastAsia"/>
          <w:sz w:val="32"/>
          <w:szCs w:val="32"/>
        </w:rPr>
        <w:t>万元，完成年初预算的</w:t>
      </w:r>
      <w:r>
        <w:rPr>
          <w:sz w:val="32"/>
          <w:szCs w:val="32"/>
        </w:rPr>
        <w:t>0%</w:t>
      </w:r>
      <w:r>
        <w:rPr>
          <w:rFonts w:hint="eastAsia"/>
          <w:sz w:val="32"/>
          <w:szCs w:val="32"/>
        </w:rPr>
        <w:t>。全年因公出国（境）团组</w:t>
      </w:r>
      <w:r>
        <w:rPr>
          <w:sz w:val="32"/>
          <w:szCs w:val="32"/>
        </w:rPr>
        <w:t>0</w:t>
      </w:r>
      <w:r>
        <w:rPr>
          <w:rFonts w:hint="eastAsia"/>
          <w:sz w:val="32"/>
          <w:szCs w:val="32"/>
        </w:rPr>
        <w:t>个，累计</w:t>
      </w:r>
      <w:r>
        <w:rPr>
          <w:sz w:val="32"/>
          <w:szCs w:val="32"/>
        </w:rPr>
        <w:t>0</w:t>
      </w:r>
      <w:r>
        <w:rPr>
          <w:rFonts w:hint="eastAsia"/>
          <w:sz w:val="32"/>
          <w:szCs w:val="32"/>
        </w:rPr>
        <w:t>人次。比上年度增加</w:t>
      </w:r>
      <w:r>
        <w:rPr>
          <w:sz w:val="32"/>
          <w:szCs w:val="32"/>
        </w:rPr>
        <w:t>0万元，增长0%。</w:t>
      </w:r>
    </w:p>
    <w:p>
      <w:pPr>
        <w:adjustRightInd w:val="0"/>
        <w:rPr>
          <w:sz w:val="32"/>
          <w:szCs w:val="32"/>
        </w:rPr>
      </w:pPr>
    </w:p>
    <w:p>
      <w:pPr>
        <w:adjustRightInd w:val="0"/>
        <w:rPr>
          <w:sz w:val="32"/>
          <w:szCs w:val="32"/>
        </w:rPr>
      </w:pPr>
      <w:r>
        <w:rPr>
          <w:sz w:val="32"/>
          <w:szCs w:val="32"/>
        </w:rPr>
        <w:t>2</w:t>
      </w:r>
      <w:r>
        <w:rPr>
          <w:rFonts w:hint="eastAsia"/>
          <w:sz w:val="32"/>
          <w:szCs w:val="32"/>
        </w:rPr>
        <w:t>．公务用车购置及运行费初预算为</w:t>
      </w:r>
      <w:r>
        <w:rPr>
          <w:sz w:val="32"/>
          <w:szCs w:val="32"/>
        </w:rPr>
        <w:t>15</w:t>
      </w:r>
      <w:r>
        <w:rPr>
          <w:rFonts w:hint="eastAsia"/>
          <w:sz w:val="32"/>
          <w:szCs w:val="32"/>
        </w:rPr>
        <w:t>万元，</w:t>
      </w:r>
      <w:r>
        <w:rPr>
          <w:rFonts w:hint="eastAsia"/>
          <w:sz w:val="32"/>
          <w:szCs w:val="32"/>
          <w:lang w:val="en-US"/>
        </w:rPr>
        <w:t>2018年</w:t>
      </w:r>
      <w:r>
        <w:rPr>
          <w:rFonts w:hint="eastAsia"/>
          <w:sz w:val="32"/>
          <w:szCs w:val="32"/>
        </w:rPr>
        <w:t>支出决算为</w:t>
      </w:r>
      <w:r>
        <w:rPr>
          <w:sz w:val="32"/>
          <w:szCs w:val="32"/>
        </w:rPr>
        <w:t>11.32</w:t>
      </w:r>
      <w:r>
        <w:rPr>
          <w:rFonts w:hint="eastAsia"/>
          <w:sz w:val="32"/>
          <w:szCs w:val="32"/>
        </w:rPr>
        <w:t>万元，完成年初预算的</w:t>
      </w:r>
      <w:r>
        <w:rPr>
          <w:sz w:val="32"/>
          <w:szCs w:val="32"/>
        </w:rPr>
        <w:t>75.46%</w:t>
      </w:r>
      <w:r>
        <w:rPr>
          <w:rFonts w:hint="eastAsia"/>
          <w:sz w:val="32"/>
          <w:szCs w:val="32"/>
        </w:rPr>
        <w:t>。决算数与年初预算数存在差异的主要原因是进行车改，车辆减少，压缩运行维护费支出。其中：</w:t>
      </w:r>
    </w:p>
    <w:p>
      <w:pPr>
        <w:adjustRightInd w:val="0"/>
        <w:rPr>
          <w:sz w:val="32"/>
          <w:szCs w:val="32"/>
        </w:rPr>
      </w:pPr>
    </w:p>
    <w:p>
      <w:pPr>
        <w:adjustRightInd w:val="0"/>
        <w:rPr>
          <w:sz w:val="32"/>
          <w:szCs w:val="32"/>
        </w:rPr>
      </w:pPr>
      <w:r>
        <w:rPr>
          <w:rFonts w:hint="eastAsia"/>
          <w:sz w:val="32"/>
          <w:szCs w:val="32"/>
        </w:rPr>
        <w:t>公务用车购置支出为</w:t>
      </w:r>
      <w:r>
        <w:rPr>
          <w:sz w:val="32"/>
          <w:szCs w:val="32"/>
        </w:rPr>
        <w:t>0</w:t>
      </w:r>
      <w:r>
        <w:rPr>
          <w:rFonts w:hint="eastAsia"/>
          <w:sz w:val="32"/>
          <w:szCs w:val="32"/>
        </w:rPr>
        <w:t>万元，购置车辆</w:t>
      </w:r>
      <w:r>
        <w:rPr>
          <w:sz w:val="32"/>
          <w:szCs w:val="32"/>
        </w:rPr>
        <w:t>0</w:t>
      </w:r>
      <w:r>
        <w:rPr>
          <w:rFonts w:hint="eastAsia"/>
          <w:sz w:val="32"/>
          <w:szCs w:val="32"/>
        </w:rPr>
        <w:t>辆，其中车</w:t>
      </w:r>
      <w:r>
        <w:rPr>
          <w:sz w:val="32"/>
          <w:szCs w:val="32"/>
        </w:rPr>
        <w:t>0</w:t>
      </w:r>
      <w:r>
        <w:rPr>
          <w:rFonts w:hint="eastAsia"/>
          <w:sz w:val="32"/>
          <w:szCs w:val="32"/>
        </w:rPr>
        <w:t>辆、车</w:t>
      </w:r>
      <w:r>
        <w:rPr>
          <w:sz w:val="32"/>
          <w:szCs w:val="32"/>
        </w:rPr>
        <w:t>0</w:t>
      </w:r>
      <w:r>
        <w:rPr>
          <w:rFonts w:hint="eastAsia"/>
          <w:sz w:val="32"/>
          <w:szCs w:val="32"/>
        </w:rPr>
        <w:t>辆。</w:t>
      </w:r>
    </w:p>
    <w:p>
      <w:pPr>
        <w:adjustRightInd w:val="0"/>
        <w:rPr>
          <w:sz w:val="32"/>
          <w:szCs w:val="32"/>
        </w:rPr>
      </w:pPr>
    </w:p>
    <w:p>
      <w:pPr>
        <w:adjustRightInd w:val="0"/>
        <w:rPr>
          <w:sz w:val="32"/>
          <w:szCs w:val="32"/>
        </w:rPr>
      </w:pPr>
      <w:r>
        <w:rPr>
          <w:rFonts w:hint="eastAsia"/>
          <w:sz w:val="32"/>
          <w:szCs w:val="32"/>
        </w:rPr>
        <w:t>公务用车运行</w:t>
      </w:r>
      <w:r>
        <w:rPr>
          <w:rFonts w:hint="eastAsia"/>
          <w:sz w:val="32"/>
          <w:szCs w:val="32"/>
          <w:lang w:val="en-US"/>
        </w:rPr>
        <w:t>2018年</w:t>
      </w:r>
      <w:r>
        <w:rPr>
          <w:rFonts w:hint="eastAsia"/>
          <w:sz w:val="32"/>
          <w:szCs w:val="32"/>
        </w:rPr>
        <w:t>支出</w:t>
      </w:r>
      <w:r>
        <w:rPr>
          <w:sz w:val="32"/>
          <w:szCs w:val="32"/>
        </w:rPr>
        <w:t>11.32</w:t>
      </w:r>
      <w:r>
        <w:rPr>
          <w:rFonts w:hint="eastAsia"/>
          <w:sz w:val="32"/>
          <w:szCs w:val="32"/>
        </w:rPr>
        <w:t>万元。比上年</w:t>
      </w:r>
      <w:r>
        <w:rPr>
          <w:rFonts w:hint="eastAsia"/>
          <w:sz w:val="32"/>
          <w:szCs w:val="32"/>
          <w:lang w:val="en-US"/>
        </w:rPr>
        <w:t>减少0.28万元，减少19%。</w:t>
      </w:r>
      <w:r>
        <w:rPr>
          <w:rFonts w:hint="eastAsia"/>
          <w:sz w:val="32"/>
          <w:szCs w:val="32"/>
        </w:rPr>
        <w:t>主要用于公务车辆维修维护、车辆加油、车辆保险。</w:t>
      </w:r>
      <w:r>
        <w:rPr>
          <w:sz w:val="32"/>
          <w:szCs w:val="32"/>
        </w:rPr>
        <w:t>2018</w:t>
      </w:r>
      <w:r>
        <w:rPr>
          <w:rFonts w:hint="eastAsia"/>
          <w:sz w:val="32"/>
          <w:szCs w:val="32"/>
        </w:rPr>
        <w:t>年期末，部门开支财政拨款的公务用车保有量为</w:t>
      </w:r>
      <w:r>
        <w:rPr>
          <w:sz w:val="32"/>
          <w:szCs w:val="32"/>
        </w:rPr>
        <w:t>5</w:t>
      </w:r>
      <w:r>
        <w:rPr>
          <w:rFonts w:hint="eastAsia"/>
          <w:sz w:val="32"/>
          <w:szCs w:val="32"/>
        </w:rPr>
        <w:t>辆。</w:t>
      </w:r>
    </w:p>
    <w:p>
      <w:pPr>
        <w:adjustRightInd w:val="0"/>
        <w:rPr>
          <w:sz w:val="32"/>
          <w:szCs w:val="32"/>
        </w:rPr>
      </w:pPr>
    </w:p>
    <w:p>
      <w:pPr>
        <w:adjustRightInd w:val="0"/>
        <w:rPr>
          <w:sz w:val="32"/>
          <w:szCs w:val="32"/>
        </w:rPr>
      </w:pPr>
      <w:r>
        <w:rPr>
          <w:sz w:val="32"/>
          <w:szCs w:val="32"/>
        </w:rPr>
        <w:t>3.</w:t>
      </w:r>
      <w:r>
        <w:rPr>
          <w:rFonts w:hint="eastAsia"/>
          <w:sz w:val="32"/>
          <w:szCs w:val="32"/>
        </w:rPr>
        <w:t>公务接待费初预算为</w:t>
      </w:r>
      <w:r>
        <w:rPr>
          <w:sz w:val="32"/>
          <w:szCs w:val="32"/>
        </w:rPr>
        <w:t>4</w:t>
      </w:r>
      <w:r>
        <w:rPr>
          <w:rFonts w:hint="eastAsia"/>
          <w:sz w:val="32"/>
          <w:szCs w:val="32"/>
        </w:rPr>
        <w:t>万元，</w:t>
      </w:r>
      <w:r>
        <w:rPr>
          <w:rFonts w:hint="eastAsia"/>
          <w:sz w:val="32"/>
          <w:szCs w:val="32"/>
          <w:lang w:val="en-US"/>
        </w:rPr>
        <w:t>2018年</w:t>
      </w:r>
      <w:r>
        <w:rPr>
          <w:rFonts w:hint="eastAsia"/>
          <w:sz w:val="32"/>
          <w:szCs w:val="32"/>
        </w:rPr>
        <w:t>支出决算为</w:t>
      </w:r>
      <w:r>
        <w:rPr>
          <w:sz w:val="32"/>
          <w:szCs w:val="32"/>
        </w:rPr>
        <w:t>1.05</w:t>
      </w:r>
      <w:r>
        <w:rPr>
          <w:rFonts w:hint="eastAsia"/>
          <w:sz w:val="32"/>
          <w:szCs w:val="32"/>
        </w:rPr>
        <w:t>万元，完成年初预算的</w:t>
      </w:r>
      <w:r>
        <w:rPr>
          <w:sz w:val="32"/>
          <w:szCs w:val="32"/>
        </w:rPr>
        <w:t>26.176575%</w:t>
      </w:r>
      <w:r>
        <w:rPr>
          <w:rFonts w:hint="eastAsia"/>
          <w:sz w:val="32"/>
          <w:szCs w:val="32"/>
        </w:rPr>
        <w:t>。决算数与年初预算数存在差异的主要原因是压缩接待费用。其中：</w:t>
      </w:r>
    </w:p>
    <w:p>
      <w:pPr>
        <w:adjustRightInd w:val="0"/>
        <w:rPr>
          <w:sz w:val="32"/>
          <w:szCs w:val="32"/>
        </w:rPr>
      </w:pPr>
    </w:p>
    <w:p>
      <w:pPr>
        <w:adjustRightInd w:val="0"/>
        <w:rPr>
          <w:sz w:val="32"/>
          <w:szCs w:val="32"/>
        </w:rPr>
      </w:pPr>
      <w:r>
        <w:rPr>
          <w:rFonts w:hint="eastAsia"/>
          <w:sz w:val="32"/>
          <w:szCs w:val="32"/>
        </w:rPr>
        <w:t>外宾接待支出</w:t>
      </w:r>
      <w:r>
        <w:rPr>
          <w:sz w:val="32"/>
          <w:szCs w:val="32"/>
        </w:rPr>
        <w:t>0</w:t>
      </w:r>
      <w:r>
        <w:rPr>
          <w:rFonts w:hint="eastAsia"/>
          <w:sz w:val="32"/>
          <w:szCs w:val="32"/>
        </w:rPr>
        <w:t>万元。主要用于。</w:t>
      </w:r>
      <w:r>
        <w:rPr>
          <w:sz w:val="32"/>
          <w:szCs w:val="32"/>
        </w:rPr>
        <w:t>2018</w:t>
      </w:r>
      <w:r>
        <w:rPr>
          <w:rFonts w:hint="eastAsia"/>
          <w:sz w:val="32"/>
          <w:szCs w:val="32"/>
        </w:rPr>
        <w:t>年共接待国（境）外来访团组</w:t>
      </w:r>
      <w:r>
        <w:rPr>
          <w:sz w:val="32"/>
          <w:szCs w:val="32"/>
        </w:rPr>
        <w:t>0</w:t>
      </w:r>
      <w:r>
        <w:rPr>
          <w:rFonts w:hint="eastAsia"/>
          <w:sz w:val="32"/>
          <w:szCs w:val="32"/>
        </w:rPr>
        <w:t>个、来访外宾</w:t>
      </w:r>
      <w:r>
        <w:rPr>
          <w:sz w:val="32"/>
          <w:szCs w:val="32"/>
        </w:rPr>
        <w:t>0</w:t>
      </w:r>
      <w:r>
        <w:rPr>
          <w:rFonts w:hint="eastAsia"/>
          <w:sz w:val="32"/>
          <w:szCs w:val="32"/>
        </w:rPr>
        <w:t>人次（不包括陪同人员）。来访人员主要包括：等。</w:t>
      </w:r>
    </w:p>
    <w:p>
      <w:pPr>
        <w:adjustRightInd w:val="0"/>
        <w:rPr>
          <w:sz w:val="32"/>
          <w:szCs w:val="32"/>
        </w:rPr>
      </w:pPr>
    </w:p>
    <w:p>
      <w:pPr>
        <w:adjustRightInd w:val="0"/>
        <w:rPr>
          <w:sz w:val="32"/>
          <w:szCs w:val="32"/>
        </w:rPr>
      </w:pPr>
      <w:r>
        <w:rPr>
          <w:rFonts w:hint="eastAsia"/>
          <w:sz w:val="32"/>
          <w:szCs w:val="32"/>
        </w:rPr>
        <w:t>其他国内公务接待</w:t>
      </w:r>
      <w:r>
        <w:rPr>
          <w:rFonts w:hint="eastAsia"/>
          <w:sz w:val="32"/>
          <w:szCs w:val="32"/>
          <w:lang w:val="en-US"/>
        </w:rPr>
        <w:t>2018年</w:t>
      </w:r>
      <w:r>
        <w:rPr>
          <w:rFonts w:hint="eastAsia"/>
          <w:sz w:val="32"/>
          <w:szCs w:val="32"/>
        </w:rPr>
        <w:t>支出</w:t>
      </w:r>
      <w:r>
        <w:rPr>
          <w:sz w:val="32"/>
          <w:szCs w:val="32"/>
        </w:rPr>
        <w:t>1.05</w:t>
      </w:r>
      <w:r>
        <w:rPr>
          <w:rFonts w:hint="eastAsia"/>
          <w:sz w:val="32"/>
          <w:szCs w:val="32"/>
        </w:rPr>
        <w:t>万元，</w:t>
      </w:r>
      <w:r>
        <w:rPr>
          <w:rFonts w:hint="eastAsia"/>
          <w:sz w:val="32"/>
          <w:szCs w:val="32"/>
          <w:lang w:val="en-US"/>
        </w:rPr>
        <w:t>比上年增加0.33万元，增加30%。</w:t>
      </w:r>
      <w:r>
        <w:rPr>
          <w:rFonts w:hint="eastAsia"/>
          <w:sz w:val="32"/>
          <w:szCs w:val="32"/>
        </w:rPr>
        <w:t>主要用于省市质监局、省市国检院、省市特检院、周边县区质监局。</w:t>
      </w:r>
      <w:r>
        <w:rPr>
          <w:sz w:val="32"/>
          <w:szCs w:val="32"/>
        </w:rPr>
        <w:t>2018</w:t>
      </w:r>
      <w:r>
        <w:rPr>
          <w:rFonts w:hint="eastAsia"/>
          <w:sz w:val="32"/>
          <w:szCs w:val="32"/>
        </w:rPr>
        <w:t>年共接待国内来访团组</w:t>
      </w:r>
      <w:r>
        <w:rPr>
          <w:sz w:val="32"/>
          <w:szCs w:val="32"/>
        </w:rPr>
        <w:t>30</w:t>
      </w:r>
      <w:r>
        <w:rPr>
          <w:rFonts w:hint="eastAsia"/>
          <w:sz w:val="32"/>
          <w:szCs w:val="32"/>
        </w:rPr>
        <w:t>个、来宾</w:t>
      </w:r>
      <w:r>
        <w:rPr>
          <w:sz w:val="32"/>
          <w:szCs w:val="32"/>
        </w:rPr>
        <w:t>150</w:t>
      </w:r>
      <w:r>
        <w:rPr>
          <w:rFonts w:hint="eastAsia"/>
          <w:sz w:val="32"/>
          <w:szCs w:val="32"/>
        </w:rPr>
        <w:t>人次（不包括陪同人员）。</w:t>
      </w:r>
    </w:p>
    <w:p>
      <w:pPr>
        <w:adjustRightInd w:val="0"/>
        <w:rPr>
          <w:sz w:val="32"/>
          <w:szCs w:val="32"/>
        </w:rPr>
      </w:pPr>
    </w:p>
    <w:p>
      <w:pPr>
        <w:adjustRightInd w:val="0"/>
        <w:rPr>
          <w:sz w:val="32"/>
          <w:szCs w:val="32"/>
        </w:rPr>
      </w:pPr>
      <w:r>
        <w:rPr>
          <w:rFonts w:hint="eastAsia"/>
          <w:sz w:val="32"/>
          <w:szCs w:val="32"/>
        </w:rPr>
        <w:t>八、预算绩效情况说明</w:t>
      </w:r>
    </w:p>
    <w:p>
      <w:pPr>
        <w:adjustRightInd w:val="0"/>
        <w:rPr>
          <w:sz w:val="32"/>
          <w:szCs w:val="32"/>
        </w:rPr>
      </w:pPr>
    </w:p>
    <w:p>
      <w:pPr>
        <w:adjustRightInd w:val="0"/>
        <w:rPr>
          <w:sz w:val="32"/>
          <w:szCs w:val="32"/>
        </w:rPr>
      </w:pPr>
      <w:r>
        <w:rPr>
          <w:rFonts w:hint="eastAsia"/>
          <w:sz w:val="32"/>
          <w:szCs w:val="32"/>
        </w:rPr>
        <w:t>（一）绩效管理工作开展情况。</w:t>
      </w:r>
    </w:p>
    <w:p>
      <w:pPr>
        <w:adjustRightInd w:val="0"/>
        <w:rPr>
          <w:sz w:val="32"/>
          <w:szCs w:val="32"/>
        </w:rPr>
      </w:pPr>
    </w:p>
    <w:p>
      <w:pPr>
        <w:adjustRightInd w:val="0"/>
        <w:rPr>
          <w:sz w:val="32"/>
          <w:szCs w:val="32"/>
        </w:rPr>
      </w:pPr>
      <w:r>
        <w:rPr>
          <w:sz w:val="32"/>
          <w:szCs w:val="32"/>
        </w:rPr>
        <w:t>2018</w:t>
      </w:r>
      <w:r>
        <w:rPr>
          <w:rFonts w:hint="eastAsia"/>
          <w:sz w:val="32"/>
          <w:szCs w:val="32"/>
        </w:rPr>
        <w:t>年，我局无绩效管理预算。</w:t>
      </w:r>
    </w:p>
    <w:p>
      <w:pPr>
        <w:adjustRightInd w:val="0"/>
        <w:rPr>
          <w:sz w:val="32"/>
          <w:szCs w:val="32"/>
        </w:rPr>
      </w:pPr>
    </w:p>
    <w:p>
      <w:pPr>
        <w:adjustRightInd w:val="0"/>
        <w:rPr>
          <w:sz w:val="32"/>
          <w:szCs w:val="32"/>
        </w:rPr>
      </w:pPr>
      <w:r>
        <w:rPr>
          <w:rFonts w:hint="eastAsia"/>
          <w:sz w:val="32"/>
          <w:szCs w:val="32"/>
        </w:rPr>
        <w:t>（二）项目绩效自评结果。</w:t>
      </w:r>
    </w:p>
    <w:p>
      <w:pPr>
        <w:adjustRightInd w:val="0"/>
        <w:ind w:firstLine="160" w:firstLineChars="50"/>
        <w:rPr>
          <w:sz w:val="32"/>
          <w:szCs w:val="32"/>
        </w:rPr>
      </w:pPr>
      <w:r>
        <w:rPr>
          <w:sz w:val="32"/>
          <w:szCs w:val="32"/>
        </w:rPr>
        <w:t>2018</w:t>
      </w:r>
      <w:r>
        <w:rPr>
          <w:rFonts w:hint="eastAsia"/>
          <w:sz w:val="32"/>
          <w:szCs w:val="32"/>
        </w:rPr>
        <w:t>年，我局项目绩效自评良好。</w:t>
      </w:r>
    </w:p>
    <w:p>
      <w:pPr>
        <w:adjustRightInd w:val="0"/>
        <w:rPr>
          <w:sz w:val="32"/>
          <w:szCs w:val="32"/>
        </w:rPr>
      </w:pPr>
      <w:r>
        <w:rPr>
          <w:rFonts w:hint="eastAsia"/>
          <w:sz w:val="32"/>
          <w:szCs w:val="32"/>
        </w:rPr>
        <w:t>（三）以部门为主体开展的重点绩效评价结果。</w:t>
      </w:r>
    </w:p>
    <w:p>
      <w:pPr>
        <w:spacing w:line="600" w:lineRule="exact"/>
        <w:ind w:firstLine="696" w:firstLineChars="200"/>
        <w:rPr>
          <w:spacing w:val="14"/>
          <w:sz w:val="32"/>
          <w:szCs w:val="32"/>
        </w:rPr>
      </w:pPr>
      <w:r>
        <w:rPr>
          <w:spacing w:val="14"/>
          <w:sz w:val="32"/>
          <w:szCs w:val="32"/>
        </w:rPr>
        <w:t>2018</w:t>
      </w:r>
      <w:r>
        <w:rPr>
          <w:rFonts w:hint="eastAsia"/>
          <w:spacing w:val="14"/>
          <w:sz w:val="32"/>
          <w:szCs w:val="32"/>
        </w:rPr>
        <w:t>年该项目主要用于计量器具和矿产品、建材质量检定政策宣传、办公费等工作中，通过项目的推进确保企业及群众工作正常开展，最大程度维护群众合法权益，全力构建和谐环境。</w:t>
      </w:r>
    </w:p>
    <w:p>
      <w:pPr>
        <w:adjustRightInd w:val="0"/>
        <w:rPr>
          <w:sz w:val="32"/>
          <w:szCs w:val="32"/>
        </w:rPr>
      </w:pPr>
    </w:p>
    <w:p>
      <w:pPr>
        <w:adjustRightInd w:val="0"/>
        <w:rPr>
          <w:sz w:val="32"/>
          <w:szCs w:val="32"/>
        </w:rPr>
      </w:pPr>
      <w:r>
        <w:rPr>
          <w:rFonts w:hint="eastAsia"/>
          <w:sz w:val="32"/>
          <w:szCs w:val="32"/>
        </w:rPr>
        <w:t>九、政府性基金预算财政拨款支出决算情况说明</w:t>
      </w:r>
    </w:p>
    <w:p>
      <w:pPr>
        <w:adjustRightInd w:val="0"/>
        <w:rPr>
          <w:sz w:val="32"/>
          <w:szCs w:val="32"/>
        </w:rPr>
      </w:pPr>
    </w:p>
    <w:p>
      <w:pPr>
        <w:adjustRightInd w:val="0"/>
        <w:rPr>
          <w:sz w:val="32"/>
          <w:szCs w:val="32"/>
        </w:rPr>
      </w:pPr>
      <w:r>
        <w:rPr>
          <w:sz w:val="32"/>
          <w:szCs w:val="32"/>
        </w:rPr>
        <w:t>2018</w:t>
      </w:r>
      <w:r>
        <w:rPr>
          <w:rFonts w:hint="eastAsia"/>
          <w:sz w:val="32"/>
          <w:szCs w:val="32"/>
        </w:rPr>
        <w:t>年度政府性基金预算财政拨款支出年初预算为</w:t>
      </w:r>
      <w:r>
        <w:rPr>
          <w:sz w:val="32"/>
          <w:szCs w:val="32"/>
        </w:rPr>
        <w:t>0</w:t>
      </w:r>
      <w:r>
        <w:rPr>
          <w:rFonts w:hint="eastAsia"/>
          <w:sz w:val="32"/>
          <w:szCs w:val="32"/>
        </w:rPr>
        <w:t>万元，支出决算为</w:t>
      </w:r>
      <w:r>
        <w:rPr>
          <w:sz w:val="32"/>
          <w:szCs w:val="32"/>
        </w:rPr>
        <w:t>0</w:t>
      </w:r>
      <w:r>
        <w:rPr>
          <w:rFonts w:hint="eastAsia"/>
          <w:sz w:val="32"/>
          <w:szCs w:val="32"/>
        </w:rPr>
        <w:t>万元，完成年初预算的</w:t>
      </w:r>
      <w:r>
        <w:rPr>
          <w:sz w:val="32"/>
          <w:szCs w:val="32"/>
        </w:rPr>
        <w:t>0%</w:t>
      </w:r>
      <w:r>
        <w:rPr>
          <w:rFonts w:hint="eastAsia"/>
          <w:sz w:val="32"/>
          <w:szCs w:val="32"/>
        </w:rPr>
        <w:t>。主要用于……，其中××等项目年末结转和结余资金数额较大，主要原因：……。</w:t>
      </w:r>
    </w:p>
    <w:p>
      <w:pPr>
        <w:adjustRightInd w:val="0"/>
        <w:rPr>
          <w:sz w:val="32"/>
          <w:szCs w:val="32"/>
        </w:rPr>
      </w:pPr>
    </w:p>
    <w:p>
      <w:pPr>
        <w:adjustRightInd w:val="0"/>
        <w:rPr>
          <w:sz w:val="32"/>
          <w:szCs w:val="32"/>
        </w:rPr>
      </w:pPr>
      <w:r>
        <w:rPr>
          <w:rFonts w:hint="eastAsia"/>
          <w:sz w:val="32"/>
          <w:szCs w:val="32"/>
        </w:rPr>
        <w:t>十、机关运行经费支出情况说明</w:t>
      </w:r>
    </w:p>
    <w:p>
      <w:pPr>
        <w:adjustRightInd w:val="0"/>
        <w:rPr>
          <w:sz w:val="32"/>
          <w:szCs w:val="32"/>
        </w:rPr>
      </w:pPr>
    </w:p>
    <w:p>
      <w:pPr>
        <w:adjustRightInd w:val="0"/>
        <w:rPr>
          <w:sz w:val="32"/>
          <w:szCs w:val="32"/>
        </w:rPr>
      </w:pPr>
      <w:r>
        <w:rPr>
          <w:sz w:val="32"/>
          <w:szCs w:val="32"/>
        </w:rPr>
        <w:t>2018</w:t>
      </w:r>
      <w:r>
        <w:rPr>
          <w:rFonts w:hint="eastAsia"/>
          <w:sz w:val="32"/>
          <w:szCs w:val="32"/>
        </w:rPr>
        <w:t>年度机关运行经费初预算为</w:t>
      </w:r>
      <w:r>
        <w:rPr>
          <w:sz w:val="32"/>
          <w:szCs w:val="32"/>
        </w:rPr>
        <w:t>39.3</w:t>
      </w:r>
      <w:r>
        <w:rPr>
          <w:rFonts w:hint="eastAsia"/>
          <w:sz w:val="32"/>
          <w:szCs w:val="32"/>
        </w:rPr>
        <w:t>万元，支出决算为</w:t>
      </w:r>
      <w:r>
        <w:rPr>
          <w:sz w:val="32"/>
          <w:szCs w:val="32"/>
        </w:rPr>
        <w:t>37.45</w:t>
      </w:r>
      <w:r>
        <w:rPr>
          <w:rFonts w:hint="eastAsia"/>
          <w:sz w:val="32"/>
          <w:szCs w:val="32"/>
        </w:rPr>
        <w:t>万元，完成年初预算的</w:t>
      </w:r>
      <w:r>
        <w:rPr>
          <w:sz w:val="32"/>
          <w:szCs w:val="32"/>
        </w:rPr>
        <w:t>95%</w:t>
      </w:r>
      <w:r>
        <w:rPr>
          <w:rFonts w:hint="eastAsia"/>
          <w:sz w:val="32"/>
          <w:szCs w:val="32"/>
        </w:rPr>
        <w:t>。比上年减少</w:t>
      </w:r>
      <w:r>
        <w:rPr>
          <w:rFonts w:hint="eastAsia"/>
          <w:sz w:val="32"/>
          <w:szCs w:val="32"/>
          <w:lang w:val="en-US"/>
        </w:rPr>
        <w:t>1.38万元，减少30%。</w:t>
      </w:r>
      <w:r>
        <w:rPr>
          <w:rFonts w:hint="eastAsia"/>
          <w:sz w:val="32"/>
          <w:szCs w:val="32"/>
        </w:rPr>
        <w:t>决算数与年初预算数存在差异的主要原因是压缩办公费开支。</w:t>
      </w:r>
    </w:p>
    <w:p>
      <w:pPr>
        <w:adjustRightInd w:val="0"/>
        <w:rPr>
          <w:sz w:val="32"/>
          <w:szCs w:val="32"/>
        </w:rPr>
      </w:pPr>
    </w:p>
    <w:p>
      <w:pPr>
        <w:adjustRightInd w:val="0"/>
        <w:rPr>
          <w:sz w:val="32"/>
          <w:szCs w:val="32"/>
        </w:rPr>
      </w:pPr>
      <w:r>
        <w:rPr>
          <w:rFonts w:hint="eastAsia"/>
          <w:sz w:val="32"/>
          <w:szCs w:val="32"/>
        </w:rPr>
        <w:t>十一、政府采购支出情况说明</w:t>
      </w:r>
    </w:p>
    <w:p>
      <w:pPr>
        <w:adjustRightInd w:val="0"/>
        <w:rPr>
          <w:sz w:val="32"/>
          <w:szCs w:val="32"/>
        </w:rPr>
      </w:pPr>
    </w:p>
    <w:p>
      <w:pPr>
        <w:adjustRightInd w:val="0"/>
        <w:rPr>
          <w:sz w:val="32"/>
          <w:szCs w:val="32"/>
        </w:rPr>
      </w:pPr>
      <w:r>
        <w:rPr>
          <w:sz w:val="32"/>
          <w:szCs w:val="32"/>
        </w:rPr>
        <w:t>2018</w:t>
      </w:r>
      <w:r>
        <w:rPr>
          <w:rFonts w:hint="eastAsia"/>
          <w:sz w:val="32"/>
          <w:szCs w:val="32"/>
        </w:rPr>
        <w:t>年度政府采购支出总额</w:t>
      </w:r>
      <w:r>
        <w:rPr>
          <w:sz w:val="32"/>
          <w:szCs w:val="32"/>
        </w:rPr>
        <w:t>41.5</w:t>
      </w:r>
      <w:r>
        <w:rPr>
          <w:rFonts w:hint="eastAsia"/>
          <w:sz w:val="32"/>
          <w:szCs w:val="32"/>
        </w:rPr>
        <w:t>万元，其中：政府采购货物支出</w:t>
      </w:r>
      <w:r>
        <w:rPr>
          <w:sz w:val="32"/>
          <w:szCs w:val="32"/>
        </w:rPr>
        <w:t>41.5</w:t>
      </w:r>
      <w:r>
        <w:rPr>
          <w:rFonts w:hint="eastAsia"/>
          <w:sz w:val="32"/>
          <w:szCs w:val="32"/>
        </w:rPr>
        <w:t>万元、政府采购工程支出</w:t>
      </w:r>
      <w:r>
        <w:rPr>
          <w:sz w:val="32"/>
          <w:szCs w:val="32"/>
        </w:rPr>
        <w:t>0</w:t>
      </w:r>
      <w:r>
        <w:rPr>
          <w:rFonts w:hint="eastAsia"/>
          <w:sz w:val="32"/>
          <w:szCs w:val="32"/>
        </w:rPr>
        <w:t>万元、政府采购服务支出</w:t>
      </w:r>
      <w:r>
        <w:rPr>
          <w:sz w:val="32"/>
          <w:szCs w:val="32"/>
        </w:rPr>
        <w:t>0</w:t>
      </w:r>
      <w:r>
        <w:rPr>
          <w:rFonts w:hint="eastAsia"/>
          <w:sz w:val="32"/>
          <w:szCs w:val="32"/>
        </w:rPr>
        <w:t>万元。授予中小企业合同金额</w:t>
      </w:r>
      <w:r>
        <w:rPr>
          <w:sz w:val="32"/>
          <w:szCs w:val="32"/>
        </w:rPr>
        <w:t>41.5</w:t>
      </w:r>
      <w:r>
        <w:rPr>
          <w:rFonts w:hint="eastAsia"/>
          <w:sz w:val="32"/>
          <w:szCs w:val="32"/>
        </w:rPr>
        <w:t>万元，占政府采购支出总额的</w:t>
      </w:r>
      <w:r>
        <w:rPr>
          <w:sz w:val="32"/>
          <w:szCs w:val="32"/>
        </w:rPr>
        <w:t>100%</w:t>
      </w:r>
      <w:r>
        <w:rPr>
          <w:rFonts w:hint="eastAsia"/>
          <w:sz w:val="32"/>
          <w:szCs w:val="32"/>
        </w:rPr>
        <w:t>，其中：授予小微企业合同金额</w:t>
      </w:r>
      <w:r>
        <w:rPr>
          <w:sz w:val="32"/>
          <w:szCs w:val="32"/>
        </w:rPr>
        <w:t>39.4250</w:t>
      </w:r>
      <w:r>
        <w:rPr>
          <w:rFonts w:hint="eastAsia"/>
          <w:sz w:val="32"/>
          <w:szCs w:val="32"/>
        </w:rPr>
        <w:t>万元，占政府采购支出总额的</w:t>
      </w:r>
      <w:r>
        <w:rPr>
          <w:sz w:val="32"/>
          <w:szCs w:val="32"/>
        </w:rPr>
        <w:t>95%</w:t>
      </w:r>
      <w:r>
        <w:rPr>
          <w:rFonts w:hint="eastAsia"/>
          <w:sz w:val="32"/>
          <w:szCs w:val="32"/>
        </w:rPr>
        <w:t>。</w:t>
      </w:r>
    </w:p>
    <w:p>
      <w:pPr>
        <w:adjustRightInd w:val="0"/>
        <w:rPr>
          <w:sz w:val="32"/>
          <w:szCs w:val="32"/>
        </w:rPr>
      </w:pPr>
    </w:p>
    <w:p>
      <w:pPr>
        <w:adjustRightInd w:val="0"/>
        <w:rPr>
          <w:sz w:val="32"/>
          <w:szCs w:val="32"/>
        </w:rPr>
      </w:pPr>
      <w:r>
        <w:rPr>
          <w:rFonts w:hint="eastAsia"/>
          <w:sz w:val="32"/>
          <w:szCs w:val="32"/>
        </w:rPr>
        <w:t>十二、国有资产占用情况说明</w:t>
      </w:r>
    </w:p>
    <w:p>
      <w:pPr>
        <w:adjustRightInd w:val="0"/>
        <w:rPr>
          <w:sz w:val="32"/>
          <w:szCs w:val="32"/>
        </w:rPr>
      </w:pPr>
    </w:p>
    <w:p>
      <w:pPr>
        <w:adjustRightInd w:val="0"/>
        <w:rPr>
          <w:sz w:val="32"/>
          <w:szCs w:val="32"/>
        </w:rPr>
      </w:pPr>
      <w:r>
        <w:rPr>
          <w:sz w:val="32"/>
          <w:szCs w:val="32"/>
        </w:rPr>
        <w:t>2018</w:t>
      </w:r>
      <w:r>
        <w:rPr>
          <w:rFonts w:hint="eastAsia"/>
          <w:sz w:val="32"/>
          <w:szCs w:val="32"/>
        </w:rPr>
        <w:t>年期末，我部门共有车辆</w:t>
      </w:r>
      <w:r>
        <w:rPr>
          <w:sz w:val="32"/>
          <w:szCs w:val="32"/>
        </w:rPr>
        <w:t>5</w:t>
      </w:r>
      <w:r>
        <w:rPr>
          <w:rFonts w:hint="eastAsia"/>
          <w:sz w:val="32"/>
          <w:szCs w:val="32"/>
        </w:rPr>
        <w:t>辆，其中：省级领导干部用车</w:t>
      </w:r>
      <w:r>
        <w:rPr>
          <w:sz w:val="32"/>
          <w:szCs w:val="32"/>
        </w:rPr>
        <w:t>0</w:t>
      </w:r>
      <w:r>
        <w:rPr>
          <w:rFonts w:hint="eastAsia"/>
          <w:sz w:val="32"/>
          <w:szCs w:val="32"/>
        </w:rPr>
        <w:t>辆、主要领导干部用车</w:t>
      </w:r>
      <w:r>
        <w:rPr>
          <w:sz w:val="32"/>
          <w:szCs w:val="32"/>
        </w:rPr>
        <w:t>0</w:t>
      </w:r>
      <w:r>
        <w:rPr>
          <w:rFonts w:hint="eastAsia"/>
          <w:sz w:val="32"/>
          <w:szCs w:val="32"/>
        </w:rPr>
        <w:t>辆、机要通信用车</w:t>
      </w:r>
      <w:r>
        <w:rPr>
          <w:sz w:val="32"/>
          <w:szCs w:val="32"/>
        </w:rPr>
        <w:t>2</w:t>
      </w:r>
      <w:r>
        <w:rPr>
          <w:rFonts w:hint="eastAsia"/>
          <w:sz w:val="32"/>
          <w:szCs w:val="32"/>
        </w:rPr>
        <w:t>辆、应急保障车</w:t>
      </w:r>
      <w:r>
        <w:rPr>
          <w:sz w:val="32"/>
          <w:szCs w:val="32"/>
        </w:rPr>
        <w:t>2</w:t>
      </w:r>
      <w:r>
        <w:rPr>
          <w:rFonts w:hint="eastAsia"/>
          <w:sz w:val="32"/>
          <w:szCs w:val="32"/>
        </w:rPr>
        <w:t>辆、执法执勤用车</w:t>
      </w:r>
      <w:r>
        <w:rPr>
          <w:sz w:val="32"/>
          <w:szCs w:val="32"/>
        </w:rPr>
        <w:t>0</w:t>
      </w:r>
      <w:r>
        <w:rPr>
          <w:rFonts w:hint="eastAsia"/>
          <w:sz w:val="32"/>
          <w:szCs w:val="32"/>
        </w:rPr>
        <w:t>辆、特种专业技术用车</w:t>
      </w:r>
      <w:r>
        <w:rPr>
          <w:sz w:val="32"/>
          <w:szCs w:val="32"/>
        </w:rPr>
        <w:t>1</w:t>
      </w:r>
      <w:r>
        <w:rPr>
          <w:rFonts w:hint="eastAsia"/>
          <w:sz w:val="32"/>
          <w:szCs w:val="32"/>
        </w:rPr>
        <w:t>辆、离退休干部用车</w:t>
      </w:r>
      <w:r>
        <w:rPr>
          <w:sz w:val="32"/>
          <w:szCs w:val="32"/>
        </w:rPr>
        <w:t>0</w:t>
      </w:r>
      <w:r>
        <w:rPr>
          <w:rFonts w:hint="eastAsia"/>
          <w:sz w:val="32"/>
          <w:szCs w:val="32"/>
        </w:rPr>
        <w:t>辆、其他用车</w:t>
      </w:r>
      <w:r>
        <w:rPr>
          <w:sz w:val="32"/>
          <w:szCs w:val="32"/>
        </w:rPr>
        <w:t>0</w:t>
      </w:r>
      <w:r>
        <w:rPr>
          <w:rFonts w:hint="eastAsia"/>
          <w:sz w:val="32"/>
          <w:szCs w:val="32"/>
        </w:rPr>
        <w:t>辆；单位价值</w:t>
      </w:r>
      <w:r>
        <w:rPr>
          <w:sz w:val="32"/>
          <w:szCs w:val="32"/>
        </w:rPr>
        <w:t>50</w:t>
      </w:r>
      <w:r>
        <w:rPr>
          <w:rFonts w:hint="eastAsia"/>
          <w:sz w:val="32"/>
          <w:szCs w:val="32"/>
        </w:rPr>
        <w:t>万元以上通用设备</w:t>
      </w:r>
      <w:r>
        <w:rPr>
          <w:sz w:val="32"/>
          <w:szCs w:val="32"/>
        </w:rPr>
        <w:t>0</w:t>
      </w:r>
      <w:r>
        <w:rPr>
          <w:rFonts w:hint="eastAsia"/>
          <w:sz w:val="32"/>
          <w:szCs w:val="32"/>
        </w:rPr>
        <w:t>台（套），单位价值</w:t>
      </w:r>
      <w:r>
        <w:rPr>
          <w:sz w:val="32"/>
          <w:szCs w:val="32"/>
        </w:rPr>
        <w:t>100</w:t>
      </w:r>
      <w:r>
        <w:rPr>
          <w:rFonts w:hint="eastAsia"/>
          <w:sz w:val="32"/>
          <w:szCs w:val="32"/>
        </w:rPr>
        <w:t>万元以上专用设备</w:t>
      </w:r>
      <w:r>
        <w:rPr>
          <w:sz w:val="32"/>
          <w:szCs w:val="32"/>
        </w:rPr>
        <w:t>0</w:t>
      </w:r>
      <w:r>
        <w:rPr>
          <w:rFonts w:hint="eastAsia"/>
          <w:sz w:val="32"/>
          <w:szCs w:val="32"/>
        </w:rPr>
        <w:t>台（套）。</w:t>
      </w:r>
    </w:p>
    <w:p>
      <w:pPr>
        <w:pStyle w:val="3"/>
        <w:spacing w:before="227"/>
        <w:ind w:right="217"/>
        <w:rPr>
          <w:rFonts w:hint="eastAsia"/>
        </w:rPr>
      </w:pPr>
    </w:p>
    <w:p>
      <w:pPr>
        <w:pStyle w:val="3"/>
        <w:spacing w:before="227"/>
        <w:ind w:right="217"/>
        <w:rPr>
          <w:rFonts w:hint="eastAsia"/>
        </w:rPr>
      </w:pPr>
    </w:p>
    <w:p>
      <w:pPr>
        <w:pStyle w:val="3"/>
        <w:spacing w:before="227"/>
        <w:ind w:right="217"/>
        <w:rPr>
          <w:rFonts w:hint="eastAsia"/>
        </w:rPr>
      </w:pPr>
    </w:p>
    <w:p>
      <w:pPr>
        <w:pStyle w:val="3"/>
        <w:spacing w:before="227"/>
        <w:ind w:right="217"/>
        <w:rPr>
          <w:rFonts w:hint="eastAsia"/>
        </w:rPr>
      </w:pPr>
    </w:p>
    <w:p>
      <w:pPr>
        <w:pStyle w:val="3"/>
        <w:spacing w:before="227"/>
        <w:ind w:right="217"/>
        <w:rPr>
          <w:rFonts w:hint="eastAsia"/>
        </w:rPr>
      </w:pPr>
    </w:p>
    <w:p>
      <w:pPr>
        <w:pStyle w:val="3"/>
        <w:spacing w:before="227"/>
        <w:ind w:right="217"/>
        <w:rPr>
          <w:rFonts w:hint="eastAsia"/>
        </w:rPr>
      </w:pPr>
    </w:p>
    <w:p>
      <w:pPr>
        <w:pStyle w:val="3"/>
        <w:spacing w:before="227"/>
        <w:ind w:right="217"/>
        <w:rPr>
          <w:rFonts w:hint="eastAsia"/>
        </w:rPr>
      </w:pPr>
    </w:p>
    <w:p>
      <w:pPr>
        <w:pStyle w:val="3"/>
        <w:spacing w:before="227"/>
        <w:ind w:right="217"/>
        <w:rPr>
          <w:rFonts w:hint="eastAsia"/>
        </w:rPr>
      </w:pPr>
    </w:p>
    <w:p>
      <w:pPr>
        <w:pStyle w:val="3"/>
        <w:spacing w:before="227"/>
        <w:ind w:right="217"/>
        <w:rPr>
          <w:rFonts w:hint="eastAsia"/>
        </w:rPr>
      </w:pPr>
    </w:p>
    <w:p>
      <w:pPr>
        <w:pStyle w:val="3"/>
        <w:spacing w:before="227"/>
        <w:ind w:right="217"/>
        <w:rPr>
          <w:rFonts w:hint="eastAsia"/>
        </w:rPr>
      </w:pPr>
    </w:p>
    <w:p>
      <w:pPr>
        <w:pStyle w:val="3"/>
        <w:spacing w:before="227"/>
        <w:ind w:right="217"/>
        <w:rPr>
          <w:rFonts w:hint="eastAsia"/>
        </w:rPr>
      </w:pPr>
    </w:p>
    <w:p>
      <w:pPr>
        <w:pStyle w:val="3"/>
        <w:spacing w:before="227"/>
        <w:ind w:right="217"/>
        <w:rPr>
          <w:rFonts w:hint="eastAsia"/>
        </w:rPr>
      </w:pPr>
    </w:p>
    <w:p>
      <w:pPr>
        <w:pStyle w:val="3"/>
        <w:spacing w:before="227"/>
        <w:ind w:right="217"/>
        <w:rPr>
          <w:rFonts w:hint="eastAsia"/>
        </w:rPr>
      </w:pPr>
    </w:p>
    <w:p>
      <w:pPr>
        <w:pStyle w:val="3"/>
        <w:spacing w:before="227"/>
        <w:ind w:right="217"/>
        <w:rPr>
          <w:rFonts w:hint="eastAsia"/>
        </w:rPr>
      </w:pPr>
    </w:p>
    <w:p>
      <w:pPr>
        <w:pStyle w:val="3"/>
        <w:spacing w:before="227"/>
        <w:ind w:right="217"/>
        <w:rPr>
          <w:rFonts w:hint="eastAsia"/>
        </w:rPr>
      </w:pPr>
    </w:p>
    <w:p>
      <w:pPr>
        <w:pStyle w:val="3"/>
        <w:spacing w:before="227"/>
        <w:ind w:right="217"/>
        <w:rPr>
          <w:rFonts w:hint="eastAsia"/>
        </w:rPr>
      </w:pPr>
    </w:p>
    <w:p>
      <w:pPr>
        <w:pStyle w:val="3"/>
        <w:spacing w:before="227"/>
        <w:ind w:right="217"/>
      </w:pPr>
    </w:p>
    <w:p>
      <w:pPr>
        <w:pStyle w:val="3"/>
        <w:spacing w:before="227"/>
        <w:ind w:left="108" w:right="217"/>
        <w:jc w:val="center"/>
        <w:rPr>
          <w:rFonts w:ascii="黑体" w:hAnsi="黑体" w:eastAsia="黑体"/>
          <w:sz w:val="48"/>
          <w:szCs w:val="48"/>
        </w:rPr>
      </w:pPr>
      <w:r>
        <w:rPr>
          <w:rFonts w:hint="eastAsia" w:ascii="黑体" w:hAnsi="黑体" w:eastAsia="黑体"/>
          <w:sz w:val="48"/>
          <w:szCs w:val="48"/>
        </w:rPr>
        <w:t>第四部分 名词解释</w:t>
      </w:r>
    </w:p>
    <w:p>
      <w:pPr>
        <w:pStyle w:val="3"/>
        <w:ind w:left="0"/>
      </w:pPr>
    </w:p>
    <w:p>
      <w:pPr>
        <w:pStyle w:val="3"/>
        <w:spacing w:before="2"/>
        <w:ind w:left="0"/>
        <w:rPr>
          <w:sz w:val="28"/>
        </w:rPr>
      </w:pPr>
    </w:p>
    <w:p>
      <w:pPr>
        <w:pStyle w:val="3"/>
        <w:spacing w:line="348" w:lineRule="auto"/>
        <w:ind w:right="230" w:firstLine="640"/>
      </w:pPr>
      <w:r>
        <w:rPr>
          <w:rFonts w:hint="eastAsia"/>
          <w:w w:val="95"/>
        </w:rPr>
        <w:t>（一</w:t>
      </w:r>
      <w:r>
        <w:rPr>
          <w:rFonts w:hint="eastAsia"/>
          <w:spacing w:val="-29"/>
          <w:w w:val="95"/>
        </w:rPr>
        <w:t>）</w:t>
      </w:r>
      <w:r>
        <w:rPr>
          <w:rFonts w:hint="eastAsia"/>
          <w:spacing w:val="-6"/>
          <w:w w:val="95"/>
        </w:rPr>
        <w:t>基本支出：指行政事业单位用于为保障其机构正常运</w:t>
      </w:r>
      <w:r>
        <w:rPr>
          <w:rFonts w:hint="eastAsia"/>
        </w:rPr>
        <w:t>转、完成日常工作任务而发生的人员支出和公用支出。</w:t>
      </w:r>
    </w:p>
    <w:p>
      <w:pPr>
        <w:pStyle w:val="3"/>
        <w:spacing w:line="345" w:lineRule="auto"/>
        <w:ind w:right="230" w:firstLine="640"/>
      </w:pPr>
      <w:r>
        <w:rPr>
          <w:rFonts w:hint="eastAsia"/>
          <w:w w:val="95"/>
        </w:rPr>
        <w:t>（二</w:t>
      </w:r>
      <w:r>
        <w:rPr>
          <w:rFonts w:hint="eastAsia"/>
          <w:spacing w:val="-29"/>
          <w:w w:val="95"/>
        </w:rPr>
        <w:t>）</w:t>
      </w:r>
      <w:r>
        <w:rPr>
          <w:rFonts w:hint="eastAsia"/>
          <w:spacing w:val="-6"/>
          <w:w w:val="95"/>
        </w:rPr>
        <w:t>项目支出：指在基本支出之外为完成特定的行政工作</w:t>
      </w:r>
      <w:r>
        <w:rPr>
          <w:rFonts w:hint="eastAsia"/>
        </w:rPr>
        <w:t>任务或事业发展目标所发生的支出。</w:t>
      </w:r>
    </w:p>
    <w:p>
      <w:pPr>
        <w:pStyle w:val="3"/>
        <w:spacing w:line="348" w:lineRule="auto"/>
        <w:ind w:right="220" w:firstLine="640"/>
      </w:pPr>
      <w:r>
        <w:rPr>
          <w:rFonts w:hint="eastAsia"/>
          <w:spacing w:val="4"/>
          <w:w w:val="99"/>
        </w:rPr>
        <w:t>（三</w:t>
      </w:r>
      <w:r>
        <w:rPr>
          <w:rFonts w:hint="eastAsia"/>
          <w:spacing w:val="-156"/>
          <w:w w:val="99"/>
        </w:rPr>
        <w:t>）</w:t>
      </w:r>
      <w:r>
        <w:rPr>
          <w:rFonts w:hint="eastAsia"/>
          <w:spacing w:val="1"/>
          <w:w w:val="99"/>
        </w:rPr>
        <w:t>“三公”经费：包括因公出国</w:t>
      </w:r>
      <w:r>
        <w:rPr>
          <w:spacing w:val="1"/>
          <w:w w:val="99"/>
        </w:rPr>
        <w:t>(</w:t>
      </w:r>
      <w:r>
        <w:rPr>
          <w:rFonts w:hint="eastAsia"/>
          <w:spacing w:val="1"/>
          <w:w w:val="99"/>
        </w:rPr>
        <w:t>境</w:t>
      </w:r>
      <w:r>
        <w:rPr>
          <w:spacing w:val="1"/>
          <w:w w:val="99"/>
        </w:rPr>
        <w:t>)</w:t>
      </w:r>
      <w:r>
        <w:rPr>
          <w:rFonts w:hint="eastAsia"/>
          <w:spacing w:val="1"/>
          <w:w w:val="99"/>
        </w:rPr>
        <w:t>费、公务用车购置</w:t>
      </w:r>
      <w:r>
        <w:rPr>
          <w:rFonts w:hint="eastAsia"/>
          <w:spacing w:val="-5"/>
          <w:w w:val="95"/>
        </w:rPr>
        <w:t>及运行费和公务接待费。其中，因公出国</w:t>
      </w:r>
      <w:r>
        <w:rPr>
          <w:spacing w:val="-5"/>
          <w:w w:val="95"/>
        </w:rPr>
        <w:t>(</w:t>
      </w:r>
      <w:r>
        <w:rPr>
          <w:rFonts w:hint="eastAsia"/>
          <w:spacing w:val="-5"/>
          <w:w w:val="95"/>
        </w:rPr>
        <w:t>境</w:t>
      </w:r>
      <w:r>
        <w:rPr>
          <w:spacing w:val="-5"/>
          <w:w w:val="95"/>
        </w:rPr>
        <w:t>)</w:t>
      </w:r>
      <w:r>
        <w:rPr>
          <w:rFonts w:hint="eastAsia"/>
          <w:spacing w:val="-5"/>
          <w:w w:val="95"/>
        </w:rPr>
        <w:t>费指单位公务出国</w:t>
      </w:r>
    </w:p>
    <w:p>
      <w:pPr>
        <w:spacing w:line="348" w:lineRule="auto"/>
        <w:sectPr>
          <w:pgSz w:w="11910" w:h="16840"/>
          <w:pgMar w:top="1580" w:right="1200" w:bottom="1680" w:left="1480" w:header="0" w:footer="1481" w:gutter="0"/>
          <w:cols w:space="720" w:num="1"/>
        </w:sectPr>
      </w:pPr>
    </w:p>
    <w:p>
      <w:pPr>
        <w:pStyle w:val="3"/>
        <w:ind w:left="0"/>
        <w:rPr>
          <w:sz w:val="20"/>
        </w:rPr>
      </w:pPr>
    </w:p>
    <w:p>
      <w:pPr>
        <w:pStyle w:val="3"/>
        <w:spacing w:before="8"/>
        <w:ind w:left="0"/>
        <w:rPr>
          <w:sz w:val="15"/>
        </w:rPr>
      </w:pPr>
    </w:p>
    <w:p>
      <w:pPr>
        <w:pStyle w:val="3"/>
        <w:spacing w:before="54" w:line="345" w:lineRule="auto"/>
        <w:ind w:right="212"/>
        <w:jc w:val="both"/>
      </w:pPr>
      <w:r>
        <w:rPr>
          <w:spacing w:val="-14"/>
          <w:w w:val="95"/>
        </w:rPr>
        <w:t>(</w:t>
      </w:r>
      <w:r>
        <w:rPr>
          <w:rFonts w:hint="eastAsia"/>
          <w:spacing w:val="-14"/>
          <w:w w:val="95"/>
        </w:rPr>
        <w:t>境</w:t>
      </w:r>
      <w:r>
        <w:rPr>
          <w:spacing w:val="-14"/>
          <w:w w:val="95"/>
        </w:rPr>
        <w:t>)</w:t>
      </w:r>
      <w:r>
        <w:rPr>
          <w:rFonts w:hint="eastAsia"/>
          <w:spacing w:val="-14"/>
          <w:w w:val="95"/>
        </w:rPr>
        <w:t>的国际旅费、国外城市间交通费、住宿费、伙食费、培训费</w:t>
      </w:r>
      <w:r>
        <w:rPr>
          <w:rFonts w:hint="eastAsia"/>
          <w:spacing w:val="-13"/>
          <w:w w:val="80"/>
        </w:rPr>
        <w:t>、</w:t>
      </w:r>
      <w:r>
        <w:rPr>
          <w:rFonts w:hint="eastAsia"/>
        </w:rPr>
        <w:t>公杂费等支出</w:t>
      </w:r>
      <w:r>
        <w:t>;</w:t>
      </w:r>
      <w:r>
        <w:rPr>
          <w:rFonts w:hint="eastAsia"/>
        </w:rPr>
        <w:t>公务用车购置及运行费指单位公务用车车辆购置</w:t>
      </w:r>
      <w:r>
        <w:rPr>
          <w:rFonts w:hint="eastAsia"/>
          <w:w w:val="95"/>
        </w:rPr>
        <w:t>支出</w:t>
      </w:r>
      <w:r>
        <w:rPr>
          <w:w w:val="95"/>
        </w:rPr>
        <w:t>(</w:t>
      </w:r>
      <w:r>
        <w:rPr>
          <w:rFonts w:hint="eastAsia"/>
          <w:w w:val="95"/>
        </w:rPr>
        <w:t>含车辆购置税</w:t>
      </w:r>
      <w:r>
        <w:rPr>
          <w:w w:val="95"/>
        </w:rPr>
        <w:t>)</w:t>
      </w:r>
      <w:r>
        <w:rPr>
          <w:rFonts w:hint="eastAsia"/>
          <w:w w:val="95"/>
        </w:rPr>
        <w:t>及燃料费、维修费、过路过桥费、保险费、</w:t>
      </w:r>
      <w:r>
        <w:rPr>
          <w:rFonts w:hint="eastAsia"/>
        </w:rPr>
        <w:t>安全奖励费用等支出</w:t>
      </w:r>
      <w:r>
        <w:t>;</w:t>
      </w:r>
      <w:r>
        <w:rPr>
          <w:rFonts w:hint="eastAsia"/>
        </w:rPr>
        <w:t>公务接待费指单位按规定开支的各类公务接待</w:t>
      </w:r>
      <w:r>
        <w:t>(</w:t>
      </w:r>
      <w:r>
        <w:rPr>
          <w:rFonts w:hint="eastAsia"/>
        </w:rPr>
        <w:t>含外宾接待</w:t>
      </w:r>
      <w:r>
        <w:t>)</w:t>
      </w:r>
      <w:r>
        <w:rPr>
          <w:rFonts w:hint="eastAsia"/>
        </w:rPr>
        <w:t>支出。</w:t>
      </w:r>
    </w:p>
    <w:p>
      <w:pPr>
        <w:pStyle w:val="3"/>
        <w:spacing w:before="2" w:line="345" w:lineRule="auto"/>
        <w:ind w:right="212" w:firstLine="640"/>
        <w:jc w:val="both"/>
      </w:pPr>
      <w:r>
        <w:rPr>
          <w:rFonts w:hint="eastAsia"/>
          <w:w w:val="95"/>
        </w:rPr>
        <w:t>（四</w:t>
      </w:r>
      <w:r>
        <w:rPr>
          <w:rFonts w:hint="eastAsia"/>
          <w:spacing w:val="-56"/>
          <w:w w:val="95"/>
        </w:rPr>
        <w:t>）</w:t>
      </w:r>
      <w:r>
        <w:rPr>
          <w:rFonts w:hint="eastAsia"/>
          <w:spacing w:val="-14"/>
          <w:w w:val="95"/>
        </w:rPr>
        <w:t>机关运行经费：包括办公及印刷费、邮电费、差旅费</w:t>
      </w:r>
      <w:r>
        <w:rPr>
          <w:rFonts w:hint="eastAsia"/>
          <w:spacing w:val="-11"/>
          <w:w w:val="80"/>
        </w:rPr>
        <w:t>、</w:t>
      </w:r>
      <w:r>
        <w:rPr>
          <w:rFonts w:hint="eastAsia"/>
          <w:spacing w:val="-4"/>
          <w:w w:val="95"/>
        </w:rPr>
        <w:t>会议费、福利费、日常维修费、专用材料及一般设备购置费、办</w:t>
      </w:r>
      <w:r>
        <w:rPr>
          <w:rFonts w:hint="eastAsia"/>
          <w:spacing w:val="-6"/>
          <w:w w:val="95"/>
        </w:rPr>
        <w:t>公用房水电费、办公用房取暖费、办公用房物业管理费、公务用</w:t>
      </w:r>
      <w:r>
        <w:rPr>
          <w:rFonts w:hint="eastAsia"/>
          <w:spacing w:val="-6"/>
        </w:rPr>
        <w:t>车运行维护费以及其他费用。</w:t>
      </w:r>
    </w:p>
    <w:p>
      <w:pPr>
        <w:pStyle w:val="3"/>
        <w:spacing w:before="4"/>
        <w:ind w:left="0"/>
        <w:rPr>
          <w:sz w:val="46"/>
        </w:rPr>
      </w:pPr>
    </w:p>
    <w:p>
      <w:pPr>
        <w:pStyle w:val="3"/>
        <w:ind w:left="747"/>
      </w:pPr>
    </w:p>
    <w:sectPr>
      <w:pgSz w:w="11910" w:h="16840"/>
      <w:pgMar w:top="1580" w:right="1200" w:bottom="1680" w:left="1480" w:header="0" w:footer="148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lang w:val="en-US"/>
      </w:rPr>
      <w:pict>
        <v:shape id="_x0000_s4097" o:spid="_x0000_s4097" o:spt="202" type="#_x0000_t202" style="position:absolute;left:0pt;margin-left:459.4pt;margin-top:756.85pt;height:16.05pt;width:51.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321"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3</w:t>
                </w:r>
                <w:r>
                  <w:rPr>
                    <w:sz w:val="28"/>
                  </w:rPr>
                  <w:fldChar w:fldCharType="end"/>
                </w:r>
                <w:r>
                  <w:rPr>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lang w:val="en-US"/>
      </w:rPr>
      <w:pict>
        <v:shape id="_x0000_s4098" o:spid="_x0000_s4098" o:spt="202" type="#_x0000_t202" style="position:absolute;left:0pt;margin-left:92.35pt;margin-top:756.85pt;height:16.05pt;width:51.1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321"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4</w:t>
                </w:r>
                <w:r>
                  <w:rPr>
                    <w:sz w:val="28"/>
                  </w:rPr>
                  <w:fldChar w:fldCharType="end"/>
                </w:r>
                <w:r>
                  <w:rPr>
                    <w:sz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lang w:val="en-US"/>
      </w:rPr>
      <w:pict>
        <v:shape id="文本框 1" o:spid="_x0000_s4099" o:spt="202" type="#_x0000_t202" style="position:absolute;left:0pt;margin-left:459.4pt;margin-top:756.85pt;height:16.05pt;width:51.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321"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19</w:t>
                </w:r>
                <w:r>
                  <w:rPr>
                    <w:sz w:val="28"/>
                  </w:rPr>
                  <w:fldChar w:fldCharType="end"/>
                </w:r>
                <w:r>
                  <w:rPr>
                    <w:sz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lang w:val="en-US"/>
      </w:rPr>
      <w:pict>
        <v:shape id="文本框 2" o:spid="_x0000_s4100" o:spt="202" type="#_x0000_t202" style="position:absolute;left:0pt;margin-left:92.35pt;margin-top:756.85pt;height:16.05pt;width:51.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321"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18</w:t>
                </w:r>
                <w:r>
                  <w:rPr>
                    <w:sz w:val="28"/>
                  </w:rPr>
                  <w:fldChar w:fldCharType="end"/>
                </w:r>
                <w:r>
                  <w:rPr>
                    <w:sz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p>
    <w:pPr>
      <w:pStyle w:val="6"/>
    </w:pPr>
  </w:p>
  <w:p>
    <w:pPr>
      <w:pStyle w:val="6"/>
    </w:pPr>
  </w:p>
  <w:p>
    <w:pPr>
      <w:pStyle w:val="6"/>
    </w:pPr>
  </w:p>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2"/>
      <w:numFmt w:val="decimal"/>
      <w:lvlText w:val="%1."/>
      <w:lvlJc w:val="left"/>
      <w:pPr>
        <w:ind w:left="106" w:hanging="348"/>
      </w:pPr>
      <w:rPr>
        <w:rFonts w:hint="default" w:ascii="宋体" w:hAnsi="宋体" w:eastAsia="宋体" w:cs="宋体"/>
        <w:spacing w:val="10"/>
        <w:w w:val="99"/>
        <w:sz w:val="32"/>
        <w:szCs w:val="32"/>
      </w:rPr>
    </w:lvl>
    <w:lvl w:ilvl="1" w:tentative="0">
      <w:start w:val="0"/>
      <w:numFmt w:val="bullet"/>
      <w:lvlText w:val="•"/>
      <w:lvlJc w:val="left"/>
      <w:pPr>
        <w:ind w:left="1012" w:hanging="348"/>
      </w:pPr>
      <w:rPr>
        <w:rFonts w:hint="default"/>
      </w:rPr>
    </w:lvl>
    <w:lvl w:ilvl="2" w:tentative="0">
      <w:start w:val="0"/>
      <w:numFmt w:val="bullet"/>
      <w:lvlText w:val="•"/>
      <w:lvlJc w:val="left"/>
      <w:pPr>
        <w:ind w:left="1925" w:hanging="348"/>
      </w:pPr>
      <w:rPr>
        <w:rFonts w:hint="default"/>
      </w:rPr>
    </w:lvl>
    <w:lvl w:ilvl="3" w:tentative="0">
      <w:start w:val="0"/>
      <w:numFmt w:val="bullet"/>
      <w:lvlText w:val="•"/>
      <w:lvlJc w:val="left"/>
      <w:pPr>
        <w:ind w:left="2837" w:hanging="348"/>
      </w:pPr>
      <w:rPr>
        <w:rFonts w:hint="default"/>
      </w:rPr>
    </w:lvl>
    <w:lvl w:ilvl="4" w:tentative="0">
      <w:start w:val="0"/>
      <w:numFmt w:val="bullet"/>
      <w:lvlText w:val="•"/>
      <w:lvlJc w:val="left"/>
      <w:pPr>
        <w:ind w:left="3750" w:hanging="348"/>
      </w:pPr>
      <w:rPr>
        <w:rFonts w:hint="default"/>
      </w:rPr>
    </w:lvl>
    <w:lvl w:ilvl="5" w:tentative="0">
      <w:start w:val="0"/>
      <w:numFmt w:val="bullet"/>
      <w:lvlText w:val="•"/>
      <w:lvlJc w:val="left"/>
      <w:pPr>
        <w:ind w:left="4663" w:hanging="348"/>
      </w:pPr>
      <w:rPr>
        <w:rFonts w:hint="default"/>
      </w:rPr>
    </w:lvl>
    <w:lvl w:ilvl="6" w:tentative="0">
      <w:start w:val="0"/>
      <w:numFmt w:val="bullet"/>
      <w:lvlText w:val="•"/>
      <w:lvlJc w:val="left"/>
      <w:pPr>
        <w:ind w:left="5575" w:hanging="348"/>
      </w:pPr>
      <w:rPr>
        <w:rFonts w:hint="default"/>
      </w:rPr>
    </w:lvl>
    <w:lvl w:ilvl="7" w:tentative="0">
      <w:start w:val="0"/>
      <w:numFmt w:val="bullet"/>
      <w:lvlText w:val="•"/>
      <w:lvlJc w:val="left"/>
      <w:pPr>
        <w:ind w:left="6488" w:hanging="348"/>
      </w:pPr>
      <w:rPr>
        <w:rFonts w:hint="default"/>
      </w:rPr>
    </w:lvl>
    <w:lvl w:ilvl="8" w:tentative="0">
      <w:start w:val="0"/>
      <w:numFmt w:val="bullet"/>
      <w:lvlText w:val="•"/>
      <w:lvlJc w:val="left"/>
      <w:pPr>
        <w:ind w:left="7400" w:hanging="348"/>
      </w:pPr>
      <w:rPr>
        <w:rFonts w:hint="default"/>
      </w:rPr>
    </w:lvl>
  </w:abstractNum>
  <w:abstractNum w:abstractNumId="1">
    <w:nsid w:val="56732760"/>
    <w:multiLevelType w:val="singleLevel"/>
    <w:tmpl w:val="56732760"/>
    <w:lvl w:ilvl="0" w:tentative="0">
      <w:start w:val="2"/>
      <w:numFmt w:val="decimal"/>
      <w:suff w:val="nothing"/>
      <w:lvlText w:val="%1．"/>
      <w:lvlJc w:val="left"/>
    </w:lvl>
  </w:abstractNum>
  <w:abstractNum w:abstractNumId="2">
    <w:nsid w:val="5971BE17"/>
    <w:multiLevelType w:val="singleLevel"/>
    <w:tmpl w:val="5971BE17"/>
    <w:lvl w:ilvl="0" w:tentative="0">
      <w:start w:val="1"/>
      <w:numFmt w:val="chineseCounting"/>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compat>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9B7"/>
    <w:rsid w:val="000A2A1E"/>
    <w:rsid w:val="000C1747"/>
    <w:rsid w:val="000E65F7"/>
    <w:rsid w:val="00100AE7"/>
    <w:rsid w:val="001059B7"/>
    <w:rsid w:val="00185D22"/>
    <w:rsid w:val="001926BB"/>
    <w:rsid w:val="001C6318"/>
    <w:rsid w:val="001F0565"/>
    <w:rsid w:val="00224AFA"/>
    <w:rsid w:val="002267A0"/>
    <w:rsid w:val="00262FDE"/>
    <w:rsid w:val="002D6B27"/>
    <w:rsid w:val="003055E4"/>
    <w:rsid w:val="003D4DD0"/>
    <w:rsid w:val="003D6130"/>
    <w:rsid w:val="003D6BBD"/>
    <w:rsid w:val="004108BD"/>
    <w:rsid w:val="004B50C8"/>
    <w:rsid w:val="004C2323"/>
    <w:rsid w:val="004E0FF9"/>
    <w:rsid w:val="00513692"/>
    <w:rsid w:val="00521C6F"/>
    <w:rsid w:val="0056715D"/>
    <w:rsid w:val="005B00FC"/>
    <w:rsid w:val="005D2153"/>
    <w:rsid w:val="005E3E44"/>
    <w:rsid w:val="00611CCE"/>
    <w:rsid w:val="0062352D"/>
    <w:rsid w:val="00635D23"/>
    <w:rsid w:val="00646925"/>
    <w:rsid w:val="006B5BED"/>
    <w:rsid w:val="006D6FA3"/>
    <w:rsid w:val="006E0FF9"/>
    <w:rsid w:val="00717602"/>
    <w:rsid w:val="007409C4"/>
    <w:rsid w:val="00772377"/>
    <w:rsid w:val="00793451"/>
    <w:rsid w:val="0079467C"/>
    <w:rsid w:val="007D576D"/>
    <w:rsid w:val="0080169F"/>
    <w:rsid w:val="00851E20"/>
    <w:rsid w:val="008E34F6"/>
    <w:rsid w:val="00903973"/>
    <w:rsid w:val="00940DB3"/>
    <w:rsid w:val="009528E7"/>
    <w:rsid w:val="00977AF3"/>
    <w:rsid w:val="009A2548"/>
    <w:rsid w:val="009B37DD"/>
    <w:rsid w:val="009F488C"/>
    <w:rsid w:val="00A701D6"/>
    <w:rsid w:val="00A76D02"/>
    <w:rsid w:val="00A93658"/>
    <w:rsid w:val="00A966D5"/>
    <w:rsid w:val="00AB2933"/>
    <w:rsid w:val="00B15212"/>
    <w:rsid w:val="00B4084F"/>
    <w:rsid w:val="00B56A91"/>
    <w:rsid w:val="00B80BD6"/>
    <w:rsid w:val="00B91C11"/>
    <w:rsid w:val="00B9385A"/>
    <w:rsid w:val="00BA20B3"/>
    <w:rsid w:val="00BC6F80"/>
    <w:rsid w:val="00C10847"/>
    <w:rsid w:val="00C21204"/>
    <w:rsid w:val="00C37B6E"/>
    <w:rsid w:val="00C540D3"/>
    <w:rsid w:val="00C563D5"/>
    <w:rsid w:val="00D0134F"/>
    <w:rsid w:val="00D91E13"/>
    <w:rsid w:val="00DA08D2"/>
    <w:rsid w:val="00DE1F5E"/>
    <w:rsid w:val="00E41CB3"/>
    <w:rsid w:val="00E54C2B"/>
    <w:rsid w:val="00E90D7B"/>
    <w:rsid w:val="00E913D2"/>
    <w:rsid w:val="00EC2A4D"/>
    <w:rsid w:val="00F80310"/>
    <w:rsid w:val="00F84256"/>
    <w:rsid w:val="00F8428B"/>
    <w:rsid w:val="00FB7B03"/>
    <w:rsid w:val="00FD7E18"/>
    <w:rsid w:val="122028AF"/>
    <w:rsid w:val="163F2579"/>
    <w:rsid w:val="17CC3F4D"/>
    <w:rsid w:val="199E26C5"/>
    <w:rsid w:val="27B00B21"/>
    <w:rsid w:val="295E0339"/>
    <w:rsid w:val="45114747"/>
    <w:rsid w:val="45B03B64"/>
    <w:rsid w:val="46505062"/>
    <w:rsid w:val="4A1978E5"/>
    <w:rsid w:val="4EEA39E9"/>
    <w:rsid w:val="55094DAF"/>
    <w:rsid w:val="62381185"/>
    <w:rsid w:val="65D44372"/>
    <w:rsid w:val="675D3611"/>
    <w:rsid w:val="6BB87180"/>
    <w:rsid w:val="75616009"/>
    <w:rsid w:val="78BD0FF5"/>
    <w:rsid w:val="7A870255"/>
    <w:rsid w:val="7F433D8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99"/>
    <w:pPr>
      <w:autoSpaceDE/>
      <w:autoSpaceDN/>
    </w:pPr>
    <w:rPr>
      <w:rFonts w:ascii="Calibri" w:hAnsi="Calibri" w:cs="Times New Roman"/>
      <w:kern w:val="2"/>
      <w:sz w:val="21"/>
      <w:lang w:val="en-US"/>
    </w:rPr>
  </w:style>
  <w:style w:type="paragraph" w:styleId="3">
    <w:name w:val="Body Text"/>
    <w:basedOn w:val="1"/>
    <w:link w:val="11"/>
    <w:qFormat/>
    <w:uiPriority w:val="99"/>
    <w:pPr>
      <w:ind w:left="106"/>
    </w:pPr>
    <w:rPr>
      <w:sz w:val="32"/>
      <w:szCs w:val="32"/>
    </w:rPr>
  </w:style>
  <w:style w:type="paragraph" w:styleId="4">
    <w:name w:val="Balloon Text"/>
    <w:basedOn w:val="1"/>
    <w:link w:val="12"/>
    <w:semiHidden/>
    <w:qFormat/>
    <w:uiPriority w:val="99"/>
    <w:rPr>
      <w:sz w:val="18"/>
      <w:szCs w:val="18"/>
    </w:rPr>
  </w:style>
  <w:style w:type="paragraph" w:styleId="5">
    <w:name w:val="footer"/>
    <w:basedOn w:val="1"/>
    <w:link w:val="13"/>
    <w:qFormat/>
    <w:uiPriority w:val="99"/>
    <w:pPr>
      <w:tabs>
        <w:tab w:val="center" w:pos="4153"/>
        <w:tab w:val="right" w:pos="8306"/>
      </w:tabs>
      <w:snapToGrid w:val="0"/>
    </w:pPr>
    <w:rPr>
      <w:sz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rPr>
  </w:style>
  <w:style w:type="character" w:styleId="9">
    <w:name w:val="annotation reference"/>
    <w:basedOn w:val="8"/>
    <w:semiHidden/>
    <w:qFormat/>
    <w:uiPriority w:val="99"/>
    <w:rPr>
      <w:rFonts w:cs="Times New Roman"/>
      <w:sz w:val="21"/>
      <w:szCs w:val="21"/>
    </w:rPr>
  </w:style>
  <w:style w:type="character" w:customStyle="1" w:styleId="10">
    <w:name w:val="批注文字 Char"/>
    <w:basedOn w:val="8"/>
    <w:link w:val="2"/>
    <w:semiHidden/>
    <w:qFormat/>
    <w:locked/>
    <w:uiPriority w:val="99"/>
    <w:rPr>
      <w:rFonts w:ascii="宋体" w:eastAsia="宋体" w:cs="宋体"/>
      <w:kern w:val="0"/>
      <w:sz w:val="22"/>
      <w:lang w:val="zh-CN"/>
    </w:rPr>
  </w:style>
  <w:style w:type="character" w:customStyle="1" w:styleId="11">
    <w:name w:val="正文文本 Char"/>
    <w:basedOn w:val="8"/>
    <w:link w:val="3"/>
    <w:semiHidden/>
    <w:qFormat/>
    <w:locked/>
    <w:uiPriority w:val="99"/>
    <w:rPr>
      <w:rFonts w:ascii="宋体" w:eastAsia="宋体" w:cs="宋体"/>
      <w:kern w:val="0"/>
      <w:sz w:val="22"/>
      <w:lang w:val="zh-CN"/>
    </w:rPr>
  </w:style>
  <w:style w:type="character" w:customStyle="1" w:styleId="12">
    <w:name w:val="批注框文本 Char"/>
    <w:basedOn w:val="8"/>
    <w:link w:val="4"/>
    <w:semiHidden/>
    <w:qFormat/>
    <w:locked/>
    <w:uiPriority w:val="99"/>
    <w:rPr>
      <w:rFonts w:ascii="宋体" w:eastAsia="宋体" w:cs="宋体"/>
      <w:kern w:val="0"/>
      <w:sz w:val="2"/>
      <w:lang w:val="zh-CN"/>
    </w:rPr>
  </w:style>
  <w:style w:type="character" w:customStyle="1" w:styleId="13">
    <w:name w:val="页脚 Char"/>
    <w:basedOn w:val="8"/>
    <w:link w:val="5"/>
    <w:semiHidden/>
    <w:qFormat/>
    <w:locked/>
    <w:uiPriority w:val="99"/>
    <w:rPr>
      <w:rFonts w:ascii="宋体" w:eastAsia="宋体" w:cs="宋体"/>
      <w:kern w:val="0"/>
      <w:sz w:val="18"/>
      <w:szCs w:val="18"/>
      <w:lang w:val="zh-CN"/>
    </w:rPr>
  </w:style>
  <w:style w:type="character" w:customStyle="1" w:styleId="14">
    <w:name w:val="页眉 Char"/>
    <w:basedOn w:val="8"/>
    <w:link w:val="6"/>
    <w:semiHidden/>
    <w:qFormat/>
    <w:locked/>
    <w:uiPriority w:val="99"/>
    <w:rPr>
      <w:rFonts w:ascii="宋体" w:eastAsia="宋体" w:cs="宋体"/>
      <w:kern w:val="0"/>
      <w:sz w:val="18"/>
      <w:szCs w:val="18"/>
      <w:lang w:val="zh-CN"/>
    </w:rPr>
  </w:style>
  <w:style w:type="table" w:customStyle="1" w:styleId="15">
    <w:name w:val="Table Normal1"/>
    <w:semiHidden/>
    <w:qFormat/>
    <w:uiPriority w:val="99"/>
    <w:tblPr>
      <w:tblCellMar>
        <w:top w:w="0" w:type="dxa"/>
        <w:left w:w="0" w:type="dxa"/>
        <w:bottom w:w="0" w:type="dxa"/>
        <w:right w:w="0" w:type="dxa"/>
      </w:tblCellMar>
    </w:tblPr>
  </w:style>
  <w:style w:type="paragraph" w:styleId="16">
    <w:name w:val="List Paragraph"/>
    <w:basedOn w:val="1"/>
    <w:qFormat/>
    <w:uiPriority w:val="99"/>
    <w:pPr>
      <w:spacing w:before="4"/>
      <w:ind w:left="106" w:right="216" w:firstLine="641"/>
    </w:pPr>
  </w:style>
  <w:style w:type="paragraph" w:customStyle="1" w:styleId="17">
    <w:name w:val="Table Paragraph"/>
    <w:basedOn w:val="1"/>
    <w:qFormat/>
    <w:uiPriority w:val="99"/>
  </w:style>
  <w:style w:type="character" w:customStyle="1" w:styleId="18">
    <w:name w:val="font51"/>
    <w:basedOn w:val="8"/>
    <w:qFormat/>
    <w:uiPriority w:val="99"/>
    <w:rPr>
      <w:rFonts w:ascii="宋体" w:hAnsi="宋体" w:eastAsia="宋体" w:cs="宋体"/>
      <w:color w:val="000000"/>
      <w:sz w:val="24"/>
      <w:szCs w:val="24"/>
      <w:u w:val="none"/>
    </w:rPr>
  </w:style>
  <w:style w:type="character" w:customStyle="1" w:styleId="19">
    <w:name w:val="font11"/>
    <w:basedOn w:val="8"/>
    <w:qFormat/>
    <w:uiPriority w:val="99"/>
    <w:rPr>
      <w:rFonts w:ascii="宋体" w:hAnsi="宋体" w:eastAsia="宋体" w:cs="宋体"/>
      <w:color w:val="000000"/>
      <w:sz w:val="20"/>
      <w:szCs w:val="20"/>
      <w:u w:val="none"/>
    </w:rPr>
  </w:style>
  <w:style w:type="character" w:customStyle="1" w:styleId="20">
    <w:name w:val="font01"/>
    <w:basedOn w:val="8"/>
    <w:qFormat/>
    <w:uiPriority w:val="99"/>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6127</Words>
  <Characters>2898</Characters>
  <Lines>24</Lines>
  <Paragraphs>18</Paragraphs>
  <TotalTime>2</TotalTime>
  <ScaleCrop>false</ScaleCrop>
  <LinksUpToDate>false</LinksUpToDate>
  <CharactersWithSpaces>9007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2018-08-29T01:44:00Z</dcterms:created>
  <dc:creator>Administrator</dc:creator>
  <cp:lastModifiedBy>K*輝</cp:lastModifiedBy>
  <dcterms:modified xsi:type="dcterms:W3CDTF">2021-06-09T08:07:58Z</dcterms:modified>
  <dc:title>栾川县人民政府办公室2017年预算公开说明</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Office 专业版</vt:lpwstr>
  </property>
  <property fmtid="{D5CDD505-2E9C-101B-9397-08002B2CF9AE}" pid="3" name="KSOProductBuildVer">
    <vt:lpwstr>2052-11.1.0.10495</vt:lpwstr>
  </property>
  <property fmtid="{D5CDD505-2E9C-101B-9397-08002B2CF9AE}" pid="4" name="ICV">
    <vt:lpwstr>1D98B23AFC014953AF20282B4620CAB0</vt:lpwstr>
  </property>
</Properties>
</file>