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  <w:bookmarkStart w:id="0" w:name="_GoBack"/>
      <w:bookmarkEnd w:id="0"/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widowControl/>
        <w:jc w:val="left"/>
        <w:rPr>
          <w:rFonts w:hint="eastAsia" w:ascii="黑体" w:hAnsi="宋体" w:eastAsia="黑体" w:cs="宋体"/>
          <w:color w:val="000000"/>
          <w:kern w:val="0"/>
          <w:sz w:val="28"/>
          <w:szCs w:val="28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栾川县供销合作社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  <w:r>
        <w:rPr>
          <w:rFonts w:hint="eastAsia" w:ascii="黑体" w:hAnsi="黑体" w:eastAsia="黑体"/>
          <w:color w:val="000000"/>
          <w:sz w:val="52"/>
          <w:szCs w:val="52"/>
        </w:rPr>
        <w:t>2019年度部门预算</w:t>
      </w: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jc w:val="center"/>
        <w:rPr>
          <w:rFonts w:hint="eastAsia" w:ascii="黑体" w:hAnsi="黑体" w:eastAsia="黑体"/>
          <w:color w:val="000000"/>
          <w:sz w:val="52"/>
          <w:szCs w:val="5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黑体" w:hAnsi="方正小标宋简体" w:eastAsia="黑体" w:cs="方正小标宋简体"/>
          <w:color w:val="000000"/>
          <w:sz w:val="44"/>
          <w:szCs w:val="44"/>
        </w:rPr>
      </w:pPr>
      <w:r>
        <w:rPr>
          <w:rFonts w:hint="eastAsia" w:ascii="黑体" w:hAnsi="方正小标宋简体" w:eastAsia="黑体" w:cs="方正小标宋简体"/>
          <w:color w:val="000000"/>
          <w:sz w:val="32"/>
          <w:szCs w:val="32"/>
        </w:rPr>
        <w:t>二○一九年三月</w:t>
      </w:r>
    </w:p>
    <w:p>
      <w:pPr>
        <w:kinsoku w:val="0"/>
        <w:overflowPunct w:val="0"/>
        <w:adjustRightInd w:val="0"/>
        <w:snapToGrid w:val="0"/>
        <w:spacing w:line="360" w:lineRule="auto"/>
        <w:ind w:left="101" w:right="3569"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仿宋_GB2312" w:hAnsi="仿宋_GB2312" w:eastAsia="仿宋_GB2312" w:cs="仿宋_GB2312"/>
          <w:color w:val="000000"/>
          <w:sz w:val="44"/>
          <w:szCs w:val="44"/>
        </w:rPr>
      </w:pPr>
    </w:p>
    <w:p>
      <w:pPr>
        <w:kinsoku w:val="0"/>
        <w:overflowPunct w:val="0"/>
        <w:adjustRightInd w:val="0"/>
        <w:snapToGrid w:val="0"/>
        <w:spacing w:line="580" w:lineRule="exact"/>
        <w:ind w:left="-142" w:right="51" w:firstLine="30" w:firstLineChars="7"/>
        <w:jc w:val="center"/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目</w:t>
      </w:r>
      <w:r>
        <w:rPr>
          <w:rFonts w:hint="eastAsia" w:ascii="方正小标宋简体" w:hAnsi="仿宋_GB2312" w:eastAsia="方正小标宋简体" w:cs="仿宋_GB2312"/>
          <w:color w:val="000000"/>
          <w:spacing w:val="2"/>
          <w:sz w:val="44"/>
          <w:szCs w:val="44"/>
        </w:rPr>
        <w:t xml:space="preserve"> </w:t>
      </w:r>
      <w:r>
        <w:rPr>
          <w:rFonts w:hint="eastAsia" w:ascii="方正小标宋简体" w:hAnsi="仿宋_GB2312" w:eastAsia="方正小标宋简体" w:cs="仿宋_GB2312"/>
          <w:color w:val="000000"/>
          <w:sz w:val="44"/>
          <w:szCs w:val="44"/>
        </w:rPr>
        <w:t>录</w:t>
      </w:r>
    </w:p>
    <w:p>
      <w:pPr>
        <w:kinsoku w:val="0"/>
        <w:overflowPunct w:val="0"/>
        <w:adjustRightInd w:val="0"/>
        <w:snapToGrid w:val="0"/>
        <w:spacing w:line="580" w:lineRule="exact"/>
        <w:ind w:right="3569" w:firstLine="624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kinsoku w:val="0"/>
        <w:overflowPunct w:val="0"/>
        <w:adjustRightInd w:val="0"/>
        <w:snapToGrid w:val="0"/>
        <w:spacing w:line="360" w:lineRule="auto"/>
        <w:ind w:right="3569" w:firstLine="624" w:firstLineChars="200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第一部分  概况</w:t>
      </w:r>
      <w:r>
        <w:rPr>
          <w:rFonts w:hint="eastAsia" w:ascii="仿宋_GB2312" w:hAnsi="仿宋_GB2312" w:eastAsia="仿宋_GB2312" w:cs="仿宋_GB2312"/>
          <w:w w:val="99"/>
          <w:sz w:val="32"/>
          <w:szCs w:val="32"/>
        </w:rPr>
        <w:t xml:space="preserve"> 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一、主要职能</w:t>
      </w:r>
    </w:p>
    <w:p>
      <w:pPr>
        <w:kinsoku w:val="0"/>
        <w:overflowPunct w:val="0"/>
        <w:adjustRightInd w:val="0"/>
        <w:snapToGrid w:val="0"/>
        <w:spacing w:line="360" w:lineRule="auto"/>
        <w:ind w:right="3569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二、部门预算单位构成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第二部分 供销社2019年部门预算情况说明</w:t>
      </w:r>
    </w:p>
    <w:p>
      <w:pPr>
        <w:kinsoku w:val="0"/>
        <w:overflowPunct w:val="0"/>
        <w:adjustRightInd w:val="0"/>
        <w:snapToGrid w:val="0"/>
        <w:spacing w:line="360" w:lineRule="auto"/>
        <w:ind w:right="521" w:firstLine="624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第三部分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名词解释</w:t>
      </w:r>
    </w:p>
    <w:p>
      <w:pPr>
        <w:kinsoku w:val="0"/>
        <w:overflowPunct w:val="0"/>
        <w:adjustRightInd w:val="0"/>
        <w:snapToGrid w:val="0"/>
        <w:spacing w:line="360" w:lineRule="auto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县供销社2019年度部门预算表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一、县供销社收支总体情况表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二、县供销社收入总体情况表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三、县供销社支出总体情况表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九、国有资本经营预算收支情况表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十、机关运行经费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十一、预算项目支出绩效目标表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36" w:firstLineChars="3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3744" w:firstLineChars="1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第一部分</w:t>
      </w:r>
    </w:p>
    <w:p>
      <w:pPr>
        <w:adjustRightInd w:val="0"/>
        <w:snapToGrid w:val="0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县供销社概况</w:t>
      </w:r>
    </w:p>
    <w:p>
      <w:pPr>
        <w:adjustRightInd w:val="0"/>
        <w:snapToGrid w:val="0"/>
        <w:spacing w:line="580" w:lineRule="exact"/>
        <w:ind w:firstLine="624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主要职能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机构设置情况</w:t>
      </w:r>
    </w:p>
    <w:p>
      <w:pPr>
        <w:spacing w:line="560" w:lineRule="exact"/>
        <w:ind w:firstLine="62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栾川县供销合作社机关内设5个职能科（室），分别是办公室、人事科、业务科、财务科、审计科。核定编制：15人，现在编人员：10人,退休人员 18人。</w:t>
      </w:r>
    </w:p>
    <w:p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部门职责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1、贯彻落实国家有关农村经济和社会发展的方针、政策，参与研究和制定全县农村商品流通的有关政策和规定，并组织实施。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2、研究制定全县供销社的发展战略和发展规划，指导全县供销社系统的改革和发展。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3、按照政府授权，负责对重要农业生产资料、农副产品、烟花爆竹和再生资源经营进行组织、协调和管理。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4、组织、指导全县供销社系统积极参与农业产业化，搞好农业社会化服务体系和农村商品流通体系建设；引导、组织农民进入市场，活跃城乡商品流通，促进城乡经济发展。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5、向政府和有关部门及时反映农民社员和供销社的意见和要求，维护各基层供销社的合法权益，协调同有关部门和社会组织的关系。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6、行使社有资产出资人代表职能，监督管理社有资产，保证社有资产保值增值，并按出资额依法享有资产受益、重大决策和选择管理者的权利。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7、负责县社机关和所属企事业单位的领导班子建设，干部队伍建设、劳动人事管理、党组织处设、精神文明建设和思想政治工作。</w:t>
      </w:r>
    </w:p>
    <w:p>
      <w:pPr>
        <w:pStyle w:val="5"/>
        <w:shd w:val="clear" w:color="auto" w:fill="FFFFFF"/>
        <w:spacing w:before="0" w:beforeAutospacing="0" w:after="0" w:afterAutospacing="0" w:line="560" w:lineRule="exact"/>
        <w:ind w:firstLine="645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8、承办县委、政府和市供销总社交办的其它事项。</w:t>
      </w:r>
    </w:p>
    <w:p>
      <w:pPr>
        <w:kinsoku w:val="0"/>
        <w:overflowPunct w:val="0"/>
        <w:adjustRightInd w:val="0"/>
        <w:snapToGrid w:val="0"/>
        <w:spacing w:line="580" w:lineRule="exact"/>
        <w:ind w:right="3569"/>
        <w:jc w:val="left"/>
        <w:rPr>
          <w:rFonts w:hint="eastAsia" w:ascii="楷体_GB2312" w:hAnsi="仿宋_GB2312" w:eastAsia="楷体_GB2312" w:cs="仿宋_GB2312"/>
          <w:color w:val="000000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hint="eastAsia" w:ascii="黑体" w:hAnsi="仿宋_GB2312" w:eastAsia="黑体" w:cs="仿宋_GB2312"/>
          <w:color w:val="000000"/>
          <w:sz w:val="32"/>
          <w:szCs w:val="32"/>
        </w:rPr>
      </w:pPr>
      <w:r>
        <w:rPr>
          <w:rFonts w:hint="eastAsia" w:ascii="黑体" w:hAnsi="仿宋_GB2312" w:eastAsia="黑体" w:cs="仿宋_GB2312"/>
          <w:color w:val="000000"/>
          <w:sz w:val="32"/>
          <w:szCs w:val="32"/>
        </w:rPr>
        <w:t>二、县供销社预算单位构成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pacing w:val="12"/>
          <w:sz w:val="32"/>
          <w:szCs w:val="32"/>
        </w:rPr>
        <w:t>栾川县供销合作社，属财政参公事业单位。核编15人，在编10人，退休18人。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第二部分</w:t>
      </w:r>
    </w:p>
    <w:p>
      <w:pPr>
        <w:widowControl/>
        <w:shd w:val="clear" w:color="auto" w:fill="FFFFFF"/>
        <w:spacing w:line="580" w:lineRule="exact"/>
        <w:jc w:val="center"/>
        <w:rPr>
          <w:rFonts w:hint="eastAsia" w:ascii="黑体" w:hAnsi="仿宋_GB2312" w:eastAsia="黑体" w:cs="仿宋_GB2312"/>
          <w:bCs/>
          <w:color w:val="000000"/>
          <w:sz w:val="36"/>
          <w:szCs w:val="36"/>
        </w:rPr>
      </w:pPr>
      <w:r>
        <w:rPr>
          <w:rFonts w:hint="eastAsia" w:ascii="黑体" w:hAnsi="仿宋_GB2312" w:eastAsia="黑体" w:cs="仿宋_GB2312"/>
          <w:bCs/>
          <w:color w:val="000000"/>
          <w:sz w:val="36"/>
          <w:szCs w:val="36"/>
        </w:rPr>
        <w:t>县供销社2019年度部门预算情况说明</w:t>
      </w: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一、收入支出预算总体情况说明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2019年收入总计147.70万元，与2018年的136.50相比，收入总计各增加11.2万元，增幅0.08%。主要原因：人员工资晋级及追加在职、退休人员2017年7月止2018年12月物业补贴。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2019年一般公共预算财政拨款支出147.7万元，主要用于以下方面：行政运行支出140.7万元，占总预算收入的95.3%；一般行政管理事务支出7万元，占总预算收入的4.7%。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Arial" w:hAnsi="Arial" w:eastAsia="仿宋_GB2312" w:cs="Arial"/>
          <w:color w:val="000000"/>
          <w:sz w:val="32"/>
          <w:szCs w:val="32"/>
        </w:rPr>
      </w:pP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z w:val="32"/>
          <w:szCs w:val="32"/>
        </w:rPr>
        <w:t>二、收入预算总体情况说明</w:t>
      </w:r>
    </w:p>
    <w:p>
      <w:pPr>
        <w:widowControl/>
        <w:shd w:val="clear" w:color="auto" w:fill="FFFFFF"/>
        <w:spacing w:line="58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2019年收入合计147.7万元，其中：一般公共预算收入147.7万元; 政府性基金预算收入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万元；国有资本经营预算收入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万元；其他收入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0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spacing w:line="580" w:lineRule="exact"/>
        <w:ind w:firstLine="624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三、支出预算总体情况说明</w:t>
      </w:r>
    </w:p>
    <w:p>
      <w:pPr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2019年支出合计147.7万元，其中：基本支出144.7万元，占98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；项目支出3万元，占2%。 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四、财政拨款收入支出预算总体情况说明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2019年一般公共预算收支预算147.7万元。与 2018年相比，一般公共预算收支预算增加11.2万元，增长8.2%，</w:t>
      </w:r>
      <w:r>
        <w:rPr>
          <w:rFonts w:hint="eastAsia" w:ascii="仿宋" w:hAnsi="仿宋" w:eastAsia="仿宋" w:cs="仿宋"/>
          <w:spacing w:val="12"/>
          <w:sz w:val="32"/>
          <w:szCs w:val="32"/>
        </w:rPr>
        <w:t>增加主要原因是：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人员工资晋级及追加在职、退休人员2017年7月止2018年12月物业补贴。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五、一般公共预算支出预算情况说明</w:t>
      </w:r>
    </w:p>
    <w:p>
      <w:pPr>
        <w:widowControl/>
        <w:spacing w:line="56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2019年一般公共预算支出年初预算为</w:t>
      </w:r>
      <w:r>
        <w:rPr>
          <w:rFonts w:hint="eastAsia" w:ascii="仿宋" w:hAnsi="仿宋" w:eastAsia="仿宋" w:cs="Arial"/>
          <w:color w:val="000000"/>
          <w:sz w:val="32"/>
          <w:szCs w:val="32"/>
        </w:rPr>
        <w:t>147.7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主要用于以下方面：行政运行支出140.7万元，占总预算收入的95.3%；一般行政管理事务支出7万元，占总预算收入的4.7%。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六、一般公共预算基本支出预算情况说明</w:t>
      </w:r>
    </w:p>
    <w:p>
      <w:pPr>
        <w:widowControl/>
        <w:spacing w:line="580" w:lineRule="exact"/>
        <w:ind w:firstLine="622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2019年一般公共预算基本支出147.7万元，其中：</w:t>
      </w:r>
      <w:r>
        <w:rPr>
          <w:rFonts w:hint="eastAsia" w:ascii="仿宋" w:hAnsi="仿宋" w:eastAsia="仿宋" w:cs="仿宋_GB2312"/>
          <w:b/>
          <w:color w:val="000000"/>
          <w:spacing w:val="-1"/>
          <w:kern w:val="0"/>
          <w:sz w:val="32"/>
          <w:szCs w:val="32"/>
        </w:rPr>
        <w:t>人员经费129.4</w:t>
      </w:r>
      <w:r>
        <w:rPr>
          <w:rFonts w:hint="eastAsia" w:ascii="仿宋" w:hAnsi="仿宋" w:eastAsia="仿宋" w:cs="仿宋_GB2312"/>
          <w:b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，主要包括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基本工资、津贴补贴124.1万元、年终一次性奖金5.3万元、机关事业单位基本养老保险缴费17.6万元、住房公积金6.5万元、其他工资福利支出0.3万元；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32"/>
          <w:szCs w:val="32"/>
        </w:rPr>
        <w:t>公用经费5.27万元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，主要包括：办公费、印刷费、水费、电费、邮电费、取暖费、物业管理费、差旅费、维修（护）费、会议费、培训费、公务接待费、劳务费、委托业务费、福利费、公务用车运行维护费、其他交通费用、其他商品和服务支出、办公设备购置、信息网络及软件购置更新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七、政府性基金预算支出预算情况说明</w:t>
      </w:r>
    </w:p>
    <w:p>
      <w:pPr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我单位2019年没有使用政府性基金预算拨款安排的支出。</w:t>
      </w:r>
    </w:p>
    <w:p>
      <w:pPr>
        <w:spacing w:line="580" w:lineRule="exact"/>
        <w:ind w:firstLine="624" w:firstLineChars="200"/>
        <w:rPr>
          <w:rFonts w:hint="eastAsia"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八、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国有资本经营预算支出预算情况说明</w:t>
      </w:r>
    </w:p>
    <w:p>
      <w:pPr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我单位2019年没有使用国有资本经营预算拨款安排的支出。</w:t>
      </w:r>
    </w:p>
    <w:p>
      <w:pPr>
        <w:spacing w:line="580" w:lineRule="exact"/>
        <w:ind w:firstLine="624" w:firstLineChars="200"/>
        <w:outlineLvl w:val="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九、“三公”经费支出预算情况说明</w:t>
      </w:r>
    </w:p>
    <w:p>
      <w:pPr>
        <w:widowControl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2019年“三公”经费预算1.7万元。 比 2018年预算数减少0.3万元，下降15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。下降原因是压缩经费15%。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具体支出情况如下：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因公出国（境）费</w:t>
      </w:r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 xml:space="preserve"> ：0万元</w:t>
      </w:r>
    </w:p>
    <w:p>
      <w:pPr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公务用车运行费0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元。其中公务车辆购置费0万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公务用车运行维护费 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万元。</w:t>
      </w:r>
    </w:p>
    <w:p>
      <w:pPr>
        <w:spacing w:line="580" w:lineRule="exact"/>
        <w:ind w:firstLine="620" w:firstLineChars="200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仿宋_GB2312" w:eastAsia="楷体_GB2312" w:cs="仿宋_GB2312"/>
          <w:color w:val="000000"/>
          <w:spacing w:val="-1"/>
          <w:kern w:val="0"/>
          <w:sz w:val="32"/>
          <w:szCs w:val="32"/>
        </w:rPr>
        <w:t>（三）公务接待费1.7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万元，主要用于本单位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按规定开支的各类公务接待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及上级公务人员到本县检查工作公务用餐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，比2018年预算数减少0.3万元，下降15%，主要原因压缩经费15%。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黑体" w:hAnsi="黑体" w:eastAsia="黑体" w:cs="仿宋_GB2312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黑体" w:hAnsi="黑体" w:eastAsia="黑体"/>
          <w:color w:val="000000"/>
          <w:spacing w:val="-1"/>
          <w:kern w:val="0"/>
          <w:sz w:val="32"/>
          <w:szCs w:val="32"/>
        </w:rPr>
        <w:t>十、其他重要事项的情况说明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（一）机关运行经费支出情况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2019年机关运行经费支出预算5.27万元，主要保障机关机构正常运转及正常履职需要的办公费、水电费、物业费、维修费、差旅费等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（二）政府采购支出情况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2019年政府采购预算安排0万元，其中：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政府采购货物预算0万元、政府采购工程预算0万元、政府采购服务预算0万元。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outlineLvl w:val="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（三）关于预算绩效管理工作开展情况说明</w:t>
      </w:r>
    </w:p>
    <w:p>
      <w:pPr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2018年,我单位办公场地租赁资金项目进行了预算绩效评价，涉及资金3万元。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栾川县供销社在省、市、县供销社的大力支持和指导帮助下，确保供销社队伍的稳定和发展，完成了上级的工作任务，充分展现了我县供销社良好的精神风貌。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2019年，我部门纳入预算绩效管理的支出总额为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147.7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万元，其中人员经费支出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129.4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万元，公用经费支出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5.27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万元，支出项目共1个（办公场地租赁项目）支出总额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3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 。</w:t>
      </w:r>
    </w:p>
    <w:p>
      <w:pPr>
        <w:spacing w:line="580" w:lineRule="exact"/>
        <w:ind w:firstLine="624" w:firstLineChars="200"/>
        <w:rPr>
          <w:rFonts w:hint="eastAsia" w:ascii="仿宋" w:hAnsi="仿宋" w:eastAsia="仿宋" w:cs="仿宋_GB2312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bCs/>
          <w:color w:val="000000"/>
          <w:sz w:val="32"/>
          <w:szCs w:val="32"/>
        </w:rPr>
        <w:t>（四）国有资产占用情况</w:t>
      </w:r>
    </w:p>
    <w:p>
      <w:pPr>
        <w:spacing w:line="600" w:lineRule="exact"/>
        <w:ind w:firstLine="624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2018年期末，固定资产总额22.8万元，其中：房屋建筑物0万元（办公场地租赁，固定资产包含办公通用设备6.2万元，车辆 原值16.6万元）。无单价50万元以上的通用设备，无单位价值100万元以上的专用设备。</w:t>
      </w:r>
    </w:p>
    <w:p>
      <w:pPr>
        <w:widowControl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（五）关于预算部门构成说明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2019年我单位按照市财政预算公开要求，将所属预算单位全部纳入预算公开范围。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b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" w:hAnsi="仿宋" w:eastAsia="仿宋"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32"/>
          <w:szCs w:val="32"/>
        </w:rPr>
        <w:t>第三部分  名词解释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一、财政拨款收入：是指市级财政当年拨付的资金。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四、基本支出：是指为保障机构正常运转、完成日常工作任务所必需的开支，其内容包括人员经费和日常公用经费两部分。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五、项目支出：是指在基本支出之外，为完成特定的行政工作任务或事业发展目标所发生的支出。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六、“三公”经费：是指纳入市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</w:rPr>
        <w:t>七、机关运行经费：是指为保障行政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机构正常运转及正常履职需要的办公费、水电费、日常维修、物业费、维修费、差旅费、</w:t>
      </w:r>
      <w:r>
        <w:rPr>
          <w:rFonts w:hint="eastAsia" w:ascii="仿宋" w:hAnsi="仿宋" w:eastAsia="仿宋" w:cs="Courier New"/>
          <w:color w:val="000000"/>
          <w:sz w:val="32"/>
          <w:szCs w:val="32"/>
        </w:rPr>
        <w:t>公务用车运行维护费以及其他费用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八、其他（专业性较强的需向社会做出说明的名词）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附件：2019年度部门预算表</w:t>
      </w: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24" w:firstLineChars="200"/>
        <w:rPr>
          <w:rFonts w:hint="eastAsia" w:ascii="仿宋" w:hAnsi="仿宋" w:eastAsia="仿宋" w:cs="仿宋_GB2312"/>
          <w:color w:val="000000"/>
          <w:sz w:val="32"/>
          <w:szCs w:val="32"/>
          <w:highlight w:val="magenta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 xml:space="preserve">                             2019年3月12日</w:t>
      </w:r>
    </w:p>
    <w:p>
      <w:pPr>
        <w:adjustRightInd w:val="0"/>
        <w:snapToGrid w:val="0"/>
        <w:spacing w:line="580" w:lineRule="exact"/>
        <w:ind w:firstLine="5835" w:firstLineChars="1870"/>
        <w:rPr>
          <w:rFonts w:hint="eastAsia"/>
          <w:color w:val="000000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br w:type="textWrapping"/>
      </w:r>
    </w:p>
    <w:p>
      <w:pPr>
        <w:adjustRightInd w:val="0"/>
        <w:snapToGrid w:val="0"/>
        <w:spacing w:line="580" w:lineRule="exact"/>
        <w:ind w:firstLine="3778" w:firstLineChars="1870"/>
        <w:rPr>
          <w:rFonts w:hint="eastAsia"/>
          <w:color w:val="000000"/>
        </w:rPr>
      </w:pPr>
    </w:p>
    <w:p>
      <w:pPr>
        <w:adjustRightInd w:val="0"/>
        <w:snapToGrid w:val="0"/>
        <w:spacing w:line="580" w:lineRule="exact"/>
        <w:ind w:firstLine="3778" w:firstLineChars="1870"/>
        <w:rPr>
          <w:rFonts w:hint="eastAsia"/>
          <w:color w:val="000000"/>
        </w:rPr>
      </w:pPr>
    </w:p>
    <w:p>
      <w:pPr>
        <w:adjustRightInd w:val="0"/>
        <w:snapToGrid w:val="0"/>
        <w:spacing w:line="580" w:lineRule="exact"/>
        <w:ind w:firstLine="3778" w:firstLineChars="1870"/>
        <w:rPr>
          <w:rFonts w:hint="eastAsia"/>
          <w:color w:val="000000"/>
        </w:rPr>
      </w:pPr>
    </w:p>
    <w:sectPr>
      <w:headerReference r:id="rId3" w:type="default"/>
      <w:pgSz w:w="11906" w:h="16838"/>
      <w:pgMar w:top="2098" w:right="1531" w:bottom="1758" w:left="1531" w:header="851" w:footer="1191" w:gutter="0"/>
      <w:cols w:space="720" w:num="1"/>
      <w:docGrid w:type="linesAndChars" w:linePitch="312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537D6"/>
    <w:multiLevelType w:val="multilevel"/>
    <w:tmpl w:val="2E0537D6"/>
    <w:lvl w:ilvl="0" w:tentative="0">
      <w:start w:val="1"/>
      <w:numFmt w:val="japaneseCounting"/>
      <w:lvlText w:val="（%1）"/>
      <w:lvlJc w:val="left"/>
      <w:pPr>
        <w:ind w:left="26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62" w:hanging="420"/>
      </w:pPr>
    </w:lvl>
    <w:lvl w:ilvl="2" w:tentative="0">
      <w:start w:val="1"/>
      <w:numFmt w:val="lowerRoman"/>
      <w:lvlText w:val="%3."/>
      <w:lvlJc w:val="right"/>
      <w:pPr>
        <w:ind w:left="1882" w:hanging="420"/>
      </w:pPr>
    </w:lvl>
    <w:lvl w:ilvl="3" w:tentative="0">
      <w:start w:val="1"/>
      <w:numFmt w:val="decimal"/>
      <w:lvlText w:val="%4."/>
      <w:lvlJc w:val="left"/>
      <w:pPr>
        <w:ind w:left="2302" w:hanging="420"/>
      </w:pPr>
    </w:lvl>
    <w:lvl w:ilvl="4" w:tentative="0">
      <w:start w:val="1"/>
      <w:numFmt w:val="lowerLetter"/>
      <w:lvlText w:val="%5)"/>
      <w:lvlJc w:val="left"/>
      <w:pPr>
        <w:ind w:left="2722" w:hanging="420"/>
      </w:pPr>
    </w:lvl>
    <w:lvl w:ilvl="5" w:tentative="0">
      <w:start w:val="1"/>
      <w:numFmt w:val="lowerRoman"/>
      <w:lvlText w:val="%6."/>
      <w:lvlJc w:val="right"/>
      <w:pPr>
        <w:ind w:left="3142" w:hanging="420"/>
      </w:pPr>
    </w:lvl>
    <w:lvl w:ilvl="6" w:tentative="0">
      <w:start w:val="1"/>
      <w:numFmt w:val="decimal"/>
      <w:lvlText w:val="%7."/>
      <w:lvlJc w:val="left"/>
      <w:pPr>
        <w:ind w:left="3562" w:hanging="420"/>
      </w:pPr>
    </w:lvl>
    <w:lvl w:ilvl="7" w:tentative="0">
      <w:start w:val="1"/>
      <w:numFmt w:val="lowerLetter"/>
      <w:lvlText w:val="%8)"/>
      <w:lvlJc w:val="left"/>
      <w:pPr>
        <w:ind w:left="3982" w:hanging="420"/>
      </w:pPr>
    </w:lvl>
    <w:lvl w:ilvl="8" w:tentative="0">
      <w:start w:val="1"/>
      <w:numFmt w:val="lowerRoman"/>
      <w:lvlText w:val="%9."/>
      <w:lvlJc w:val="right"/>
      <w:pPr>
        <w:ind w:left="4402" w:hanging="420"/>
      </w:pPr>
    </w:lvl>
  </w:abstractNum>
  <w:abstractNum w:abstractNumId="1">
    <w:nsid w:val="5A4F2DAA"/>
    <w:multiLevelType w:val="singleLevel"/>
    <w:tmpl w:val="5A4F2DAA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796DEC"/>
    <w:multiLevelType w:val="singleLevel"/>
    <w:tmpl w:val="5A796DE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1"/>
  <w:drawingGridVerticalSpacing w:val="156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313C3"/>
    <w:rsid w:val="0012541B"/>
    <w:rsid w:val="00143741"/>
    <w:rsid w:val="001C1FAE"/>
    <w:rsid w:val="00287737"/>
    <w:rsid w:val="002C7139"/>
    <w:rsid w:val="003433C2"/>
    <w:rsid w:val="003E511C"/>
    <w:rsid w:val="00445E9B"/>
    <w:rsid w:val="004A361C"/>
    <w:rsid w:val="004A4FCD"/>
    <w:rsid w:val="0050237F"/>
    <w:rsid w:val="00523B2A"/>
    <w:rsid w:val="005310B6"/>
    <w:rsid w:val="0057281C"/>
    <w:rsid w:val="00572C9B"/>
    <w:rsid w:val="006146E7"/>
    <w:rsid w:val="00634902"/>
    <w:rsid w:val="0066256C"/>
    <w:rsid w:val="006809CF"/>
    <w:rsid w:val="006A5182"/>
    <w:rsid w:val="006F4746"/>
    <w:rsid w:val="009B3604"/>
    <w:rsid w:val="00AC056C"/>
    <w:rsid w:val="00AC5FB8"/>
    <w:rsid w:val="00AD1309"/>
    <w:rsid w:val="00AE15E8"/>
    <w:rsid w:val="00AF3C49"/>
    <w:rsid w:val="00AF6D1B"/>
    <w:rsid w:val="00B30EED"/>
    <w:rsid w:val="00B736CE"/>
    <w:rsid w:val="00BD591A"/>
    <w:rsid w:val="00C2020D"/>
    <w:rsid w:val="00C21C08"/>
    <w:rsid w:val="00CC3999"/>
    <w:rsid w:val="00DB08FC"/>
    <w:rsid w:val="00DF3D32"/>
    <w:rsid w:val="00E24F49"/>
    <w:rsid w:val="00E6318D"/>
    <w:rsid w:val="00F6706A"/>
    <w:rsid w:val="01A614D4"/>
    <w:rsid w:val="053F7723"/>
    <w:rsid w:val="06F77594"/>
    <w:rsid w:val="0B7F3A91"/>
    <w:rsid w:val="11324E9B"/>
    <w:rsid w:val="124B5EE8"/>
    <w:rsid w:val="152515F0"/>
    <w:rsid w:val="1B331334"/>
    <w:rsid w:val="1E38183D"/>
    <w:rsid w:val="220553A9"/>
    <w:rsid w:val="299319F4"/>
    <w:rsid w:val="2BA70984"/>
    <w:rsid w:val="35B6439C"/>
    <w:rsid w:val="36486C67"/>
    <w:rsid w:val="3F105003"/>
    <w:rsid w:val="40721241"/>
    <w:rsid w:val="428E664C"/>
    <w:rsid w:val="48321B4D"/>
    <w:rsid w:val="4F847D20"/>
    <w:rsid w:val="5A567880"/>
    <w:rsid w:val="5A8A062D"/>
    <w:rsid w:val="604E583F"/>
    <w:rsid w:val="61E34846"/>
    <w:rsid w:val="70BF759B"/>
    <w:rsid w:val="745D3D35"/>
    <w:rsid w:val="79611090"/>
    <w:rsid w:val="7BAC58FF"/>
    <w:rsid w:val="7DA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476</Words>
  <Characters>2718</Characters>
  <Lines>22</Lines>
  <Paragraphs>6</Paragraphs>
  <TotalTime>3</TotalTime>
  <ScaleCrop>false</ScaleCrop>
  <LinksUpToDate>false</LinksUpToDate>
  <CharactersWithSpaces>3188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2021-06-03T02:23:00Z</dcterms:created>
  <dc:creator>Administrator</dc:creator>
  <cp:lastModifiedBy>Administrator</cp:lastModifiedBy>
  <cp:lastPrinted>2019-03-05T08:57:00Z</cp:lastPrinted>
  <dcterms:modified xsi:type="dcterms:W3CDTF">2021-06-03T02:47:16Z</dcterms:modified>
  <dc:title>焦作市财政局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