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栾川县人民检察院2017年决算公开说明</w:t>
      </w:r>
    </w:p>
    <w:p>
      <w:pPr>
        <w:spacing w:line="591" w:lineRule="exact"/>
        <w:ind w:firstLine="640" w:firstLineChars="200"/>
        <w:rPr>
          <w:rFonts w:ascii="仿宋_GB2312" w:hAnsi="仿宋_GB2312" w:eastAsia="仿宋_GB2312" w:cs="仿宋_GB2312"/>
          <w:sz w:val="32"/>
          <w:szCs w:val="32"/>
        </w:rPr>
      </w:pPr>
    </w:p>
    <w:p>
      <w:pPr>
        <w:spacing w:line="591" w:lineRule="exact"/>
        <w:jc w:val="center"/>
        <w:rPr>
          <w:rFonts w:ascii="黑体" w:hAnsi="黑体" w:eastAsia="黑体" w:cs="黑体"/>
          <w:sz w:val="32"/>
          <w:szCs w:val="32"/>
        </w:rPr>
      </w:pPr>
      <w:r>
        <w:rPr>
          <w:rFonts w:hint="eastAsia" w:ascii="黑体" w:hAnsi="黑体" w:eastAsia="黑体" w:cs="黑体"/>
          <w:sz w:val="32"/>
          <w:szCs w:val="32"/>
        </w:rPr>
        <w:t>一、部门概况</w:t>
      </w:r>
    </w:p>
    <w:p>
      <w:pPr>
        <w:spacing w:line="591" w:lineRule="exact"/>
        <w:rPr>
          <w:rFonts w:ascii="黑体" w:hAnsi="黑体" w:eastAsia="黑体" w:cs="黑体"/>
          <w:sz w:val="32"/>
          <w:szCs w:val="32"/>
        </w:rPr>
      </w:pPr>
    </w:p>
    <w:p>
      <w:pPr>
        <w:spacing w:line="591" w:lineRule="exact"/>
        <w:ind w:firstLine="640" w:firstLineChars="200"/>
        <w:rPr>
          <w:rFonts w:ascii="黑体" w:hAnsi="黑体" w:eastAsia="黑体" w:cs="黑体"/>
          <w:sz w:val="32"/>
          <w:szCs w:val="32"/>
        </w:rPr>
      </w:pPr>
      <w:r>
        <w:rPr>
          <w:rFonts w:hint="eastAsia" w:ascii="黑体" w:hAnsi="黑体" w:eastAsia="黑体" w:cs="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依法履行侦查、批准逮捕、审查起诉、支持公诉和刑事审判监督、刑罚执行监督及民事审判监督等法律监督职能，保证国家法律的统一和正确实施。</w:t>
      </w:r>
    </w:p>
    <w:p>
      <w:pPr>
        <w:spacing w:line="591" w:lineRule="exact"/>
        <w:ind w:firstLine="640" w:firstLineChars="200"/>
        <w:rPr>
          <w:rFonts w:ascii="黑体" w:hAnsi="黑体" w:eastAsia="黑体" w:cs="黑体"/>
          <w:sz w:val="32"/>
          <w:szCs w:val="32"/>
        </w:rPr>
      </w:pPr>
      <w:r>
        <w:rPr>
          <w:rFonts w:hint="eastAsia" w:ascii="黑体" w:hAnsi="黑体" w:eastAsia="黑体" w:cs="黑体"/>
          <w:sz w:val="32"/>
          <w:szCs w:val="32"/>
        </w:rPr>
        <w:t>（二）机构设置</w:t>
      </w:r>
    </w:p>
    <w:p>
      <w:pPr>
        <w:spacing w:line="591" w:lineRule="exact"/>
        <w:ind w:firstLine="640" w:firstLineChars="200"/>
        <w:rPr>
          <w:rFonts w:ascii="仿宋" w:hAnsi="仿宋" w:eastAsia="仿宋" w:cs="仿宋_GB2312"/>
          <w:sz w:val="32"/>
          <w:szCs w:val="32"/>
        </w:rPr>
      </w:pPr>
      <w:r>
        <w:rPr>
          <w:rFonts w:hint="eastAsia" w:ascii="仿宋" w:hAnsi="仿宋" w:eastAsia="仿宋"/>
          <w:sz w:val="32"/>
          <w:szCs w:val="32"/>
        </w:rPr>
        <w:t>栾川县人民检察院机关内设16个职能处室</w:t>
      </w:r>
      <w:r>
        <w:rPr>
          <w:rFonts w:hint="eastAsia" w:ascii="仿宋" w:hAnsi="仿宋" w:eastAsia="仿宋" w:cs="仿宋_GB2312"/>
          <w:sz w:val="32"/>
          <w:szCs w:val="32"/>
        </w:rPr>
        <w:t>，即：办公室、政治处、侦查监督科、公诉科、刑事执行检察局、民事行政检察科、控告申诉科、技术科、法警大队、纪检监察室、案件管理中心、反贪污贿赂局、反渎职侵权局、职务犯罪预防局、大要案指挥中心、后勤装备。</w:t>
      </w:r>
    </w:p>
    <w:p>
      <w:pPr>
        <w:ind w:firstLine="800" w:firstLineChars="250"/>
        <w:rPr>
          <w:rFonts w:ascii="仿宋" w:hAnsi="仿宋" w:eastAsia="仿宋"/>
          <w:sz w:val="32"/>
          <w:szCs w:val="32"/>
        </w:rPr>
      </w:pPr>
      <w:r>
        <w:rPr>
          <w:rFonts w:hint="eastAsia" w:ascii="仿宋" w:hAnsi="仿宋" w:eastAsia="仿宋"/>
          <w:sz w:val="32"/>
          <w:szCs w:val="32"/>
        </w:rPr>
        <w:t>栾川县人民检察院机关共有编制74人，其中：政法编制74人；2017年年底在职职工62人，离休1人，退休人员25人。</w:t>
      </w:r>
    </w:p>
    <w:p>
      <w:pPr>
        <w:spacing w:line="591" w:lineRule="exact"/>
        <w:jc w:val="center"/>
        <w:rPr>
          <w:rFonts w:ascii="仿宋_GB2312" w:hAnsi="仿宋_GB2312" w:eastAsia="仿宋_GB2312" w:cs="仿宋_GB2312"/>
          <w:sz w:val="32"/>
          <w:szCs w:val="32"/>
        </w:rPr>
      </w:pPr>
    </w:p>
    <w:p>
      <w:pPr>
        <w:spacing w:line="600" w:lineRule="atLeast"/>
        <w:jc w:val="center"/>
        <w:rPr>
          <w:rFonts w:ascii="黑体" w:hAnsi="黑体" w:eastAsia="黑体" w:cs="黑体"/>
          <w:b/>
          <w:sz w:val="32"/>
          <w:szCs w:val="32"/>
        </w:rPr>
      </w:pPr>
      <w:r>
        <w:rPr>
          <w:rFonts w:hint="eastAsia" w:ascii="黑体" w:hAnsi="黑体" w:eastAsia="黑体" w:cs="黑体"/>
          <w:b/>
          <w:sz w:val="32"/>
          <w:szCs w:val="32"/>
        </w:rPr>
        <w:t>二、2017年决算情况</w:t>
      </w:r>
    </w:p>
    <w:p>
      <w:pPr>
        <w:spacing w:line="600" w:lineRule="atLeast"/>
        <w:ind w:firstLine="643" w:firstLineChars="200"/>
        <w:rPr>
          <w:rFonts w:ascii="仿宋_GB2312" w:hAnsi="仿宋_GB2312" w:eastAsia="仿宋_GB2312" w:cs="仿宋_GB2312"/>
          <w:b/>
          <w:sz w:val="32"/>
          <w:szCs w:val="32"/>
        </w:rPr>
      </w:pPr>
    </w:p>
    <w:p>
      <w:pPr>
        <w:spacing w:line="600" w:lineRule="atLeas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（一）收</w:t>
      </w:r>
      <w:r>
        <w:rPr>
          <w:rFonts w:hint="eastAsia" w:ascii="楷体" w:hAnsi="楷体" w:eastAsia="楷体" w:cs="仿宋_GB2312"/>
          <w:b/>
          <w:bCs/>
          <w:sz w:val="32"/>
          <w:szCs w:val="32"/>
          <w:lang w:eastAsia="zh-CN"/>
        </w:rPr>
        <w:t>入</w:t>
      </w:r>
      <w:r>
        <w:rPr>
          <w:rFonts w:hint="eastAsia" w:ascii="楷体" w:hAnsi="楷体" w:eastAsia="楷体" w:cs="仿宋_GB2312"/>
          <w:b/>
          <w:bCs/>
          <w:sz w:val="32"/>
          <w:szCs w:val="32"/>
        </w:rPr>
        <w:t>情况</w:t>
      </w:r>
      <w:r>
        <w:rPr>
          <w:rFonts w:hint="eastAsia" w:ascii="楷体" w:hAnsi="楷体" w:eastAsia="楷体" w:cs="仿宋_GB2312"/>
          <w:b/>
          <w:bCs/>
          <w:sz w:val="32"/>
          <w:szCs w:val="32"/>
          <w:lang w:eastAsia="zh-CN"/>
        </w:rPr>
        <w:t>说明</w:t>
      </w:r>
    </w:p>
    <w:p>
      <w:pPr>
        <w:ind w:firstLine="630"/>
        <w:rPr>
          <w:rFonts w:ascii="仿宋" w:hAnsi="仿宋" w:eastAsia="仿宋"/>
          <w:sz w:val="32"/>
          <w:szCs w:val="32"/>
        </w:rPr>
      </w:pPr>
      <w:r>
        <w:rPr>
          <w:rFonts w:hint="eastAsia" w:ascii="仿宋" w:hAnsi="仿宋" w:eastAsia="仿宋" w:cs="仿宋_GB2312"/>
          <w:sz w:val="32"/>
          <w:szCs w:val="32"/>
        </w:rPr>
        <w:t>2017年收入1720.19万元，</w:t>
      </w:r>
      <w:r>
        <w:rPr>
          <w:rFonts w:hint="eastAsia" w:ascii="仿宋" w:hAnsi="仿宋" w:eastAsia="仿宋"/>
          <w:sz w:val="32"/>
          <w:szCs w:val="32"/>
        </w:rPr>
        <w:t>2016年收入决算1162.77万元</w:t>
      </w:r>
      <w:r>
        <w:rPr>
          <w:rFonts w:hint="eastAsia" w:ascii="仿宋" w:hAnsi="仿宋" w:eastAsia="仿宋" w:cs="仿宋_GB2312"/>
          <w:sz w:val="32"/>
          <w:szCs w:val="32"/>
        </w:rPr>
        <w:t>，比上年增加557.42万元，增长47.94%</w:t>
      </w:r>
      <w:r>
        <w:rPr>
          <w:rFonts w:hint="eastAsia" w:ascii="仿宋" w:hAnsi="仿宋" w:eastAsia="仿宋"/>
          <w:sz w:val="32"/>
          <w:szCs w:val="32"/>
        </w:rPr>
        <w:t>。其中：财政拨款1720.19万元。</w:t>
      </w:r>
    </w:p>
    <w:p>
      <w:pPr>
        <w:ind w:firstLine="630"/>
        <w:rPr>
          <w:rFonts w:ascii="楷体" w:hAnsi="楷体" w:eastAsia="楷体"/>
          <w:b/>
          <w:bCs/>
          <w:sz w:val="32"/>
          <w:szCs w:val="32"/>
        </w:rPr>
      </w:pPr>
      <w:r>
        <w:rPr>
          <w:rFonts w:hint="eastAsia" w:ascii="楷体" w:hAnsi="楷体" w:eastAsia="楷体"/>
          <w:b/>
          <w:bCs/>
          <w:sz w:val="32"/>
          <w:szCs w:val="32"/>
        </w:rPr>
        <w:t>（二）支出决算说明</w:t>
      </w:r>
    </w:p>
    <w:p>
      <w:pPr>
        <w:ind w:firstLine="630"/>
        <w:rPr>
          <w:rFonts w:ascii="仿宋" w:hAnsi="仿宋" w:eastAsia="仿宋"/>
          <w:sz w:val="32"/>
          <w:szCs w:val="32"/>
        </w:rPr>
      </w:pPr>
      <w:r>
        <w:rPr>
          <w:rFonts w:hint="eastAsia" w:ascii="仿宋" w:hAnsi="仿宋" w:eastAsia="仿宋"/>
          <w:sz w:val="32"/>
          <w:szCs w:val="32"/>
        </w:rPr>
        <w:t>2017年支出决算1459.27万元，2016年支出决算1135.24万元，比去年决算增加324.03万元，同比增加28.5%。</w:t>
      </w:r>
    </w:p>
    <w:p>
      <w:pPr>
        <w:ind w:firstLine="630"/>
        <w:rPr>
          <w:rFonts w:ascii="仿宋" w:hAnsi="仿宋" w:eastAsia="仿宋"/>
          <w:sz w:val="32"/>
          <w:szCs w:val="32"/>
        </w:rPr>
      </w:pPr>
      <w:r>
        <w:rPr>
          <w:rFonts w:hint="eastAsia" w:ascii="仿宋" w:hAnsi="仿宋" w:eastAsia="仿宋"/>
          <w:sz w:val="32"/>
          <w:szCs w:val="32"/>
        </w:rPr>
        <w:t>支出分别为：</w:t>
      </w:r>
    </w:p>
    <w:p>
      <w:pPr>
        <w:ind w:firstLine="640" w:firstLineChars="200"/>
        <w:rPr>
          <w:rFonts w:hint="eastAsia" w:ascii="仿宋" w:hAnsi="仿宋" w:eastAsia="仿宋"/>
          <w:sz w:val="32"/>
          <w:szCs w:val="32"/>
        </w:rPr>
      </w:pPr>
      <w:r>
        <w:rPr>
          <w:rFonts w:hint="eastAsia" w:ascii="仿宋" w:hAnsi="仿宋" w:eastAsia="仿宋"/>
          <w:sz w:val="32"/>
          <w:szCs w:val="32"/>
        </w:rPr>
        <w:t>基本支出964.5万元，比上年增加178.5万元，增长22.71%。支出增长的原因主要是工资福利提标,工资福利支出780.77万元，比上年增加216.74万元，增长38.4%；</w:t>
      </w:r>
    </w:p>
    <w:p>
      <w:pPr>
        <w:ind w:firstLine="480" w:firstLineChars="150"/>
        <w:rPr>
          <w:rFonts w:ascii="仿宋" w:hAnsi="仿宋" w:eastAsia="仿宋"/>
          <w:sz w:val="32"/>
          <w:szCs w:val="32"/>
        </w:rPr>
      </w:pPr>
      <w:r>
        <w:rPr>
          <w:rFonts w:hint="eastAsia" w:ascii="仿宋" w:hAnsi="仿宋" w:eastAsia="仿宋"/>
          <w:sz w:val="32"/>
          <w:szCs w:val="32"/>
        </w:rPr>
        <w:t xml:space="preserve"> 项目支出494.77万元，比上年增加145.52万元，增长41.67%。增加的原因主要是2016年部分费用2017年支付。其中：办公费45.58万元，比上年增加8.69万元，增长23.5%；差旅费80.89万元，比上年增加9.83万元，增长13.8%；会议费8.13万元，比上年增加8.13万元，2017年我院承办市院组织的两次大型会议；劳务费90.31万元，比上年增加4.65万元，增长5%；公车运行维护费51.44万元，比上年增加16.17万元，增长45.8%；</w:t>
      </w:r>
    </w:p>
    <w:p>
      <w:pPr>
        <w:ind w:firstLine="630"/>
        <w:rPr>
          <w:rFonts w:ascii="仿宋" w:hAnsi="仿宋" w:eastAsia="仿宋"/>
          <w:sz w:val="32"/>
          <w:szCs w:val="32"/>
        </w:rPr>
      </w:pPr>
      <w:r>
        <w:rPr>
          <w:rFonts w:hint="eastAsia" w:ascii="仿宋" w:hAnsi="仿宋" w:eastAsia="仿宋"/>
          <w:sz w:val="32"/>
          <w:szCs w:val="32"/>
        </w:rPr>
        <w:t>年末结转和结余529.76万元，比去年增加238.27万元，增长81.74%。增加原因主要是年终奖及弥补办案经费结转结余。</w:t>
      </w:r>
    </w:p>
    <w:p>
      <w:pPr>
        <w:spacing w:line="600" w:lineRule="atLeast"/>
        <w:ind w:firstLine="723" w:firstLineChars="200"/>
        <w:rPr>
          <w:rFonts w:ascii="楷体" w:hAnsi="楷体" w:eastAsia="楷体" w:cs="仿宋_GB2312"/>
          <w:b/>
          <w:bCs/>
          <w:sz w:val="36"/>
          <w:szCs w:val="36"/>
        </w:rPr>
      </w:pPr>
      <w:r>
        <w:rPr>
          <w:rFonts w:hint="eastAsia" w:ascii="楷体" w:hAnsi="楷体" w:eastAsia="楷体" w:cs="仿宋_GB2312"/>
          <w:b/>
          <w:bCs/>
          <w:sz w:val="36"/>
          <w:szCs w:val="36"/>
        </w:rPr>
        <w:t>（</w:t>
      </w:r>
      <w:r>
        <w:rPr>
          <w:rFonts w:hint="eastAsia" w:ascii="楷体" w:hAnsi="楷体" w:eastAsia="楷体" w:cs="仿宋_GB2312"/>
          <w:b/>
          <w:bCs/>
          <w:sz w:val="36"/>
          <w:szCs w:val="36"/>
          <w:lang w:eastAsia="zh-CN"/>
        </w:rPr>
        <w:t>三</w:t>
      </w:r>
      <w:r>
        <w:rPr>
          <w:rFonts w:hint="eastAsia" w:ascii="楷体" w:hAnsi="楷体" w:eastAsia="楷体" w:cs="仿宋_GB2312"/>
          <w:b/>
          <w:bCs/>
          <w:sz w:val="36"/>
          <w:szCs w:val="36"/>
        </w:rPr>
        <w:t>）“三公”经费支出情况。</w:t>
      </w:r>
    </w:p>
    <w:p>
      <w:pPr>
        <w:spacing w:line="60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“三公”经费支出总额为55.38万元，比上年增加14.84万元，增加36.61%.具体情况如下：</w:t>
      </w:r>
    </w:p>
    <w:p>
      <w:pPr>
        <w:spacing w:line="60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1、因公出国（境）费用</w:t>
      </w:r>
    </w:p>
    <w:p>
      <w:pPr>
        <w:spacing w:line="600" w:lineRule="atLeast"/>
        <w:ind w:firstLine="640" w:firstLineChars="200"/>
        <w:rPr>
          <w:rFonts w:ascii="仿宋" w:hAnsi="仿宋" w:eastAsia="仿宋" w:cs="仿宋_GB2312"/>
          <w:sz w:val="32"/>
          <w:szCs w:val="32"/>
        </w:rPr>
      </w:pPr>
      <w:r>
        <w:rPr>
          <w:rFonts w:ascii="仿宋" w:hAnsi="仿宋" w:eastAsia="仿宋"/>
          <w:sz w:val="32"/>
          <w:szCs w:val="32"/>
        </w:rPr>
        <w:t>2017</w:t>
      </w:r>
      <w:r>
        <w:rPr>
          <w:rFonts w:hint="eastAsia" w:ascii="仿宋" w:hAnsi="仿宋" w:eastAsia="仿宋"/>
          <w:sz w:val="32"/>
          <w:szCs w:val="32"/>
        </w:rPr>
        <w:t>年</w:t>
      </w:r>
      <w:r>
        <w:rPr>
          <w:rFonts w:hint="eastAsia" w:ascii="仿宋_GB2312" w:hAnsi="仿宋_GB2312" w:eastAsia="仿宋_GB2312" w:cs="仿宋_GB2312"/>
          <w:color w:val="auto"/>
          <w:sz w:val="32"/>
          <w:szCs w:val="32"/>
          <w:highlight w:val="none"/>
          <w:lang w:val="en-US" w:eastAsia="zh-CN"/>
        </w:rPr>
        <w:t>因公出国、出境人数为0，批次为0；</w:t>
      </w:r>
      <w:r>
        <w:rPr>
          <w:rFonts w:hint="eastAsia" w:ascii="仿宋" w:hAnsi="仿宋" w:eastAsia="仿宋" w:cs="仿宋_GB2312"/>
          <w:sz w:val="32"/>
          <w:szCs w:val="32"/>
        </w:rPr>
        <w:t>2017年因公出国（境）费用0万元，上年因公出国（境）费用0万元。</w:t>
      </w:r>
    </w:p>
    <w:p>
      <w:pPr>
        <w:spacing w:line="600" w:lineRule="atLeast"/>
        <w:ind w:firstLine="800" w:firstLineChars="250"/>
        <w:rPr>
          <w:rFonts w:ascii="仿宋" w:hAnsi="仿宋" w:eastAsia="仿宋" w:cs="仿宋_GB2312"/>
          <w:sz w:val="32"/>
          <w:szCs w:val="32"/>
        </w:rPr>
      </w:pPr>
      <w:r>
        <w:rPr>
          <w:rFonts w:hint="eastAsia" w:ascii="仿宋" w:hAnsi="仿宋" w:eastAsia="仿宋" w:cs="仿宋_GB2312"/>
          <w:sz w:val="32"/>
          <w:szCs w:val="32"/>
        </w:rPr>
        <w:t>2、公务接待费</w:t>
      </w:r>
    </w:p>
    <w:p>
      <w:pPr>
        <w:spacing w:line="600" w:lineRule="atLeast"/>
        <w:rPr>
          <w:rFonts w:ascii="仿宋" w:hAnsi="仿宋" w:eastAsia="仿宋" w:cs="仿宋_GB2312"/>
          <w:sz w:val="32"/>
          <w:szCs w:val="32"/>
        </w:rPr>
      </w:pPr>
      <w:r>
        <w:rPr>
          <w:rFonts w:hint="eastAsia" w:ascii="仿宋" w:hAnsi="仿宋" w:eastAsia="仿宋" w:cs="仿宋_GB2312"/>
          <w:sz w:val="32"/>
          <w:szCs w:val="32"/>
        </w:rPr>
        <w:t xml:space="preserve">    2017年公务接待费支出3.94万元，比上年减少0.82万元，减少17.24%。公务接待费减少的原因主要是压缩接待费用。全年共接待38次，313人。</w:t>
      </w:r>
    </w:p>
    <w:p>
      <w:pPr>
        <w:spacing w:line="60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3、公务用车费</w:t>
      </w:r>
    </w:p>
    <w:p>
      <w:pPr>
        <w:spacing w:line="600" w:lineRule="atLeas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2017年公务用车费支出51.43万元。其中：（1）公务用车运行维护费51.43万元，比上年增加16.16万元，增加45.82%。公务用车运行维护费增加的原因主要是2016年部分维护费用2017年支付。（2）公务用车购置0万元，上年公务用车购置0万元，无变化。</w:t>
      </w:r>
    </w:p>
    <w:p>
      <w:pPr>
        <w:numPr>
          <w:ilvl w:val="0"/>
          <w:numId w:val="1"/>
        </w:numPr>
        <w:spacing w:line="600" w:lineRule="atLeas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公务用车保有量</w:t>
      </w:r>
    </w:p>
    <w:p>
      <w:pPr>
        <w:numPr>
          <w:ilvl w:val="0"/>
          <w:numId w:val="0"/>
        </w:numPr>
        <w:spacing w:line="600" w:lineRule="atLeas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本单位没有购置</w:t>
      </w:r>
    </w:p>
    <w:p>
      <w:pPr>
        <w:spacing w:line="600" w:lineRule="atLeast"/>
        <w:ind w:firstLine="630" w:firstLineChars="196"/>
        <w:rPr>
          <w:rFonts w:ascii="楷体" w:hAnsi="楷体" w:eastAsia="楷体" w:cs="仿宋_GB2312"/>
          <w:b/>
          <w:bCs/>
          <w:sz w:val="32"/>
          <w:szCs w:val="32"/>
        </w:rPr>
      </w:pPr>
      <w:r>
        <w:rPr>
          <w:rFonts w:hint="eastAsia" w:ascii="楷体" w:hAnsi="楷体" w:eastAsia="楷体" w:cs="仿宋_GB2312"/>
          <w:b/>
          <w:bCs/>
          <w:sz w:val="32"/>
          <w:szCs w:val="32"/>
        </w:rPr>
        <w:t>（三）机关运行经费支出情况。</w:t>
      </w:r>
    </w:p>
    <w:p>
      <w:pPr>
        <w:spacing w:line="600" w:lineRule="atLeast"/>
        <w:ind w:firstLine="480" w:firstLineChars="150"/>
        <w:jc w:val="left"/>
        <w:rPr>
          <w:rFonts w:ascii="仿宋" w:hAnsi="仿宋" w:eastAsia="仿宋" w:cs="仿宋_GB2312"/>
          <w:sz w:val="32"/>
          <w:szCs w:val="32"/>
        </w:rPr>
      </w:pPr>
      <w:r>
        <w:rPr>
          <w:rFonts w:hint="eastAsia" w:ascii="仿宋" w:hAnsi="仿宋" w:eastAsia="仿宋" w:cs="仿宋_GB2312"/>
          <w:sz w:val="32"/>
          <w:szCs w:val="32"/>
        </w:rPr>
        <w:t>2017年机关运行经费支出26.16万元，比上年增加2.45万元，增加10.36%</w:t>
      </w:r>
      <w:r>
        <w:rPr>
          <w:rFonts w:hint="eastAsia" w:ascii="宋体" w:hAnsi="宋体" w:eastAsia="宋体" w:cs="宋体"/>
          <w:sz w:val="32"/>
          <w:szCs w:val="32"/>
        </w:rPr>
        <w:t>。</w:t>
      </w:r>
      <w:r>
        <w:rPr>
          <w:rFonts w:hint="eastAsia" w:ascii="宋体" w:hAnsi="宋体" w:eastAsia="宋体" w:cs="宋体"/>
          <w:color w:val="auto"/>
          <w:sz w:val="32"/>
          <w:szCs w:val="32"/>
          <w:highlight w:val="none"/>
          <w:lang w:val="en-US" w:eastAsia="zh-CN"/>
        </w:rPr>
        <w:t>增加的主要原因是：人员工资增长和社会保障经费增加</w:t>
      </w:r>
      <w:r>
        <w:rPr>
          <w:rFonts w:hint="eastAsia" w:ascii="仿宋_GB2312" w:hAnsi="仿宋_GB2312" w:eastAsia="仿宋_GB2312" w:cs="仿宋_GB2312"/>
          <w:color w:val="auto"/>
          <w:sz w:val="32"/>
          <w:szCs w:val="32"/>
          <w:highlight w:val="none"/>
          <w:lang w:val="en-US" w:eastAsia="zh-CN"/>
        </w:rPr>
        <w:t>。</w:t>
      </w:r>
      <w:r>
        <w:rPr>
          <w:rFonts w:hint="eastAsia" w:ascii="仿宋" w:hAnsi="仿宋" w:eastAsia="仿宋" w:cs="仿宋_GB2312"/>
          <w:sz w:val="32"/>
          <w:szCs w:val="32"/>
        </w:rPr>
        <w:t>主要费</w:t>
      </w:r>
      <w:bookmarkStart w:id="0" w:name="_GoBack"/>
      <w:bookmarkEnd w:id="0"/>
      <w:r>
        <w:rPr>
          <w:rFonts w:hint="eastAsia" w:ascii="仿宋" w:hAnsi="仿宋" w:eastAsia="仿宋" w:cs="仿宋_GB2312"/>
          <w:sz w:val="32"/>
          <w:szCs w:val="32"/>
        </w:rPr>
        <w:t>用包括：办公费5万元，被装购置费12.5万元，工会费1.75万元，福利费6.91万元。</w:t>
      </w:r>
    </w:p>
    <w:p>
      <w:pPr>
        <w:spacing w:line="600" w:lineRule="atLeast"/>
        <w:ind w:left="479" w:leftChars="228"/>
        <w:rPr>
          <w:rFonts w:ascii="楷体" w:hAnsi="楷体" w:eastAsia="楷体" w:cs="仿宋_GB2312"/>
          <w:sz w:val="32"/>
          <w:szCs w:val="32"/>
        </w:rPr>
      </w:pPr>
      <w:r>
        <w:rPr>
          <w:rFonts w:hint="eastAsia" w:ascii="楷体" w:hAnsi="楷体" w:eastAsia="楷体" w:cs="仿宋_GB2312"/>
          <w:sz w:val="32"/>
          <w:szCs w:val="32"/>
        </w:rPr>
        <w:t xml:space="preserve"> </w:t>
      </w:r>
      <w:r>
        <w:rPr>
          <w:rFonts w:hint="eastAsia" w:ascii="楷体" w:hAnsi="楷体" w:eastAsia="楷体" w:cs="仿宋_GB2312"/>
          <w:b/>
          <w:bCs/>
          <w:sz w:val="32"/>
          <w:szCs w:val="32"/>
        </w:rPr>
        <w:t>（四）国有资产占用情况</w:t>
      </w:r>
      <w:r>
        <w:rPr>
          <w:rFonts w:hint="eastAsia" w:ascii="楷体" w:hAnsi="楷体" w:eastAsia="楷体" w:cs="仿宋_GB2312"/>
          <w:sz w:val="32"/>
          <w:szCs w:val="32"/>
        </w:rPr>
        <w:t>。</w:t>
      </w:r>
    </w:p>
    <w:p>
      <w:pPr>
        <w:ind w:firstLine="480" w:firstLineChars="150"/>
        <w:rPr>
          <w:rFonts w:hint="eastAsia" w:ascii="仿宋" w:hAnsi="仿宋" w:eastAsia="仿宋"/>
          <w:sz w:val="32"/>
          <w:szCs w:val="32"/>
        </w:rPr>
      </w:pPr>
      <w:r>
        <w:rPr>
          <w:rFonts w:hint="eastAsia" w:ascii="仿宋" w:hAnsi="仿宋" w:eastAsia="仿宋" w:cs="仿宋_GB2312"/>
          <w:sz w:val="32"/>
          <w:szCs w:val="32"/>
        </w:rPr>
        <w:t>2017年固定资产1540.71万元，比上年增加70.13万元，增加4.77%。固定资产主要包含：一、办公用房2550平方米，价值191.47万元；二、公务车辆18台，价值465.94万元；三、其他固定资产883.3万元,</w:t>
      </w:r>
      <w:r>
        <w:rPr>
          <w:rFonts w:hint="eastAsia" w:ascii="仿宋" w:hAnsi="仿宋" w:eastAsia="仿宋"/>
          <w:kern w:val="0"/>
          <w:sz w:val="30"/>
          <w:szCs w:val="30"/>
        </w:rPr>
        <w:t xml:space="preserve"> 涵盖了统一业务应用系统、审讯系统、分级保护、分支网络建设及侦查设备</w:t>
      </w:r>
      <w:r>
        <w:rPr>
          <w:rFonts w:hint="eastAsia" w:ascii="仿宋" w:hAnsi="仿宋" w:eastAsia="仿宋"/>
          <w:sz w:val="32"/>
          <w:szCs w:val="32"/>
        </w:rPr>
        <w:t>等装备。</w:t>
      </w:r>
    </w:p>
    <w:p>
      <w:pPr>
        <w:spacing w:line="600" w:lineRule="atLeast"/>
        <w:ind w:firstLine="643" w:firstLineChars="200"/>
        <w:rPr>
          <w:rFonts w:hint="eastAsia" w:ascii="楷体" w:hAnsi="楷体" w:eastAsia="楷体" w:cs="仿宋_GB2312"/>
          <w:b/>
          <w:bCs/>
          <w:sz w:val="32"/>
          <w:szCs w:val="32"/>
        </w:rPr>
      </w:pPr>
      <w:r>
        <w:rPr>
          <w:rFonts w:hint="eastAsia" w:ascii="楷体" w:hAnsi="楷体" w:eastAsia="楷体" w:cs="仿宋_GB2312"/>
          <w:b/>
          <w:bCs/>
          <w:sz w:val="32"/>
          <w:szCs w:val="32"/>
        </w:rPr>
        <w:t>（五）政府采购执行情况。</w:t>
      </w:r>
    </w:p>
    <w:p>
      <w:pPr>
        <w:spacing w:line="600" w:lineRule="atLeas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2017年申请政府采购4次，预算金额总计76.01万元，实际采购金额68.43万元：其中货物采购3次，分别为检察工作网项目，预算金额14.93万元，实际采购金额13.93万元，用于部署全市检察系统工作网，至年底已完工验收并投入使用；检务通“云平台”终端项目，预算金额40.87万元，实际采购金额37.73万元，由省院统一筹划，8月已到位并使用；分支网络监控设备及考勤系统设备采购，预算金额13.36万元，实际采购金额10.76万元，用于升级改造驻所监察室监控设备，新购置考勤系统，规范上下班纪律，货物已于5月安装到位并投入使用。采购服务类项目1次，用于空调维修，预算金额6.84万元，实际采购金额6.84万元，2月已维修完毕。</w:t>
      </w:r>
    </w:p>
    <w:p>
      <w:pPr>
        <w:spacing w:line="600" w:lineRule="atLeast"/>
        <w:jc w:val="center"/>
        <w:rPr>
          <w:rFonts w:ascii="黑体" w:hAnsi="黑体" w:eastAsia="黑体" w:cs="黑体"/>
          <w:b/>
          <w:sz w:val="32"/>
          <w:szCs w:val="32"/>
        </w:rPr>
      </w:pPr>
      <w:r>
        <w:rPr>
          <w:rFonts w:hint="eastAsia" w:ascii="黑体" w:hAnsi="黑体" w:eastAsia="黑体" w:cs="黑体"/>
          <w:b/>
          <w:sz w:val="32"/>
          <w:szCs w:val="32"/>
        </w:rPr>
        <w:t>三、2017年项目绩效自评报告</w:t>
      </w:r>
    </w:p>
    <w:p>
      <w:pPr>
        <w:widowControl/>
        <w:spacing w:line="419" w:lineRule="atLeast"/>
        <w:ind w:firstLine="640"/>
        <w:jc w:val="left"/>
        <w:rPr>
          <w:rFonts w:ascii="仿宋" w:hAnsi="仿宋" w:eastAsia="仿宋" w:cs="宋体"/>
          <w:color w:val="000000"/>
          <w:kern w:val="0"/>
          <w:sz w:val="23"/>
          <w:szCs w:val="23"/>
        </w:rPr>
      </w:pPr>
      <w:r>
        <w:rPr>
          <w:rFonts w:hint="eastAsia" w:ascii="仿宋" w:hAnsi="仿宋" w:eastAsia="仿宋" w:cs="宋体"/>
          <w:color w:val="333333"/>
          <w:kern w:val="0"/>
          <w:sz w:val="32"/>
          <w:szCs w:val="32"/>
        </w:rPr>
        <w:t>按照栾川县财政局绩效办要求</w:t>
      </w:r>
      <w:r>
        <w:rPr>
          <w:rFonts w:hint="eastAsia" w:ascii="仿宋" w:hAnsi="仿宋" w:eastAsia="仿宋" w:cs="宋体"/>
          <w:color w:val="000000"/>
          <w:kern w:val="0"/>
          <w:sz w:val="32"/>
          <w:szCs w:val="32"/>
        </w:rPr>
        <w:t>，对照我单位申请预算时的绩效目标，我们根据《栾川县财政支出绩效评价指标体系》指标，开展了自我评价，现将有关自评情况报告如下：</w:t>
      </w:r>
    </w:p>
    <w:p>
      <w:pPr>
        <w:widowControl/>
        <w:spacing w:line="419" w:lineRule="atLeast"/>
        <w:ind w:firstLine="643"/>
        <w:jc w:val="left"/>
        <w:rPr>
          <w:rFonts w:ascii="楷体" w:hAnsi="楷体" w:eastAsia="楷体" w:cs="宋体"/>
          <w:color w:val="000000"/>
          <w:kern w:val="0"/>
          <w:sz w:val="23"/>
          <w:szCs w:val="23"/>
        </w:rPr>
      </w:pPr>
      <w:r>
        <w:rPr>
          <w:rFonts w:hint="eastAsia" w:ascii="楷体" w:hAnsi="楷体" w:eastAsia="楷体" w:cs="宋体"/>
          <w:bCs/>
          <w:color w:val="000000"/>
          <w:kern w:val="0"/>
          <w:sz w:val="32"/>
          <w:szCs w:val="32"/>
        </w:rPr>
        <w:t>（一）、项目概况</w:t>
      </w:r>
    </w:p>
    <w:p>
      <w:pPr>
        <w:widowControl/>
        <w:spacing w:line="419"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1.项目单位基本情况</w:t>
      </w:r>
    </w:p>
    <w:p>
      <w:pPr>
        <w:rPr>
          <w:rFonts w:ascii="仿宋" w:hAnsi="仿宋" w:eastAsia="仿宋"/>
          <w:sz w:val="32"/>
          <w:szCs w:val="32"/>
        </w:rPr>
      </w:pPr>
      <w:r>
        <w:rPr>
          <w:rFonts w:hint="eastAsia" w:ascii="仿宋" w:hAnsi="仿宋" w:eastAsia="仿宋"/>
          <w:sz w:val="32"/>
          <w:szCs w:val="32"/>
        </w:rPr>
        <w:t xml:space="preserve">    栾川县人民检察院机关内设16个职能处室。主要职责是：依法履行侦查、批准逮捕、审查起诉、支持公诉和刑事审判监督、刑罚执行监督及民事审判监督等法律监督职能，保证国家法律的统一和正确实施。</w:t>
      </w:r>
    </w:p>
    <w:p>
      <w:pPr>
        <w:widowControl/>
        <w:spacing w:line="419" w:lineRule="atLeast"/>
        <w:ind w:firstLine="640"/>
        <w:jc w:val="left"/>
        <w:rPr>
          <w:rFonts w:ascii="仿宋" w:hAnsi="仿宋" w:eastAsia="仿宋"/>
          <w:sz w:val="32"/>
          <w:szCs w:val="32"/>
        </w:rPr>
      </w:pPr>
      <w:r>
        <w:rPr>
          <w:rFonts w:hint="eastAsia" w:ascii="仿宋" w:hAnsi="仿宋" w:eastAsia="仿宋"/>
          <w:sz w:val="32"/>
          <w:szCs w:val="32"/>
        </w:rPr>
        <w:t>栾川县人民检察院机关共有编制74人，其中：政法编制74人；2016年年底在职职工64人，离退休人员23人。</w:t>
      </w:r>
    </w:p>
    <w:p>
      <w:pPr>
        <w:widowControl/>
        <w:spacing w:line="419"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2.项目基本性质、用途和主要内容、涉及范围</w:t>
      </w:r>
    </w:p>
    <w:p>
      <w:pPr>
        <w:widowControl/>
        <w:spacing w:line="419"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专题警示教育报告会是我院深入贯彻中央、省委、市委、县委扶贫开发工作会议精神，扎实开展集中整治和加强预防扶贫领域犯罪的平台，会议主要针对扶贫资金管理使用、扶贫对象精准识别等重点环节，开展预防调查、有效服务和保障全县脱贫攻坚工作的顺利开展。</w:t>
      </w:r>
    </w:p>
    <w:p>
      <w:pPr>
        <w:widowControl/>
        <w:spacing w:line="419" w:lineRule="atLeast"/>
        <w:ind w:firstLine="643"/>
        <w:jc w:val="left"/>
        <w:rPr>
          <w:rFonts w:ascii="楷体" w:hAnsi="楷体" w:eastAsia="楷体" w:cs="宋体"/>
          <w:bCs/>
          <w:color w:val="000000"/>
          <w:kern w:val="0"/>
          <w:sz w:val="32"/>
          <w:szCs w:val="32"/>
        </w:rPr>
      </w:pPr>
      <w:r>
        <w:rPr>
          <w:rFonts w:hint="eastAsia" w:ascii="仿宋" w:hAnsi="仿宋" w:eastAsia="仿宋" w:cs="宋体"/>
          <w:b/>
          <w:bCs/>
          <w:color w:val="000000"/>
          <w:kern w:val="0"/>
          <w:sz w:val="32"/>
          <w:szCs w:val="32"/>
        </w:rPr>
        <w:t xml:space="preserve"> </w:t>
      </w:r>
      <w:r>
        <w:rPr>
          <w:rFonts w:hint="eastAsia" w:ascii="楷体" w:hAnsi="楷体" w:eastAsia="楷体" w:cs="宋体"/>
          <w:bCs/>
          <w:color w:val="000000"/>
          <w:kern w:val="0"/>
          <w:sz w:val="32"/>
          <w:szCs w:val="32"/>
        </w:rPr>
        <w:t>(二)、项目资金使用及管理情况</w:t>
      </w:r>
    </w:p>
    <w:p>
      <w:pPr>
        <w:widowControl/>
        <w:spacing w:line="419"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1.项目投入安排落实等情况</w:t>
      </w:r>
    </w:p>
    <w:p>
      <w:pPr>
        <w:widowControl/>
        <w:spacing w:line="419" w:lineRule="atLeast"/>
        <w:ind w:firstLine="640"/>
        <w:jc w:val="left"/>
        <w:rPr>
          <w:rFonts w:ascii="仿宋" w:hAnsi="仿宋" w:eastAsia="仿宋" w:cs="宋体"/>
          <w:color w:val="000000"/>
          <w:kern w:val="0"/>
          <w:sz w:val="23"/>
          <w:szCs w:val="23"/>
        </w:rPr>
      </w:pPr>
      <w:r>
        <w:rPr>
          <w:rFonts w:hint="eastAsia" w:ascii="仿宋" w:hAnsi="仿宋" w:eastAsia="仿宋" w:cs="宋体"/>
          <w:color w:val="000000"/>
          <w:kern w:val="0"/>
          <w:sz w:val="32"/>
          <w:szCs w:val="32"/>
        </w:rPr>
        <w:t>该部分资金总额5万元，为财政专项资金。</w:t>
      </w:r>
    </w:p>
    <w:p>
      <w:pPr>
        <w:widowControl/>
        <w:spacing w:line="419"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2.财政资金实际使用情况</w:t>
      </w:r>
    </w:p>
    <w:p>
      <w:pPr>
        <w:widowControl/>
        <w:spacing w:line="419" w:lineRule="atLeast"/>
        <w:jc w:val="left"/>
        <w:rPr>
          <w:rFonts w:ascii="仿宋" w:hAnsi="仿宋" w:eastAsia="仿宋" w:cs="宋体"/>
          <w:color w:val="000000"/>
          <w:kern w:val="0"/>
          <w:sz w:val="23"/>
          <w:szCs w:val="23"/>
        </w:rPr>
      </w:pPr>
      <w:r>
        <w:rPr>
          <w:rFonts w:hint="eastAsia" w:ascii="仿宋" w:hAnsi="仿宋" w:eastAsia="仿宋" w:cs="宋体"/>
          <w:color w:val="000000"/>
          <w:kern w:val="0"/>
          <w:sz w:val="32"/>
          <w:szCs w:val="32"/>
        </w:rPr>
        <w:t xml:space="preserve">    项目资金全部用于会议部署：文件及版面打印11376元；会场布置38624元。</w:t>
      </w:r>
    </w:p>
    <w:p>
      <w:pPr>
        <w:widowControl/>
        <w:spacing w:line="419"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3.项目资金管理情况</w:t>
      </w:r>
    </w:p>
    <w:p>
      <w:pPr>
        <w:widowControl/>
        <w:spacing w:line="419" w:lineRule="atLeast"/>
        <w:ind w:firstLine="640"/>
        <w:jc w:val="left"/>
        <w:rPr>
          <w:rFonts w:ascii="仿宋" w:hAnsi="仿宋" w:eastAsia="仿宋" w:cs="宋体"/>
          <w:color w:val="000000"/>
          <w:kern w:val="0"/>
          <w:sz w:val="23"/>
          <w:szCs w:val="23"/>
        </w:rPr>
      </w:pPr>
      <w:r>
        <w:rPr>
          <w:rFonts w:hint="eastAsia" w:ascii="仿宋" w:hAnsi="仿宋" w:eastAsia="仿宋" w:cs="宋体"/>
          <w:color w:val="000000"/>
          <w:kern w:val="0"/>
          <w:sz w:val="32"/>
          <w:szCs w:val="32"/>
        </w:rPr>
        <w:t xml:space="preserve"> 项目资金有预防局按实际需要提出书面资金申请，由院财务填报年初预算，根据会后实际支出，提供有效发票及明细等，由经手人、科室负责人及主管财务副职签字后实报实销。</w:t>
      </w:r>
    </w:p>
    <w:p>
      <w:pPr>
        <w:widowControl/>
        <w:spacing w:line="419" w:lineRule="atLeast"/>
        <w:ind w:firstLine="643"/>
        <w:jc w:val="left"/>
        <w:rPr>
          <w:rFonts w:ascii="仿宋" w:hAnsi="仿宋" w:eastAsia="仿宋" w:cs="宋体"/>
          <w:color w:val="000000"/>
          <w:kern w:val="0"/>
          <w:sz w:val="23"/>
          <w:szCs w:val="23"/>
        </w:rPr>
      </w:pPr>
      <w:r>
        <w:rPr>
          <w:rFonts w:hint="eastAsia" w:ascii="仿宋" w:hAnsi="仿宋" w:eastAsia="仿宋" w:cs="宋体"/>
          <w:b/>
          <w:bCs/>
          <w:color w:val="000000"/>
          <w:kern w:val="0"/>
          <w:sz w:val="32"/>
          <w:szCs w:val="32"/>
        </w:rPr>
        <w:t xml:space="preserve"> </w:t>
      </w:r>
      <w:r>
        <w:rPr>
          <w:rFonts w:hint="eastAsia" w:ascii="楷体" w:hAnsi="楷体" w:eastAsia="楷体" w:cs="宋体"/>
          <w:bCs/>
          <w:color w:val="000000"/>
          <w:kern w:val="0"/>
          <w:sz w:val="32"/>
          <w:szCs w:val="32"/>
        </w:rPr>
        <w:t>(三)、项目组织实施情况</w:t>
      </w:r>
    </w:p>
    <w:p>
      <w:pPr>
        <w:widowControl/>
        <w:spacing w:line="419"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我院承办专题警示教育报告会，报告会会期半天，由预防局牵头，负责与市院沟通对接、印制会务手册及宣传版面、做好会场布置等工作。</w:t>
      </w:r>
    </w:p>
    <w:p>
      <w:pPr>
        <w:widowControl/>
        <w:spacing w:line="419" w:lineRule="atLeast"/>
        <w:ind w:firstLine="643"/>
        <w:jc w:val="left"/>
        <w:rPr>
          <w:rFonts w:ascii="仿宋" w:hAnsi="仿宋" w:eastAsia="仿宋" w:cs="宋体"/>
          <w:color w:val="000000"/>
          <w:kern w:val="0"/>
          <w:sz w:val="23"/>
          <w:szCs w:val="23"/>
        </w:rPr>
      </w:pPr>
      <w:r>
        <w:rPr>
          <w:rFonts w:hint="eastAsia" w:ascii="仿宋" w:hAnsi="仿宋" w:eastAsia="仿宋" w:cs="宋体"/>
          <w:b/>
          <w:bCs/>
          <w:color w:val="000000"/>
          <w:kern w:val="0"/>
          <w:sz w:val="32"/>
          <w:szCs w:val="32"/>
        </w:rPr>
        <w:t xml:space="preserve"> </w:t>
      </w:r>
      <w:r>
        <w:rPr>
          <w:rFonts w:hint="eastAsia" w:ascii="楷体" w:hAnsi="楷体" w:eastAsia="楷体" w:cs="宋体"/>
          <w:bCs/>
          <w:color w:val="000000"/>
          <w:kern w:val="0"/>
          <w:sz w:val="32"/>
          <w:szCs w:val="32"/>
        </w:rPr>
        <w:t>(四)、项目绩效情况</w:t>
      </w:r>
    </w:p>
    <w:p>
      <w:pPr>
        <w:widowControl/>
        <w:spacing w:line="419"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专题警示教育报告会内容以扶贫先进事迹、反面剖析危害扶贫领域的典型案例为主；围绕本地区近年来查办的扶贫领域的职务犯罪典型案例进行宣讲，揭示职务犯罪的危险危害。最终为切实推进了我县扶贫领域反腐倡廉建设，保障扶贫攻坚工程的顺利实施，全面提高基层干部的法律意识和廉政观念，鼓励群众参与和监督扶贫专项工作，保障和促进扶贫工作的顺利推进。</w:t>
      </w:r>
    </w:p>
    <w:p>
      <w:pPr>
        <w:widowControl/>
        <w:spacing w:line="419" w:lineRule="atLeast"/>
        <w:ind w:firstLine="643"/>
        <w:jc w:val="left"/>
        <w:rPr>
          <w:rFonts w:ascii="楷体" w:hAnsi="楷体" w:eastAsia="楷体" w:cs="宋体"/>
          <w:bCs/>
          <w:color w:val="000000"/>
          <w:kern w:val="0"/>
          <w:sz w:val="32"/>
          <w:szCs w:val="32"/>
        </w:rPr>
      </w:pPr>
      <w:r>
        <w:rPr>
          <w:rFonts w:hint="eastAsia" w:ascii="楷体" w:hAnsi="楷体" w:eastAsia="楷体" w:cs="宋体"/>
          <w:bCs/>
          <w:color w:val="000000"/>
          <w:kern w:val="0"/>
          <w:sz w:val="32"/>
          <w:szCs w:val="32"/>
        </w:rPr>
        <w:t xml:space="preserve"> (五)、项目评价工作情况</w:t>
      </w:r>
    </w:p>
    <w:p>
      <w:pPr>
        <w:widowControl/>
        <w:spacing w:line="820" w:lineRule="atLeas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我院按照年初预算及时将</w:t>
      </w:r>
      <w:r>
        <w:rPr>
          <w:rFonts w:hint="eastAsia" w:ascii="仿宋" w:hAnsi="仿宋" w:eastAsia="仿宋" w:cs="宋体"/>
          <w:color w:val="000000"/>
          <w:kern w:val="0"/>
          <w:sz w:val="32"/>
          <w:szCs w:val="32"/>
        </w:rPr>
        <w:t>专题警示教育报告会</w:t>
      </w:r>
      <w:r>
        <w:rPr>
          <w:rFonts w:hint="eastAsia" w:ascii="仿宋" w:hAnsi="仿宋" w:eastAsia="仿宋"/>
          <w:color w:val="000000"/>
          <w:sz w:val="32"/>
          <w:szCs w:val="32"/>
        </w:rPr>
        <w:t>资金项目计划50000元下达。同时基本能按项目计划的要求支出专项资金，将专项资金及时并有效地用于支持报告会；无擅自调项、扩项和缩项，未挤占截留挪用专项资金，做到专款专用，审批程序基本规范，较好的完成了计划目标。</w:t>
      </w:r>
    </w:p>
    <w:p>
      <w:pPr>
        <w:widowControl/>
        <w:spacing w:line="820" w:lineRule="atLeast"/>
        <w:jc w:val="left"/>
        <w:rPr>
          <w:rFonts w:ascii="仿宋" w:hAnsi="仿宋" w:eastAsia="仿宋" w:cs="宋体"/>
          <w:color w:val="000000"/>
          <w:kern w:val="0"/>
          <w:sz w:val="23"/>
          <w:szCs w:val="23"/>
        </w:rPr>
      </w:pPr>
      <w:r>
        <w:rPr>
          <w:rFonts w:hint="eastAsia" w:ascii="仿宋" w:hAnsi="仿宋" w:eastAsia="仿宋" w:cs="宋体"/>
          <w:color w:val="000000"/>
          <w:kern w:val="0"/>
          <w:sz w:val="32"/>
          <w:szCs w:val="32"/>
        </w:rPr>
        <w:t>评价工作负责人： 陈艳武     联系电话：13592005495</w:t>
      </w:r>
    </w:p>
    <w:p>
      <w:pPr>
        <w:widowControl/>
        <w:spacing w:line="820" w:lineRule="atLeast"/>
        <w:jc w:val="left"/>
        <w:rPr>
          <w:rFonts w:ascii="仿宋" w:hAnsi="仿宋" w:eastAsia="仿宋" w:cs="宋体"/>
          <w:color w:val="000000"/>
          <w:kern w:val="0"/>
          <w:sz w:val="23"/>
          <w:szCs w:val="23"/>
        </w:rPr>
      </w:pPr>
      <w:r>
        <w:rPr>
          <w:rFonts w:hint="eastAsia" w:ascii="仿宋" w:hAnsi="仿宋" w:eastAsia="仿宋" w:cs="宋体"/>
          <w:color w:val="000000"/>
          <w:kern w:val="0"/>
          <w:sz w:val="32"/>
          <w:szCs w:val="32"/>
        </w:rPr>
        <w:t>评价工作开展时间：</w:t>
      </w:r>
      <w:r>
        <w:rPr>
          <w:rFonts w:hint="eastAsia" w:ascii="仿宋" w:hAnsi="仿宋" w:eastAsia="仿宋" w:cs="宋体"/>
          <w:color w:val="000000"/>
          <w:kern w:val="0"/>
          <w:sz w:val="32"/>
        </w:rPr>
        <w:t>2017</w:t>
      </w:r>
      <w:r>
        <w:rPr>
          <w:rFonts w:hint="eastAsia" w:ascii="仿宋" w:hAnsi="仿宋" w:eastAsia="仿宋" w:cs="宋体"/>
          <w:color w:val="000000"/>
          <w:kern w:val="0"/>
          <w:sz w:val="32"/>
          <w:szCs w:val="32"/>
        </w:rPr>
        <w:t>年3月10日至</w:t>
      </w:r>
      <w:r>
        <w:rPr>
          <w:rFonts w:hint="eastAsia" w:ascii="仿宋" w:hAnsi="仿宋" w:eastAsia="仿宋" w:cs="宋体"/>
          <w:color w:val="000000"/>
          <w:kern w:val="0"/>
          <w:sz w:val="32"/>
        </w:rPr>
        <w:t>2017</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rPr>
        <w:t>11月23</w:t>
      </w:r>
      <w:r>
        <w:rPr>
          <w:rFonts w:hint="eastAsia" w:ascii="仿宋" w:hAnsi="仿宋" w:eastAsia="仿宋" w:cs="宋体"/>
          <w:color w:val="000000"/>
          <w:kern w:val="0"/>
          <w:sz w:val="32"/>
          <w:szCs w:val="32"/>
        </w:rPr>
        <w:t>日</w:t>
      </w:r>
    </w:p>
    <w:p>
      <w:pPr>
        <w:spacing w:line="591" w:lineRule="exact"/>
        <w:jc w:val="center"/>
        <w:rPr>
          <w:rFonts w:hint="eastAsia" w:ascii="黑体" w:hAnsi="黑体" w:eastAsia="黑体" w:cs="黑体"/>
          <w:sz w:val="44"/>
          <w:szCs w:val="44"/>
        </w:rPr>
      </w:pPr>
    </w:p>
    <w:p>
      <w:pPr>
        <w:spacing w:line="591" w:lineRule="exact"/>
        <w:jc w:val="center"/>
        <w:rPr>
          <w:rFonts w:ascii="黑体" w:hAnsi="黑体" w:eastAsia="黑体" w:cs="黑体"/>
          <w:sz w:val="44"/>
          <w:szCs w:val="44"/>
        </w:rPr>
      </w:pPr>
      <w:r>
        <w:rPr>
          <w:rFonts w:hint="eastAsia" w:ascii="黑体" w:hAnsi="黑体" w:eastAsia="黑体" w:cs="黑体"/>
          <w:sz w:val="44"/>
          <w:szCs w:val="44"/>
        </w:rPr>
        <w:t>四、名词解释</w:t>
      </w:r>
    </w:p>
    <w:p>
      <w:pPr>
        <w:spacing w:line="591" w:lineRule="exact"/>
        <w:rPr>
          <w:rFonts w:ascii="仿宋_GB2312" w:hAnsi="仿宋_GB2312" w:eastAsia="仿宋_GB2312" w:cs="仿宋_GB2312"/>
          <w:sz w:val="32"/>
          <w:szCs w:val="32"/>
        </w:rPr>
      </w:pPr>
    </w:p>
    <w:p>
      <w:pPr>
        <w:spacing w:line="591"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（一）基本支出：指行政事业单位用于为保障其机构正常运转、完成日常工作任务而发生的人员支出和公用支出。</w:t>
      </w:r>
    </w:p>
    <w:p>
      <w:pPr>
        <w:spacing w:line="591"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（二）项目支出：指在基本支出之外为完成特定的行政工作任务或事业发展目标所发生的支出。</w:t>
      </w:r>
    </w:p>
    <w:p>
      <w:pPr>
        <w:spacing w:line="591"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591"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（四）机关运行经费：包括办公及印刷费、邮电费、差旅费、会议费、福利费、日常维修费、专用材料及一般设备购置费、办公用房水电费、办公用房取暖费、办公用房物业管理费及其他费用。</w:t>
      </w:r>
    </w:p>
    <w:p>
      <w:pPr>
        <w:widowControl/>
        <w:spacing w:line="360" w:lineRule="auto"/>
        <w:ind w:firstLine="696" w:firstLineChars="200"/>
        <w:jc w:val="left"/>
        <w:rPr>
          <w:rFonts w:hint="eastAsia" w:asciiTheme="minorEastAsia" w:hAnsiTheme="minorEastAsia" w:eastAsiaTheme="minorEastAsia" w:cstheme="minorEastAsia"/>
          <w:spacing w:val="14"/>
          <w:sz w:val="32"/>
          <w:szCs w:val="32"/>
        </w:rPr>
      </w:pPr>
      <w:r>
        <w:rPr>
          <w:rFonts w:hint="eastAsia" w:asciiTheme="minorEastAsia" w:hAnsiTheme="minorEastAsia" w:eastAsiaTheme="minorEastAsia" w:cstheme="minorEastAsia"/>
          <w:spacing w:val="14"/>
          <w:sz w:val="32"/>
          <w:szCs w:val="32"/>
          <w:lang w:eastAsia="zh-CN"/>
        </w:rPr>
        <w:t>（五）</w:t>
      </w:r>
      <w:r>
        <w:rPr>
          <w:rFonts w:hint="eastAsia" w:asciiTheme="minorEastAsia" w:hAnsiTheme="minorEastAsia" w:eastAsiaTheme="minorEastAsia" w:cstheme="minorEastAsia"/>
          <w:spacing w:val="14"/>
          <w:sz w:val="32"/>
          <w:szCs w:val="32"/>
        </w:rPr>
        <w:t>、年末结转：本年度或以前年度预算安排，已执行但尚未完成或因客观条件发生变化无法按原计划实施，需延迟到以后年度按有关规定继续使用的资金。</w:t>
      </w:r>
    </w:p>
    <w:p>
      <w:pPr>
        <w:widowControl/>
        <w:spacing w:line="360" w:lineRule="auto"/>
        <w:ind w:firstLine="696" w:firstLineChars="200"/>
        <w:jc w:val="left"/>
        <w:rPr>
          <w:rFonts w:hint="eastAsia" w:asciiTheme="minorEastAsia" w:hAnsiTheme="minorEastAsia" w:eastAsiaTheme="minorEastAsia" w:cstheme="minorEastAsia"/>
          <w:spacing w:val="14"/>
          <w:sz w:val="32"/>
          <w:szCs w:val="32"/>
        </w:rPr>
      </w:pPr>
      <w:r>
        <w:rPr>
          <w:rFonts w:hint="eastAsia" w:asciiTheme="minorEastAsia" w:hAnsiTheme="minorEastAsia" w:eastAsiaTheme="minorEastAsia" w:cstheme="minorEastAsia"/>
          <w:spacing w:val="14"/>
          <w:sz w:val="32"/>
          <w:szCs w:val="32"/>
          <w:lang w:eastAsia="zh-CN"/>
        </w:rPr>
        <w:t>（六）</w:t>
      </w:r>
      <w:r>
        <w:rPr>
          <w:rFonts w:hint="eastAsia" w:asciiTheme="minorEastAsia" w:hAnsiTheme="minorEastAsia" w:eastAsiaTheme="minorEastAsia" w:cstheme="minorEastAsia"/>
          <w:spacing w:val="14"/>
          <w:sz w:val="32"/>
          <w:szCs w:val="32"/>
        </w:rPr>
        <w:t>、年末结余：本年度或以前年度预算安排，已执行完毕或因客观条件发生变化无法按原预算安排实施，不需要再使用或无法按原预算安排继续使用的资金。</w:t>
      </w:r>
    </w:p>
    <w:p>
      <w:pPr>
        <w:spacing w:line="591" w:lineRule="exact"/>
        <w:ind w:firstLine="640" w:firstLineChars="200"/>
        <w:rPr>
          <w:rFonts w:hint="eastAsia" w:ascii="仿宋" w:hAnsi="仿宋" w:eastAsia="仿宋" w:cs="仿宋_GB2312"/>
          <w:sz w:val="32"/>
          <w:szCs w:val="32"/>
        </w:rPr>
      </w:pPr>
    </w:p>
    <w:p>
      <w:pPr>
        <w:spacing w:line="591" w:lineRule="exact"/>
        <w:ind w:firstLine="640" w:firstLineChars="200"/>
        <w:rPr>
          <w:rFonts w:ascii="仿宋" w:hAnsi="仿宋" w:eastAsia="仿宋"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22451"/>
    <w:multiLevelType w:val="singleLevel"/>
    <w:tmpl w:val="3832245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572B"/>
    <w:rsid w:val="00117060"/>
    <w:rsid w:val="001C58C3"/>
    <w:rsid w:val="002A620A"/>
    <w:rsid w:val="003820CE"/>
    <w:rsid w:val="00485FD0"/>
    <w:rsid w:val="004B1AB5"/>
    <w:rsid w:val="004D572B"/>
    <w:rsid w:val="005948F9"/>
    <w:rsid w:val="00666A48"/>
    <w:rsid w:val="007F7F3C"/>
    <w:rsid w:val="008736C8"/>
    <w:rsid w:val="00AF16CF"/>
    <w:rsid w:val="00B451AF"/>
    <w:rsid w:val="00B97B1D"/>
    <w:rsid w:val="00D95F58"/>
    <w:rsid w:val="00E32A1C"/>
    <w:rsid w:val="00E47697"/>
    <w:rsid w:val="00EB2456"/>
    <w:rsid w:val="00F201AA"/>
    <w:rsid w:val="0B4B2CC3"/>
    <w:rsid w:val="3BBC0E53"/>
    <w:rsid w:val="3F99033F"/>
    <w:rsid w:val="484E4CDC"/>
    <w:rsid w:val="57FD4516"/>
    <w:rsid w:val="58270F30"/>
    <w:rsid w:val="6751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480</Words>
  <Characters>2742</Characters>
  <Lines>22</Lines>
  <Paragraphs>6</Paragraphs>
  <TotalTime>0</TotalTime>
  <ScaleCrop>false</ScaleCrop>
  <LinksUpToDate>false</LinksUpToDate>
  <CharactersWithSpaces>3216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2018-10-25T08:58:00Z</dcterms:created>
  <dc:creator>Administrator</dc:creator>
  <cp:lastModifiedBy>萌主</cp:lastModifiedBy>
  <dcterms:modified xsi:type="dcterms:W3CDTF">2018-10-26T08:13:59Z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