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栾川县交通运输局2017年决算公开说明</w:t>
      </w:r>
    </w:p>
    <w:p>
      <w:pPr>
        <w:spacing w:line="576" w:lineRule="exact"/>
        <w:ind w:firstLine="688" w:firstLineChars="200"/>
        <w:rPr>
          <w:rFonts w:ascii="Times New Roman" w:hAnsi="Times New Roman" w:eastAsia="黑体"/>
          <w:spacing w:val="12"/>
          <w:sz w:val="32"/>
          <w:szCs w:val="32"/>
        </w:rPr>
      </w:pPr>
    </w:p>
    <w:p>
      <w:pPr>
        <w:spacing w:line="576" w:lineRule="exact"/>
        <w:ind w:firstLine="2924" w:firstLineChars="850"/>
        <w:rPr>
          <w:rFonts w:ascii="Times New Roman" w:hAnsi="Times New Roman" w:eastAsia="黑体"/>
          <w:spacing w:val="12"/>
          <w:sz w:val="32"/>
          <w:szCs w:val="32"/>
        </w:rPr>
      </w:pPr>
      <w:r>
        <w:rPr>
          <w:rFonts w:hint="eastAsia" w:ascii="Times New Roman" w:hAnsi="Times New Roman" w:eastAsia="黑体"/>
          <w:spacing w:val="12"/>
          <w:sz w:val="32"/>
          <w:szCs w:val="32"/>
        </w:rPr>
        <w:t>一、部门概况</w:t>
      </w:r>
    </w:p>
    <w:p>
      <w:pPr>
        <w:spacing w:line="576" w:lineRule="exact"/>
        <w:ind w:firstLine="688" w:firstLineChars="200"/>
        <w:rPr>
          <w:rFonts w:ascii="Times New Roman" w:hAnsi="Times New Roman" w:eastAsia="楷体_GB2312"/>
          <w:spacing w:val="12"/>
          <w:sz w:val="32"/>
          <w:szCs w:val="32"/>
        </w:rPr>
      </w:pPr>
      <w:r>
        <w:rPr>
          <w:rFonts w:hint="eastAsia" w:ascii="Times New Roman" w:hAnsi="Times New Roman" w:eastAsia="楷体_GB2312"/>
          <w:spacing w:val="12"/>
          <w:sz w:val="32"/>
          <w:szCs w:val="32"/>
        </w:rPr>
        <w:t>一、主要职能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贯彻执行国家、省、市有关交通运输工作的法律、法规、规章和方针、政策；承担涉及全县综合交通运输体系的规划协调工作，会同有关部门研究拟定全县综合交通运输发展战略和政策、组织编制综合合交通运输体系规划，统筹衔接平衡公路、水路等规划，指导全县交通运输枢纽规划和管理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组织拟订全县公路、水路等行业规划、政策和标准并监督实施；拟订相关地方性规章草案；参与制定全县物流业发展战略和规划，拟订有关政策和标准并监督实施；指导全县公路、水路行业有关体制改革工作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承担全县道路、水路运输市场监管责任。组织拟订全县道路、水路运输市场有关政策、技术标准和运营规范并监督实施。承担全县道路客货运输市场、搬运装卸市场、机动车配件销售市场、运输服务辅助市助、汽车租赁、出租汽车的行业管理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（四）承担全县水上交通安全监管责任，负责水上交通管制、水上交通事故调查处理，船舶及相关水上设施检验、登记和防止污染以及船舶与港口设施安全保障、危险品运输监督员、航道管理工作。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（五）负责提出全县公路、水路固定资产投资规模和方向、国家和省市县财政性资金安排意见，按县政府规定权限审批、核准国家和省市县规划内及年度计划规模内固定资产投资项目。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承担全县公路、水路建设市场监管责任。拟定全县公路、水路工程建设和维护相关政策、制度及技术标准并监督实施；组织协调全县公路、水路有关重点工程建设和工程质量、安全生产品监督管理工作，指导全县交通运输基础设施建设和维护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（七）负责全县车辆维修市场、机动车驾驶学校及驾驶员培训、车辆综合性能检测的行业管理，负责营运机动车技术检测、运输争议仲载的监督管理工作。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（八）指导全县公路、水路行业安全生产和应急管理工作，按规定组织协调国家重点物资和紧急客货运输，负责栾川境风高速公路及重点干线路网运行监测和协调工作。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（九）指导全县交通运输信息化建设，监测分析运行情况，开展相关统计工作，发布有关信息；指导全县公路、水路行业环境保护和节能减排工作。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（十）负责全县交通行政监督和行政执法有关工作。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（十一）制定全县交通运输行业科技政策并监督实施，组织重大科技研发，推动行业科技进步。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（十二）负责全县交通运输行业对外经济技术合作、引进利用外资、开展国际交流与合作。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（十三）负责本部门、本系统突发公共安全事件的应急管理工作，贯彻落实突发公共安全事件应急预案，预防和处置突发公共安全事件。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（十四）负责本部门及所属事业单位网上名称管理工作。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（十五）承办县政府交办的其他事项。</w:t>
      </w:r>
    </w:p>
    <w:p>
      <w:pPr>
        <w:spacing w:line="576" w:lineRule="exact"/>
        <w:ind w:firstLine="640" w:firstLineChars="200"/>
        <w:rPr>
          <w:rFonts w:ascii="楷体_GB2312" w:hAnsi="Times New Roman" w:eastAsia="楷体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栾川县交通运输局是主管全县交通运输行业的县政府工作部门，担负着全县公路工程建设、公路养护管理、交通运输行政执法、道路运输市场管理、水上交通运输管理和交通运输企业管理等职责。</w:t>
      </w:r>
    </w:p>
    <w:p>
      <w:pPr>
        <w:spacing w:line="576" w:lineRule="exact"/>
        <w:ind w:firstLine="516" w:firstLineChars="150"/>
        <w:rPr>
          <w:rFonts w:ascii="楷体_GB2312" w:hAnsi="Times New Roman" w:eastAsia="楷体_GB2312"/>
          <w:spacing w:val="12"/>
          <w:sz w:val="32"/>
          <w:szCs w:val="32"/>
        </w:rPr>
      </w:pPr>
      <w:r>
        <w:rPr>
          <w:rFonts w:hint="eastAsia" w:ascii="楷体_GB2312" w:hAnsi="Times New Roman" w:eastAsia="楷体_GB2312"/>
          <w:spacing w:val="12"/>
          <w:sz w:val="32"/>
          <w:szCs w:val="32"/>
        </w:rPr>
        <w:t>（二）机构设置</w:t>
      </w:r>
    </w:p>
    <w:p>
      <w:pPr>
        <w:spacing w:line="576" w:lineRule="exact"/>
        <w:ind w:firstLine="688" w:firstLineChars="200"/>
        <w:rPr>
          <w:rFonts w:ascii="Times New Roman" w:hAnsi="Times New Roman" w:eastAsia="仿宋_GB2312"/>
          <w:spacing w:val="12"/>
          <w:sz w:val="32"/>
          <w:szCs w:val="32"/>
        </w:rPr>
      </w:pPr>
      <w:r>
        <w:rPr>
          <w:rFonts w:hint="eastAsia" w:ascii="Times New Roman" w:hAnsi="Times New Roman" w:eastAsia="仿宋_GB2312"/>
          <w:spacing w:val="12"/>
          <w:sz w:val="32"/>
          <w:szCs w:val="32"/>
        </w:rPr>
        <w:t>栾川县交通运输局下设</w:t>
      </w:r>
      <w:r>
        <w:rPr>
          <w:rFonts w:ascii="Times New Roman" w:hAnsi="Times New Roman" w:eastAsia="仿宋_GB2312"/>
          <w:spacing w:val="12"/>
          <w:sz w:val="32"/>
          <w:szCs w:val="32"/>
        </w:rPr>
        <w:t>3</w:t>
      </w:r>
      <w:r>
        <w:rPr>
          <w:rFonts w:hint="eastAsia" w:ascii="Times New Roman" w:hAnsi="Times New Roman" w:eastAsia="仿宋_GB2312"/>
          <w:spacing w:val="12"/>
          <w:sz w:val="32"/>
          <w:szCs w:val="32"/>
        </w:rPr>
        <w:t>个股室，即：党政办、财务审计股、综合业务股。核定编制</w:t>
      </w:r>
      <w:r>
        <w:rPr>
          <w:rFonts w:ascii="Times New Roman" w:hAnsi="Times New Roman" w:eastAsia="仿宋_GB2312"/>
          <w:spacing w:val="12"/>
          <w:sz w:val="32"/>
          <w:szCs w:val="32"/>
        </w:rPr>
        <w:t>9</w:t>
      </w:r>
      <w:r>
        <w:rPr>
          <w:rFonts w:hint="eastAsia" w:ascii="Times New Roman" w:hAnsi="Times New Roman" w:eastAsia="仿宋_GB2312"/>
          <w:spacing w:val="12"/>
          <w:sz w:val="32"/>
          <w:szCs w:val="32"/>
        </w:rPr>
        <w:t>人，实有人数</w:t>
      </w:r>
      <w:r>
        <w:rPr>
          <w:rFonts w:ascii="Times New Roman" w:hAnsi="Times New Roman" w:eastAsia="仿宋_GB2312"/>
          <w:spacing w:val="12"/>
          <w:sz w:val="32"/>
          <w:szCs w:val="32"/>
        </w:rPr>
        <w:t>9</w:t>
      </w:r>
      <w:r>
        <w:rPr>
          <w:rFonts w:hint="eastAsia" w:ascii="Times New Roman" w:hAnsi="Times New Roman" w:eastAsia="仿宋_GB2312"/>
          <w:spacing w:val="12"/>
          <w:sz w:val="32"/>
          <w:szCs w:val="32"/>
        </w:rPr>
        <w:t>人，退休人员</w:t>
      </w:r>
      <w:r>
        <w:rPr>
          <w:rFonts w:ascii="Times New Roman" w:hAnsi="Times New Roman" w:eastAsia="仿宋_GB2312"/>
          <w:spacing w:val="12"/>
          <w:sz w:val="32"/>
          <w:szCs w:val="32"/>
        </w:rPr>
        <w:t>9</w:t>
      </w:r>
      <w:r>
        <w:rPr>
          <w:rFonts w:hint="eastAsia" w:ascii="Times New Roman" w:hAnsi="Times New Roman" w:eastAsia="仿宋_GB2312"/>
          <w:spacing w:val="12"/>
          <w:sz w:val="32"/>
          <w:szCs w:val="32"/>
        </w:rPr>
        <w:t>人。</w:t>
      </w:r>
    </w:p>
    <w:p>
      <w:pPr>
        <w:spacing w:line="576" w:lineRule="exact"/>
        <w:ind w:firstLine="688" w:firstLineChars="200"/>
        <w:rPr>
          <w:rFonts w:ascii="Times New Roman" w:hAnsi="Times New Roman" w:eastAsia="仿宋_GB2312"/>
          <w:spacing w:val="12"/>
          <w:sz w:val="32"/>
          <w:szCs w:val="32"/>
        </w:rPr>
      </w:pPr>
      <w:r>
        <w:rPr>
          <w:rFonts w:hint="eastAsia" w:ascii="Times New Roman" w:hAnsi="Times New Roman" w:eastAsia="仿宋_GB2312"/>
          <w:spacing w:val="12"/>
          <w:sz w:val="32"/>
          <w:szCs w:val="32"/>
        </w:rPr>
        <w:t>党政办：组织协调交通运输系统党政工作；负责机关文电、会务、档案、信息、信访、计划生育等工作；负责单位工作报告、总结等材料编制工作；负责上级委派临时性工作的统筹协调工作。</w:t>
      </w:r>
    </w:p>
    <w:p>
      <w:pPr>
        <w:spacing w:line="576" w:lineRule="exact"/>
        <w:ind w:firstLine="688" w:firstLineChars="200"/>
        <w:rPr>
          <w:rFonts w:ascii="Times New Roman" w:hAnsi="Times New Roman" w:eastAsia="仿宋_GB2312"/>
          <w:spacing w:val="12"/>
          <w:sz w:val="32"/>
          <w:szCs w:val="32"/>
        </w:rPr>
      </w:pPr>
      <w:r>
        <w:rPr>
          <w:rFonts w:hint="eastAsia" w:ascii="Times New Roman" w:hAnsi="Times New Roman" w:eastAsia="仿宋_GB2312"/>
          <w:spacing w:val="12"/>
          <w:sz w:val="32"/>
          <w:szCs w:val="32"/>
        </w:rPr>
        <w:t>财务审计股：贯彻落实交通行业的有关财经方针、政策、法规和财务规章制度；负责财务预决算编制工作；负责机关财务具体工作。</w:t>
      </w:r>
    </w:p>
    <w:p>
      <w:pPr>
        <w:spacing w:line="576" w:lineRule="exact"/>
        <w:ind w:firstLine="688" w:firstLineChars="200"/>
        <w:rPr>
          <w:rFonts w:hint="eastAsia" w:ascii="Times New Roman" w:hAnsi="Times New Roman" w:eastAsia="仿宋_GB2312"/>
          <w:spacing w:val="12"/>
          <w:sz w:val="32"/>
          <w:szCs w:val="32"/>
        </w:rPr>
      </w:pPr>
      <w:r>
        <w:rPr>
          <w:rFonts w:hint="eastAsia" w:ascii="Times New Roman" w:hAnsi="Times New Roman" w:eastAsia="仿宋_GB2312"/>
          <w:spacing w:val="12"/>
          <w:sz w:val="32"/>
          <w:szCs w:val="32"/>
        </w:rPr>
        <w:t>综合业务股：负责交通运输规划编制统筹协调工作；负责公路建设项目立项、设计、招投标及各项前期手续的申报、协调等工作；负责公路建设项目管理工作。</w:t>
      </w:r>
    </w:p>
    <w:p>
      <w:pPr>
        <w:spacing w:line="576" w:lineRule="exact"/>
        <w:ind w:firstLine="688" w:firstLineChars="200"/>
        <w:rPr>
          <w:rFonts w:hint="eastAsia" w:ascii="Times New Roman" w:hAnsi="Times New Roman" w:eastAsia="仿宋_GB2312"/>
          <w:spacing w:val="12"/>
          <w:sz w:val="32"/>
          <w:szCs w:val="32"/>
        </w:rPr>
      </w:pPr>
    </w:p>
    <w:p>
      <w:pPr>
        <w:spacing w:line="576" w:lineRule="exact"/>
        <w:jc w:val="center"/>
        <w:rPr>
          <w:rFonts w:ascii="黑体" w:hAnsi="Times New Roman" w:eastAsia="黑体"/>
          <w:spacing w:val="12"/>
          <w:sz w:val="44"/>
          <w:szCs w:val="44"/>
        </w:rPr>
      </w:pPr>
      <w:r>
        <w:rPr>
          <w:rFonts w:hint="eastAsia" w:ascii="黑体" w:hAnsi="Times New Roman" w:eastAsia="黑体"/>
          <w:spacing w:val="12"/>
          <w:sz w:val="44"/>
          <w:szCs w:val="44"/>
        </w:rPr>
        <w:t>二、决算情况说明</w:t>
      </w:r>
    </w:p>
    <w:p>
      <w:pPr>
        <w:spacing w:line="576" w:lineRule="exact"/>
        <w:ind w:firstLine="516" w:firstLineChars="150"/>
        <w:rPr>
          <w:rFonts w:ascii="黑体" w:hAnsi="黑体" w:eastAsia="黑体"/>
          <w:spacing w:val="12"/>
          <w:sz w:val="32"/>
          <w:szCs w:val="32"/>
        </w:rPr>
      </w:pPr>
      <w:r>
        <w:rPr>
          <w:rFonts w:hint="eastAsia" w:ascii="黑体" w:hAnsi="黑体" w:eastAsia="黑体"/>
          <w:spacing w:val="12"/>
          <w:sz w:val="32"/>
          <w:szCs w:val="32"/>
        </w:rPr>
        <w:t>（一）部门决算收支情况说明</w:t>
      </w:r>
    </w:p>
    <w:p>
      <w:pPr>
        <w:spacing w:line="576" w:lineRule="exact"/>
        <w:ind w:firstLine="688" w:firstLineChars="200"/>
        <w:rPr>
          <w:rFonts w:ascii="Times New Roman" w:hAnsi="Times New Roman" w:eastAsia="仿宋_GB2312"/>
          <w:spacing w:val="12"/>
          <w:sz w:val="32"/>
          <w:szCs w:val="32"/>
        </w:rPr>
      </w:pPr>
      <w:r>
        <w:rPr>
          <w:rFonts w:hint="eastAsia" w:ascii="Times New Roman" w:hAnsi="Times New Roman" w:eastAsia="仿宋_GB2312"/>
          <w:spacing w:val="12"/>
          <w:sz w:val="32"/>
          <w:szCs w:val="32"/>
        </w:rPr>
        <w:t>2017年收入1338.54万元，支出为1332.48万元，2016年收入12447.7188万元，支出为12379.8918万元，与上年相比，收入</w:t>
      </w:r>
      <w:r>
        <w:rPr>
          <w:rFonts w:ascii="Times New Roman" w:hAnsi="Times New Roman" w:eastAsia="仿宋_GB2312"/>
          <w:spacing w:val="12"/>
          <w:sz w:val="32"/>
          <w:szCs w:val="32"/>
        </w:rPr>
        <w:t>支出</w:t>
      </w:r>
      <w:r>
        <w:rPr>
          <w:rFonts w:hint="eastAsia" w:ascii="Times New Roman" w:hAnsi="Times New Roman" w:eastAsia="仿宋_GB2312"/>
          <w:spacing w:val="12"/>
          <w:sz w:val="32"/>
          <w:szCs w:val="32"/>
        </w:rPr>
        <w:t>变化较大，收入减少11109.1788减少率为89.24 %，支出减少11047.4118，减少率为89.23 %，造成这一变化的主要原因是项目收入的减少。第一，2017年小城镇基础设施建设项目，S322伊卢线潭头至秋扒街改建工程因2016年县财政资金支付到位，本年无财政拨款，因此减少收支187.1155万元 ，另外，S328庙祖线鸡冠洞至祖师庙改建工程减少收支3921.3416万元。第二，公路新建及改扩建改减少，主要为南环路工程2016年已完工结算，并且财政已将资金拨付到位，2017年无此项目，因此减少此项收支5909万元。</w:t>
      </w:r>
    </w:p>
    <w:p>
      <w:pPr>
        <w:spacing w:line="576" w:lineRule="exact"/>
        <w:ind w:firstLine="516" w:firstLineChars="150"/>
        <w:rPr>
          <w:rFonts w:ascii="黑体" w:hAnsi="黑体" w:eastAsia="黑体"/>
          <w:spacing w:val="12"/>
          <w:sz w:val="32"/>
          <w:szCs w:val="32"/>
        </w:rPr>
      </w:pPr>
      <w:r>
        <w:rPr>
          <w:rFonts w:hint="eastAsia" w:ascii="黑体" w:hAnsi="黑体" w:eastAsia="黑体"/>
          <w:spacing w:val="12"/>
          <w:sz w:val="32"/>
          <w:szCs w:val="32"/>
        </w:rPr>
        <w:t>（二）“三公”经费变化说明</w:t>
      </w:r>
    </w:p>
    <w:p>
      <w:pPr>
        <w:spacing w:line="576" w:lineRule="exact"/>
        <w:ind w:firstLine="688" w:firstLineChars="200"/>
        <w:rPr>
          <w:rFonts w:ascii="Times New Roman" w:hAnsi="Times New Roman" w:eastAsia="仿宋_GB2312"/>
          <w:spacing w:val="12"/>
          <w:sz w:val="32"/>
          <w:szCs w:val="32"/>
        </w:rPr>
      </w:pPr>
      <w:r>
        <w:rPr>
          <w:rFonts w:ascii="Times New Roman" w:hAnsi="Times New Roman" w:eastAsia="仿宋_GB2312"/>
          <w:spacing w:val="12"/>
          <w:sz w:val="32"/>
          <w:szCs w:val="32"/>
        </w:rPr>
        <w:t>“三公”经费</w:t>
      </w:r>
      <w:r>
        <w:rPr>
          <w:rFonts w:hint="eastAsia" w:ascii="Times New Roman" w:hAnsi="Times New Roman" w:eastAsia="仿宋_GB2312"/>
          <w:spacing w:val="12"/>
          <w:sz w:val="32"/>
          <w:szCs w:val="32"/>
        </w:rPr>
        <w:t>2017年总支出5.52万元，2016年总支出为6.9222万元，与上年相比减少1.4022，减少率20.25%。主要为公务接待费用的减少。</w:t>
      </w:r>
    </w:p>
    <w:p>
      <w:pPr>
        <w:spacing w:line="576" w:lineRule="exact"/>
        <w:ind w:firstLine="688" w:firstLineChars="200"/>
        <w:rPr>
          <w:rFonts w:hint="eastAsia" w:ascii="Times New Roman" w:hAnsi="Times New Roman" w:eastAsia="仿宋_GB2312"/>
          <w:spacing w:val="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pacing w:val="12"/>
          <w:sz w:val="32"/>
          <w:szCs w:val="32"/>
        </w:rPr>
        <w:t>(1）</w:t>
      </w:r>
      <w:r>
        <w:rPr>
          <w:rFonts w:hint="eastAsia" w:ascii="宋体" w:hAnsi="宋体" w:eastAsia="宋体" w:cs="宋体"/>
          <w:sz w:val="36"/>
          <w:szCs w:val="36"/>
        </w:rPr>
        <w:t>2017年</w:t>
      </w:r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lang w:val="en-US" w:eastAsia="zh-CN"/>
        </w:rPr>
        <w:t>因公出国、出境人数为0，批次为0。</w:t>
      </w:r>
    </w:p>
    <w:p>
      <w:pPr>
        <w:spacing w:line="576" w:lineRule="exact"/>
        <w:ind w:firstLine="688" w:firstLineChars="200"/>
        <w:rPr>
          <w:rFonts w:hint="eastAsia" w:ascii="Times New Roman" w:hAnsi="Times New Roman" w:eastAsia="仿宋_GB2312"/>
          <w:spacing w:val="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pacing w:val="12"/>
          <w:sz w:val="32"/>
          <w:szCs w:val="32"/>
        </w:rPr>
        <w:t>2017年因</w:t>
      </w:r>
      <w:bookmarkStart w:id="0" w:name="_GoBack"/>
      <w:bookmarkEnd w:id="0"/>
      <w:r>
        <w:rPr>
          <w:rFonts w:hint="eastAsia" w:ascii="Times New Roman" w:hAnsi="Times New Roman" w:eastAsia="仿宋_GB2312"/>
          <w:spacing w:val="12"/>
          <w:sz w:val="32"/>
          <w:szCs w:val="32"/>
        </w:rPr>
        <w:t>公出国（境）费用0万元，上年因公出国（境）费用0万元。</w:t>
      </w:r>
    </w:p>
    <w:p>
      <w:pPr>
        <w:numPr>
          <w:ilvl w:val="0"/>
          <w:numId w:val="1"/>
        </w:numPr>
        <w:spacing w:line="576" w:lineRule="exact"/>
        <w:ind w:firstLine="688" w:firstLineChars="200"/>
        <w:rPr>
          <w:rFonts w:hint="eastAsia" w:ascii="Times New Roman" w:hAnsi="Times New Roman" w:eastAsia="仿宋_GB2312"/>
          <w:spacing w:val="12"/>
          <w:sz w:val="32"/>
          <w:szCs w:val="32"/>
        </w:rPr>
      </w:pPr>
      <w:r>
        <w:rPr>
          <w:rFonts w:ascii="Times New Roman" w:hAnsi="Times New Roman" w:eastAsia="仿宋_GB2312"/>
          <w:spacing w:val="12"/>
          <w:sz w:val="32"/>
          <w:szCs w:val="32"/>
        </w:rPr>
        <w:t>201</w:t>
      </w:r>
      <w:r>
        <w:rPr>
          <w:rFonts w:hint="eastAsia" w:ascii="Times New Roman" w:hAnsi="Times New Roman" w:eastAsia="仿宋_GB2312"/>
          <w:spacing w:val="12"/>
          <w:sz w:val="32"/>
          <w:szCs w:val="32"/>
        </w:rPr>
        <w:t>7</w:t>
      </w:r>
      <w:r>
        <w:rPr>
          <w:rFonts w:ascii="Times New Roman" w:hAnsi="Times New Roman" w:eastAsia="仿宋_GB2312"/>
          <w:spacing w:val="12"/>
          <w:sz w:val="32"/>
          <w:szCs w:val="32"/>
        </w:rPr>
        <w:t>年安排公务接待费</w:t>
      </w:r>
      <w:r>
        <w:rPr>
          <w:rFonts w:hint="eastAsia" w:ascii="Times New Roman" w:hAnsi="Times New Roman" w:eastAsia="仿宋_GB2312"/>
          <w:spacing w:val="12"/>
          <w:sz w:val="32"/>
          <w:szCs w:val="32"/>
        </w:rPr>
        <w:t>2.19</w:t>
      </w:r>
      <w:r>
        <w:rPr>
          <w:rFonts w:ascii="Times New Roman" w:hAnsi="Times New Roman" w:eastAsia="仿宋_GB2312"/>
          <w:spacing w:val="12"/>
          <w:sz w:val="32"/>
          <w:szCs w:val="32"/>
        </w:rPr>
        <w:t>万元，</w:t>
      </w:r>
      <w:r>
        <w:rPr>
          <w:rFonts w:hint="eastAsia" w:ascii="Times New Roman" w:hAnsi="Times New Roman" w:eastAsia="仿宋_GB2312"/>
          <w:spacing w:val="12"/>
          <w:sz w:val="32"/>
          <w:szCs w:val="32"/>
          <w:lang w:eastAsia="zh-CN"/>
        </w:rPr>
        <w:t>国内公务</w:t>
      </w:r>
      <w:r>
        <w:rPr>
          <w:rFonts w:hint="eastAsia" w:ascii="Times New Roman" w:hAnsi="Times New Roman" w:eastAsia="仿宋_GB2312"/>
          <w:spacing w:val="12"/>
          <w:sz w:val="32"/>
          <w:szCs w:val="32"/>
        </w:rPr>
        <w:t xml:space="preserve">接待批次53批，共280人。2016年公务接待费3.0945万元，与上年相比，减少0.9045万元，公务接待费的减少主要因为2017年南环路和S322伊卢线潭头至秋扒街改建工程结算，相应减少公务接待费用。       </w:t>
      </w:r>
    </w:p>
    <w:p>
      <w:pPr>
        <w:spacing w:line="576" w:lineRule="exact"/>
        <w:ind w:firstLine="688" w:firstLineChars="200"/>
        <w:rPr>
          <w:rFonts w:hint="eastAsia" w:ascii="Times New Roman" w:hAnsi="Times New Roman" w:eastAsia="仿宋_GB2312"/>
          <w:spacing w:val="12"/>
          <w:sz w:val="32"/>
          <w:szCs w:val="32"/>
        </w:rPr>
      </w:pPr>
      <w:r>
        <w:rPr>
          <w:rFonts w:hint="eastAsia" w:ascii="Times New Roman" w:hAnsi="Times New Roman" w:eastAsia="仿宋_GB2312"/>
          <w:spacing w:val="12"/>
          <w:sz w:val="32"/>
          <w:szCs w:val="32"/>
        </w:rPr>
        <w:t>（3）2017年公务用车运行费3.33万元，2016年公务用车运行费3.82万元，减少0.49万元。</w:t>
      </w:r>
    </w:p>
    <w:p>
      <w:pPr>
        <w:spacing w:line="576" w:lineRule="exact"/>
        <w:ind w:firstLine="688" w:firstLineChars="200"/>
        <w:rPr>
          <w:rFonts w:hint="eastAsia" w:ascii="Times New Roman" w:hAnsi="Times New Roman" w:eastAsia="仿宋_GB2312"/>
          <w:spacing w:val="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pacing w:val="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pacing w:val="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pacing w:val="12"/>
          <w:sz w:val="32"/>
          <w:szCs w:val="32"/>
          <w:lang w:eastAsia="zh-CN"/>
        </w:rPr>
        <w:t>）公务用车保有量：有</w:t>
      </w:r>
      <w:r>
        <w:rPr>
          <w:rFonts w:hint="eastAsia" w:ascii="Times New Roman" w:hAnsi="Times New Roman" w:eastAsia="仿宋_GB2312"/>
          <w:spacing w:val="12"/>
          <w:sz w:val="32"/>
          <w:szCs w:val="32"/>
          <w:lang w:val="en-US" w:eastAsia="zh-CN"/>
        </w:rPr>
        <w:t>2辆公车。</w:t>
      </w:r>
    </w:p>
    <w:p>
      <w:pPr>
        <w:spacing w:line="576" w:lineRule="exact"/>
        <w:ind w:firstLine="688" w:firstLineChars="200"/>
        <w:rPr>
          <w:rFonts w:ascii="黑体" w:hAnsi="黑体" w:eastAsia="黑体"/>
          <w:spacing w:val="12"/>
          <w:sz w:val="32"/>
          <w:szCs w:val="32"/>
        </w:rPr>
      </w:pPr>
      <w:r>
        <w:rPr>
          <w:rFonts w:hint="eastAsia" w:ascii="黑体" w:hAnsi="黑体" w:eastAsia="黑体"/>
          <w:spacing w:val="12"/>
          <w:sz w:val="32"/>
          <w:szCs w:val="32"/>
        </w:rPr>
        <w:t>（三）机关运行经费变化说明</w:t>
      </w:r>
    </w:p>
    <w:p>
      <w:pPr>
        <w:spacing w:line="576" w:lineRule="exact"/>
        <w:ind w:firstLine="688" w:firstLineChars="200"/>
        <w:rPr>
          <w:rFonts w:ascii="Times New Roman" w:hAnsi="Times New Roman" w:eastAsia="仿宋_GB2312"/>
          <w:spacing w:val="12"/>
          <w:sz w:val="32"/>
          <w:szCs w:val="32"/>
        </w:rPr>
      </w:pPr>
      <w:r>
        <w:rPr>
          <w:rFonts w:hint="eastAsia" w:ascii="楷体_GB2312" w:hAnsi="Times New Roman" w:eastAsia="楷体_GB2312"/>
          <w:spacing w:val="12"/>
          <w:sz w:val="32"/>
          <w:szCs w:val="32"/>
        </w:rPr>
        <w:t>2017年机关运行经费45.4万元，2016年机关运行经费31.3210万元，与上年相比，增加14.121万元，增加率45%，增加的主要原因一是2017年首次发放职工住房及物业补贴等，工资福利支出有所增加。二是购置了部分办公设备。</w:t>
      </w:r>
    </w:p>
    <w:p>
      <w:pPr>
        <w:spacing w:line="576" w:lineRule="exact"/>
        <w:ind w:firstLine="688" w:firstLineChars="200"/>
        <w:rPr>
          <w:rFonts w:ascii="黑体" w:hAnsi="Times New Roman" w:eastAsia="黑体"/>
          <w:spacing w:val="12"/>
          <w:sz w:val="32"/>
          <w:szCs w:val="32"/>
        </w:rPr>
      </w:pPr>
      <w:r>
        <w:rPr>
          <w:rFonts w:hint="eastAsia" w:ascii="黑体" w:hAnsi="Times New Roman" w:eastAsia="黑体"/>
          <w:spacing w:val="12"/>
          <w:sz w:val="32"/>
          <w:szCs w:val="32"/>
        </w:rPr>
        <w:t>（四）、国有资产占用情况说明</w:t>
      </w:r>
    </w:p>
    <w:p>
      <w:pPr>
        <w:spacing w:line="576" w:lineRule="exact"/>
        <w:ind w:firstLine="688" w:firstLineChars="200"/>
        <w:rPr>
          <w:rFonts w:ascii="仿宋_GB2312" w:hAnsi="Times New Roman" w:eastAsia="仿宋_GB2312"/>
          <w:spacing w:val="12"/>
          <w:sz w:val="32"/>
          <w:szCs w:val="32"/>
        </w:rPr>
      </w:pPr>
      <w:r>
        <w:rPr>
          <w:rFonts w:hint="eastAsia" w:ascii="仿宋_GB2312" w:hAnsi="Times New Roman" w:eastAsia="仿宋_GB2312"/>
          <w:spacing w:val="12"/>
          <w:sz w:val="32"/>
          <w:szCs w:val="32"/>
        </w:rPr>
        <w:t>2017年交通运输局资产总值624.8112元。主要资产为：（1）房屋价值535.9274万元，办公面面4462平方米；（2）车辆2台，价值31.0603万元（其中1台于2015年年底按有关规定上交，但因有关手续未批复，故仍在我单位账面显示）；（3）空调20台，价值7.3299万元；（4）电脑30台，价值13.645万元；（5）电视机3台，价值0.57万元；（6）打印机5台，价值1.085万元；（7）健康加油站1台，价值3.4万元。(8)其他家具、图书等固定资产31.7936万元。</w:t>
      </w:r>
    </w:p>
    <w:p>
      <w:pPr>
        <w:widowControl/>
        <w:spacing w:before="100" w:beforeAutospacing="1" w:after="100" w:afterAutospacing="1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（五）政府采购执</w:t>
      </w:r>
      <w:r>
        <w:rPr>
          <w:rFonts w:hint="eastAsia" w:ascii="黑体" w:hAnsi="黑体" w:eastAsia="黑体" w:cs="Gungsuh"/>
          <w:color w:val="000000"/>
          <w:kern w:val="0"/>
          <w:sz w:val="32"/>
          <w:szCs w:val="32"/>
        </w:rPr>
        <w:t>行情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况说</w:t>
      </w:r>
      <w:r>
        <w:rPr>
          <w:rFonts w:hint="eastAsia" w:ascii="黑体" w:hAnsi="黑体" w:eastAsia="黑体" w:cs="Gungsuh"/>
          <w:color w:val="000000"/>
          <w:kern w:val="0"/>
          <w:sz w:val="32"/>
          <w:szCs w:val="32"/>
        </w:rPr>
        <w:t>明</w:t>
      </w:r>
    </w:p>
    <w:p>
      <w:pPr>
        <w:widowControl/>
        <w:spacing w:before="100" w:beforeAutospacing="1" w:after="100" w:afterAutospacing="1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2017年无政府采购</w:t>
      </w:r>
    </w:p>
    <w:p>
      <w:pPr>
        <w:spacing w:line="60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名词解释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一、财政拨款收入：是指县级财政当年拨付的资金。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二、其他收入：是指部门取得的除“财政拨款”、“事业收入”、“事业单位经营收入”等以外的收入。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三、基本支出：是指为保障机构正常运转、完成日常工作任务所必需的开支，其内容包括人员经费和日常公用经费两部分。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四、项目支出：是指在基本支出之外，为完成特定的行政工作任务或事业发展目标所发生的支出。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“三公”经费：是指纳入县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88" w:firstLineChars="200"/>
        <w:rPr>
          <w:rFonts w:ascii="仿宋_GB2312" w:hAnsi="Times New Roman" w:eastAsia="仿宋_GB2312"/>
          <w:spacing w:val="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285307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8D43BD"/>
    <w:multiLevelType w:val="singleLevel"/>
    <w:tmpl w:val="CB8D43BD"/>
    <w:lvl w:ilvl="0" w:tentative="0">
      <w:start w:val="2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00"/>
    <w:rsid w:val="0007386F"/>
    <w:rsid w:val="000961FB"/>
    <w:rsid w:val="000E5D59"/>
    <w:rsid w:val="0011519F"/>
    <w:rsid w:val="001D0D8C"/>
    <w:rsid w:val="0025471B"/>
    <w:rsid w:val="002606C7"/>
    <w:rsid w:val="002A59DE"/>
    <w:rsid w:val="002B1A32"/>
    <w:rsid w:val="00317A1C"/>
    <w:rsid w:val="003D27C5"/>
    <w:rsid w:val="004B78A7"/>
    <w:rsid w:val="004D7974"/>
    <w:rsid w:val="0052452C"/>
    <w:rsid w:val="005339B2"/>
    <w:rsid w:val="0053667F"/>
    <w:rsid w:val="005B48D5"/>
    <w:rsid w:val="00645D8C"/>
    <w:rsid w:val="00672B03"/>
    <w:rsid w:val="00690C42"/>
    <w:rsid w:val="006D46FB"/>
    <w:rsid w:val="0073103D"/>
    <w:rsid w:val="00731081"/>
    <w:rsid w:val="00733360"/>
    <w:rsid w:val="0075680D"/>
    <w:rsid w:val="007D213A"/>
    <w:rsid w:val="007F6C71"/>
    <w:rsid w:val="00830346"/>
    <w:rsid w:val="008C4059"/>
    <w:rsid w:val="00955814"/>
    <w:rsid w:val="0097281B"/>
    <w:rsid w:val="00973935"/>
    <w:rsid w:val="009E3D00"/>
    <w:rsid w:val="00A22744"/>
    <w:rsid w:val="00A472A0"/>
    <w:rsid w:val="00A91B5B"/>
    <w:rsid w:val="00B23D02"/>
    <w:rsid w:val="00BA4D43"/>
    <w:rsid w:val="00BE297D"/>
    <w:rsid w:val="00C35EFE"/>
    <w:rsid w:val="00C81599"/>
    <w:rsid w:val="00CD5C8A"/>
    <w:rsid w:val="00D41171"/>
    <w:rsid w:val="00E61AAC"/>
    <w:rsid w:val="00E6369F"/>
    <w:rsid w:val="00E65276"/>
    <w:rsid w:val="00EA702E"/>
    <w:rsid w:val="00F32F32"/>
    <w:rsid w:val="00F72B55"/>
    <w:rsid w:val="00FE4013"/>
    <w:rsid w:val="09594286"/>
    <w:rsid w:val="1E8B7479"/>
    <w:rsid w:val="1EE05C1D"/>
    <w:rsid w:val="21C96E98"/>
    <w:rsid w:val="2BB4086E"/>
    <w:rsid w:val="325E0D4C"/>
    <w:rsid w:val="39E80B1E"/>
    <w:rsid w:val="3F9C3506"/>
    <w:rsid w:val="4C4B6261"/>
    <w:rsid w:val="4CCE7257"/>
    <w:rsid w:val="53526E63"/>
    <w:rsid w:val="69001FA2"/>
    <w:rsid w:val="74ED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rFonts w:ascii="Times New Roman" w:hAnsi="Times New Roman"/>
      <w:sz w:val="24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DFAB55-526B-4532-BF94-0FB4871840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454</Words>
  <Characters>2592</Characters>
  <Lines>21</Lines>
  <Paragraphs>6</Paragraphs>
  <TotalTime>0</TotalTime>
  <ScaleCrop>false</ScaleCrop>
  <LinksUpToDate>false</LinksUpToDate>
  <CharactersWithSpaces>3040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2018-10-25T07:05:00Z</dcterms:created>
  <dc:creator>Administrator</dc:creator>
  <cp:lastModifiedBy>萌主</cp:lastModifiedBy>
  <dcterms:modified xsi:type="dcterms:W3CDTF">2018-10-26T08:49:06Z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