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100" w:firstLineChars="250"/>
        <w:rPr>
          <w:rFonts w:ascii="黑体" w:hAnsi="黑体" w:eastAsia="黑体" w:cs="黑体"/>
          <w:sz w:val="44"/>
          <w:szCs w:val="44"/>
        </w:rPr>
      </w:pPr>
      <w:r>
        <w:rPr>
          <w:rFonts w:hint="eastAsia" w:ascii="黑体" w:hAnsi="黑体" w:eastAsia="黑体" w:cs="黑体"/>
          <w:sz w:val="44"/>
          <w:szCs w:val="44"/>
        </w:rPr>
        <w:t>栾川县城市管理局2017年决算公开</w:t>
      </w:r>
    </w:p>
    <w:p>
      <w:pPr>
        <w:jc w:val="center"/>
        <w:rPr>
          <w:rFonts w:ascii="仿宋" w:hAnsi="仿宋" w:eastAsia="仿宋" w:cs="黑体"/>
          <w:b/>
          <w:sz w:val="32"/>
          <w:szCs w:val="32"/>
        </w:rPr>
      </w:pPr>
      <w:r>
        <w:rPr>
          <w:rFonts w:hint="eastAsia" w:ascii="仿宋" w:hAnsi="仿宋" w:eastAsia="仿宋" w:cs="黑体"/>
          <w:b/>
          <w:sz w:val="32"/>
          <w:szCs w:val="32"/>
        </w:rPr>
        <w:t>目 录</w:t>
      </w:r>
    </w:p>
    <w:p>
      <w:pPr>
        <w:rPr>
          <w:rFonts w:ascii="仿宋" w:hAnsi="仿宋" w:eastAsia="仿宋" w:cs="黑体"/>
          <w:b/>
          <w:sz w:val="32"/>
          <w:szCs w:val="32"/>
        </w:rPr>
      </w:pPr>
      <w:r>
        <w:rPr>
          <w:rFonts w:hint="eastAsia" w:ascii="仿宋" w:hAnsi="仿宋" w:eastAsia="仿宋" w:cs="黑体"/>
          <w:b/>
          <w:sz w:val="32"/>
          <w:szCs w:val="32"/>
        </w:rPr>
        <w:t>一、栾川县城市管理局概况</w:t>
      </w:r>
    </w:p>
    <w:p>
      <w:pPr>
        <w:rPr>
          <w:rFonts w:ascii="仿宋" w:hAnsi="仿宋" w:eastAsia="仿宋" w:cs="黑体"/>
          <w:sz w:val="32"/>
          <w:szCs w:val="32"/>
        </w:rPr>
      </w:pPr>
      <w:r>
        <w:rPr>
          <w:rFonts w:hint="eastAsia" w:ascii="仿宋" w:hAnsi="仿宋" w:eastAsia="仿宋" w:cs="黑体"/>
          <w:sz w:val="32"/>
          <w:szCs w:val="32"/>
        </w:rPr>
        <w:t>（一）部门职责</w:t>
      </w:r>
    </w:p>
    <w:p>
      <w:pPr>
        <w:rPr>
          <w:rFonts w:ascii="仿宋" w:hAnsi="仿宋" w:eastAsia="仿宋" w:cs="黑体"/>
          <w:sz w:val="32"/>
          <w:szCs w:val="32"/>
        </w:rPr>
      </w:pPr>
      <w:r>
        <w:rPr>
          <w:rFonts w:hint="eastAsia" w:ascii="仿宋" w:hAnsi="仿宋" w:eastAsia="仿宋" w:cs="黑体"/>
          <w:sz w:val="32"/>
          <w:szCs w:val="32"/>
        </w:rPr>
        <w:t>（二）机构设置</w:t>
      </w:r>
    </w:p>
    <w:p>
      <w:pPr>
        <w:rPr>
          <w:rFonts w:ascii="仿宋" w:hAnsi="仿宋" w:eastAsia="仿宋" w:cs="黑体"/>
          <w:sz w:val="32"/>
          <w:szCs w:val="32"/>
        </w:rPr>
      </w:pPr>
      <w:r>
        <w:rPr>
          <w:rFonts w:hint="eastAsia" w:ascii="仿宋" w:hAnsi="仿宋" w:eastAsia="仿宋" w:cs="黑体"/>
          <w:sz w:val="32"/>
          <w:szCs w:val="32"/>
        </w:rPr>
        <w:t>（三）人员编制</w:t>
      </w:r>
    </w:p>
    <w:p>
      <w:pPr>
        <w:rPr>
          <w:rFonts w:ascii="仿宋" w:hAnsi="仿宋" w:eastAsia="仿宋" w:cs="黑体"/>
          <w:b/>
          <w:sz w:val="32"/>
          <w:szCs w:val="32"/>
        </w:rPr>
      </w:pPr>
      <w:r>
        <w:rPr>
          <w:rFonts w:hint="eastAsia" w:ascii="仿宋" w:hAnsi="仿宋" w:eastAsia="仿宋" w:cs="黑体"/>
          <w:b/>
          <w:sz w:val="32"/>
          <w:szCs w:val="32"/>
        </w:rPr>
        <w:t>二、2017年度部门决算说明</w:t>
      </w:r>
    </w:p>
    <w:p>
      <w:pPr>
        <w:rPr>
          <w:rFonts w:ascii="仿宋" w:hAnsi="仿宋" w:eastAsia="仿宋" w:cs="黑体"/>
          <w:sz w:val="32"/>
          <w:szCs w:val="32"/>
        </w:rPr>
      </w:pPr>
      <w:r>
        <w:rPr>
          <w:rFonts w:hint="eastAsia" w:ascii="仿宋" w:hAnsi="仿宋" w:eastAsia="仿宋" w:cs="黑体"/>
          <w:sz w:val="32"/>
          <w:szCs w:val="32"/>
        </w:rPr>
        <w:t>（一）部门收入支出总体情况说明</w:t>
      </w:r>
    </w:p>
    <w:p>
      <w:pPr>
        <w:rPr>
          <w:rFonts w:ascii="仿宋" w:hAnsi="仿宋" w:eastAsia="仿宋" w:cs="黑体"/>
          <w:sz w:val="32"/>
          <w:szCs w:val="32"/>
        </w:rPr>
      </w:pPr>
      <w:r>
        <w:rPr>
          <w:rFonts w:hint="eastAsia" w:ascii="仿宋" w:hAnsi="仿宋" w:eastAsia="仿宋" w:cs="黑体"/>
          <w:sz w:val="32"/>
          <w:szCs w:val="32"/>
        </w:rPr>
        <w:t>（二）部门收入总体情况说明</w:t>
      </w:r>
    </w:p>
    <w:p>
      <w:pPr>
        <w:rPr>
          <w:rFonts w:ascii="仿宋" w:hAnsi="仿宋" w:eastAsia="仿宋" w:cs="黑体"/>
          <w:sz w:val="32"/>
          <w:szCs w:val="32"/>
        </w:rPr>
      </w:pPr>
      <w:r>
        <w:rPr>
          <w:rFonts w:hint="eastAsia" w:ascii="仿宋" w:hAnsi="仿宋" w:eastAsia="仿宋" w:cs="黑体"/>
          <w:sz w:val="32"/>
          <w:szCs w:val="32"/>
        </w:rPr>
        <w:t>（三）部门支出总体情况说明</w:t>
      </w:r>
    </w:p>
    <w:p>
      <w:pPr>
        <w:rPr>
          <w:rFonts w:ascii="仿宋" w:hAnsi="仿宋" w:eastAsia="仿宋" w:cs="黑体"/>
          <w:b/>
          <w:sz w:val="32"/>
          <w:szCs w:val="32"/>
        </w:rPr>
      </w:pPr>
      <w:r>
        <w:rPr>
          <w:rFonts w:hint="eastAsia" w:ascii="仿宋" w:hAnsi="仿宋" w:eastAsia="仿宋" w:cs="黑体"/>
          <w:b/>
          <w:sz w:val="32"/>
          <w:szCs w:val="32"/>
        </w:rPr>
        <w:t xml:space="preserve">三、机关运行经费情况说明 </w:t>
      </w:r>
    </w:p>
    <w:p>
      <w:pPr>
        <w:rPr>
          <w:rFonts w:ascii="仿宋" w:hAnsi="仿宋" w:eastAsia="仿宋" w:cs="黑体"/>
          <w:b/>
          <w:sz w:val="32"/>
          <w:szCs w:val="32"/>
        </w:rPr>
      </w:pPr>
      <w:r>
        <w:rPr>
          <w:rFonts w:hint="eastAsia" w:ascii="仿宋" w:hAnsi="仿宋" w:eastAsia="仿宋" w:cs="黑体"/>
          <w:b/>
          <w:sz w:val="32"/>
          <w:szCs w:val="32"/>
        </w:rPr>
        <w:t>四、政府采购安排情况及执行情况</w:t>
      </w:r>
    </w:p>
    <w:p>
      <w:pPr>
        <w:spacing w:line="600" w:lineRule="atLeast"/>
        <w:rPr>
          <w:rFonts w:ascii="仿宋" w:hAnsi="仿宋" w:eastAsia="仿宋" w:cs="Times New Roman"/>
          <w:b/>
          <w:sz w:val="32"/>
          <w:szCs w:val="32"/>
        </w:rPr>
      </w:pPr>
      <w:r>
        <w:rPr>
          <w:rFonts w:hint="eastAsia" w:ascii="仿宋" w:hAnsi="仿宋" w:eastAsia="仿宋" w:cs="Times New Roman"/>
          <w:b/>
          <w:sz w:val="32"/>
          <w:szCs w:val="32"/>
        </w:rPr>
        <w:t>五、“三公”经费支出情况</w:t>
      </w:r>
    </w:p>
    <w:p>
      <w:pPr>
        <w:spacing w:line="600" w:lineRule="atLeast"/>
        <w:rPr>
          <w:rFonts w:ascii="仿宋" w:hAnsi="仿宋" w:eastAsia="仿宋" w:cs="黑体"/>
          <w:sz w:val="32"/>
          <w:szCs w:val="32"/>
        </w:rPr>
      </w:pPr>
      <w:r>
        <w:rPr>
          <w:rFonts w:hint="eastAsia" w:ascii="仿宋" w:hAnsi="仿宋" w:eastAsia="仿宋" w:cs="Times New Roman"/>
          <w:b/>
          <w:sz w:val="32"/>
          <w:szCs w:val="32"/>
        </w:rPr>
        <w:t>（</w:t>
      </w:r>
      <w:r>
        <w:rPr>
          <w:rFonts w:hint="eastAsia" w:ascii="仿宋" w:hAnsi="仿宋" w:eastAsia="仿宋" w:cs="黑体"/>
          <w:sz w:val="32"/>
          <w:szCs w:val="32"/>
        </w:rPr>
        <w:t>一）因公出国（境）费用</w:t>
      </w:r>
    </w:p>
    <w:p>
      <w:pPr>
        <w:rPr>
          <w:rFonts w:ascii="仿宋" w:hAnsi="仿宋" w:eastAsia="仿宋" w:cs="黑体"/>
          <w:sz w:val="32"/>
          <w:szCs w:val="32"/>
        </w:rPr>
      </w:pPr>
      <w:r>
        <w:rPr>
          <w:rFonts w:hint="eastAsia" w:ascii="仿宋" w:hAnsi="仿宋" w:eastAsia="仿宋" w:cs="黑体"/>
          <w:sz w:val="32"/>
          <w:szCs w:val="32"/>
        </w:rPr>
        <w:t>（二）公务接待费</w:t>
      </w:r>
    </w:p>
    <w:p>
      <w:pPr>
        <w:spacing w:line="600" w:lineRule="atLeast"/>
        <w:rPr>
          <w:rFonts w:ascii="仿宋" w:hAnsi="仿宋" w:eastAsia="仿宋" w:cs="黑体"/>
          <w:sz w:val="32"/>
          <w:szCs w:val="32"/>
        </w:rPr>
      </w:pPr>
      <w:r>
        <w:rPr>
          <w:rFonts w:hint="eastAsia" w:ascii="仿宋" w:hAnsi="仿宋" w:eastAsia="仿宋" w:cs="黑体"/>
          <w:sz w:val="32"/>
          <w:szCs w:val="32"/>
        </w:rPr>
        <w:t>（三）公务车辆运行费</w:t>
      </w:r>
    </w:p>
    <w:p>
      <w:pPr>
        <w:spacing w:line="600" w:lineRule="atLeast"/>
        <w:rPr>
          <w:rFonts w:ascii="仿宋" w:hAnsi="仿宋" w:eastAsia="仿宋" w:cs="Times New Roman"/>
          <w:b/>
          <w:sz w:val="32"/>
          <w:szCs w:val="32"/>
        </w:rPr>
      </w:pPr>
      <w:r>
        <w:rPr>
          <w:rFonts w:hint="eastAsia" w:ascii="仿宋" w:hAnsi="仿宋" w:eastAsia="仿宋" w:cs="Times New Roman"/>
          <w:b/>
          <w:sz w:val="32"/>
          <w:szCs w:val="32"/>
        </w:rPr>
        <w:t>六、国有资产占用情况</w:t>
      </w:r>
    </w:p>
    <w:p>
      <w:pPr>
        <w:rPr>
          <w:rFonts w:ascii="仿宋" w:hAnsi="仿宋" w:eastAsia="仿宋" w:cs="黑体"/>
          <w:b/>
          <w:sz w:val="32"/>
          <w:szCs w:val="32"/>
        </w:rPr>
      </w:pPr>
      <w:r>
        <w:rPr>
          <w:rFonts w:hint="eastAsia" w:ascii="仿宋" w:hAnsi="仿宋" w:eastAsia="仿宋" w:cs="黑体"/>
          <w:b/>
          <w:sz w:val="32"/>
          <w:szCs w:val="32"/>
        </w:rPr>
        <w:t>七、名词解释</w:t>
      </w:r>
    </w:p>
    <w:p>
      <w:pPr>
        <w:rPr>
          <w:rFonts w:ascii="仿宋" w:hAnsi="仿宋" w:eastAsia="仿宋" w:cs="黑体"/>
          <w:sz w:val="32"/>
          <w:szCs w:val="32"/>
        </w:rPr>
      </w:pPr>
      <w:r>
        <w:rPr>
          <w:rFonts w:hint="eastAsia" w:ascii="仿宋" w:hAnsi="仿宋" w:eastAsia="仿宋" w:cs="黑体"/>
          <w:sz w:val="32"/>
          <w:szCs w:val="32"/>
        </w:rPr>
        <w:t xml:space="preserve"> （一）基本支出</w:t>
      </w:r>
    </w:p>
    <w:p>
      <w:pPr>
        <w:ind w:firstLine="160" w:firstLineChars="50"/>
        <w:rPr>
          <w:rFonts w:ascii="仿宋" w:hAnsi="仿宋" w:eastAsia="仿宋" w:cs="黑体"/>
          <w:sz w:val="32"/>
          <w:szCs w:val="32"/>
        </w:rPr>
      </w:pPr>
      <w:r>
        <w:rPr>
          <w:rFonts w:hint="eastAsia" w:ascii="仿宋" w:hAnsi="仿宋" w:eastAsia="仿宋" w:cs="黑体"/>
          <w:sz w:val="32"/>
          <w:szCs w:val="32"/>
        </w:rPr>
        <w:t>（二）项目支出</w:t>
      </w:r>
    </w:p>
    <w:p>
      <w:pPr>
        <w:ind w:firstLine="160" w:firstLineChars="50"/>
        <w:rPr>
          <w:rFonts w:ascii="仿宋" w:hAnsi="仿宋" w:eastAsia="仿宋" w:cs="黑体"/>
          <w:sz w:val="32"/>
          <w:szCs w:val="32"/>
        </w:rPr>
      </w:pPr>
      <w:r>
        <w:rPr>
          <w:rFonts w:hint="eastAsia" w:ascii="仿宋" w:hAnsi="仿宋" w:eastAsia="仿宋" w:cs="黑体"/>
          <w:sz w:val="32"/>
          <w:szCs w:val="32"/>
        </w:rPr>
        <w:t>（三）“三公”经费</w:t>
      </w:r>
    </w:p>
    <w:p>
      <w:pPr>
        <w:ind w:firstLine="160" w:firstLineChars="50"/>
        <w:rPr>
          <w:rFonts w:ascii="仿宋" w:hAnsi="仿宋" w:eastAsia="仿宋" w:cs="黑体"/>
          <w:sz w:val="32"/>
          <w:szCs w:val="32"/>
        </w:rPr>
      </w:pPr>
      <w:r>
        <w:rPr>
          <w:rFonts w:hint="eastAsia" w:ascii="仿宋" w:hAnsi="仿宋" w:eastAsia="仿宋" w:cs="黑体"/>
          <w:sz w:val="32"/>
          <w:szCs w:val="32"/>
        </w:rPr>
        <w:t>（四）机关运行经费</w:t>
      </w:r>
    </w:p>
    <w:p>
      <w:pPr>
        <w:spacing w:line="600" w:lineRule="atLeast"/>
        <w:ind w:firstLine="643" w:firstLineChars="200"/>
        <w:jc w:val="left"/>
        <w:rPr>
          <w:rFonts w:ascii="楷体" w:hAnsi="楷体" w:eastAsia="楷体" w:cs="Times New Roman"/>
          <w:b/>
          <w:sz w:val="32"/>
          <w:szCs w:val="32"/>
        </w:rPr>
      </w:pPr>
      <w:r>
        <w:rPr>
          <w:rFonts w:hint="eastAsia" w:ascii="楷体" w:hAnsi="楷体" w:eastAsia="楷体" w:cs="Times New Roman"/>
          <w:b/>
          <w:sz w:val="32"/>
          <w:szCs w:val="32"/>
        </w:rPr>
        <w:t>一、栾川县城市管理局概况</w:t>
      </w:r>
    </w:p>
    <w:p>
      <w:pPr>
        <w:adjustRightInd w:val="0"/>
        <w:snapToGrid w:val="0"/>
        <w:spacing w:line="360" w:lineRule="auto"/>
        <w:ind w:firstLine="643" w:firstLineChars="200"/>
        <w:jc w:val="left"/>
        <w:rPr>
          <w:rFonts w:ascii="仿宋" w:hAnsi="仿宋" w:eastAsia="仿宋" w:cs="Times New Roman"/>
          <w:sz w:val="32"/>
          <w:szCs w:val="32"/>
        </w:rPr>
      </w:pPr>
      <w:r>
        <w:rPr>
          <w:rFonts w:hint="eastAsia" w:ascii="仿宋" w:hAnsi="仿宋" w:eastAsia="仿宋" w:cs="Times New Roman"/>
          <w:b/>
          <w:sz w:val="32"/>
          <w:szCs w:val="32"/>
        </w:rPr>
        <w:t>（一）部门职责</w:t>
      </w:r>
      <w:r>
        <w:rPr>
          <w:rFonts w:hint="eastAsia" w:ascii="仿宋" w:hAnsi="仿宋" w:eastAsia="仿宋" w:cs="Times New Roman"/>
          <w:sz w:val="32"/>
          <w:szCs w:val="32"/>
        </w:rPr>
        <w:t>：栾川县城市管理局是经河南省省政府批准、在洛阳市县区率先开展城市管理相对集中行政处罚权工作的试点单位，其主要职责是整合市政、规划、环保、工商、公安交通等城市管理方面的法律法规7大类138项行政处罚权的相对集中。</w:t>
      </w:r>
    </w:p>
    <w:p>
      <w:pPr>
        <w:adjustRightInd w:val="0"/>
        <w:snapToGrid w:val="0"/>
        <w:spacing w:line="360" w:lineRule="auto"/>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栾川县城市管理行政执法局于2015年12月28日挂牌成立。按照中央、省、市、全面推进城市执法体制改革工作部署要求，2017年9月20日，更名挂牌成立了栾川县城市管理局，加挂栾川县城市综合执法局牌子，确定栾川县城市管理局为县政府工作部门。</w:t>
      </w:r>
    </w:p>
    <w:p>
      <w:pPr>
        <w:adjustRightInd w:val="0"/>
        <w:snapToGrid w:val="0"/>
        <w:spacing w:line="360" w:lineRule="auto"/>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w:t>
      </w:r>
      <w:r>
        <w:rPr>
          <w:rFonts w:hint="eastAsia" w:ascii="仿宋" w:hAnsi="仿宋" w:eastAsia="仿宋" w:cs="Times New Roman"/>
          <w:b/>
          <w:sz w:val="32"/>
          <w:szCs w:val="32"/>
        </w:rPr>
        <w:t>二）机构设置</w:t>
      </w:r>
      <w:r>
        <w:rPr>
          <w:rFonts w:hint="eastAsia" w:ascii="仿宋" w:hAnsi="仿宋" w:eastAsia="仿宋" w:cs="Times New Roman"/>
          <w:sz w:val="32"/>
          <w:szCs w:val="32"/>
        </w:rPr>
        <w:t>：根据县“三定方案”，城市管理局机关设置综合办公室（人事财务股）、法制审批科（行政审批股、违章处理中心）、督查信访科（110联动办公室、纪检监察室）三个科室。根据县城管理实际，将原来的栾川县城市管理综合执法大队划分为五个专业执法大队。一大队负责市容市貌和环境卫生；二大队负责城乡规划执法监察；三大队负责静态交通管理及渣土车执法监察；特勤大队负责夜间治理露天烧烤、噪间扰民等执法监察等；五大队负责伊河生态水系、广场、游园执法监察。</w:t>
      </w:r>
    </w:p>
    <w:p>
      <w:pPr>
        <w:adjustRightInd w:val="0"/>
        <w:snapToGrid w:val="0"/>
        <w:spacing w:line="360" w:lineRule="auto"/>
        <w:ind w:firstLine="643" w:firstLineChars="200"/>
        <w:jc w:val="left"/>
        <w:rPr>
          <w:rFonts w:ascii="仿宋" w:hAnsi="仿宋" w:eastAsia="仿宋" w:cs="Times New Roman"/>
          <w:sz w:val="32"/>
          <w:szCs w:val="32"/>
        </w:rPr>
      </w:pPr>
      <w:r>
        <w:rPr>
          <w:rFonts w:hint="eastAsia" w:ascii="仿宋" w:hAnsi="仿宋" w:eastAsia="仿宋" w:cs="Times New Roman"/>
          <w:b/>
          <w:sz w:val="32"/>
          <w:szCs w:val="32"/>
        </w:rPr>
        <w:t>（三）人员编制：</w:t>
      </w:r>
      <w:r>
        <w:rPr>
          <w:rFonts w:hint="eastAsia" w:ascii="仿宋" w:hAnsi="仿宋" w:eastAsia="仿宋" w:cs="Times New Roman"/>
          <w:sz w:val="32"/>
          <w:szCs w:val="32"/>
        </w:rPr>
        <w:t>栾川县城市管理局行政编制7名，事业编制60名，城市管理综合执法协管员69名、数字化城市管理工作人员25名。</w:t>
      </w:r>
    </w:p>
    <w:p>
      <w:pPr>
        <w:spacing w:line="600" w:lineRule="atLeast"/>
        <w:ind w:firstLine="964" w:firstLineChars="200"/>
        <w:jc w:val="center"/>
        <w:rPr>
          <w:rFonts w:ascii="楷体" w:hAnsi="楷体" w:eastAsia="楷体" w:cs="Times New Roman"/>
          <w:b/>
          <w:sz w:val="48"/>
          <w:szCs w:val="48"/>
        </w:rPr>
      </w:pPr>
      <w:r>
        <w:rPr>
          <w:rFonts w:hint="eastAsia" w:ascii="楷体" w:hAnsi="楷体" w:eastAsia="楷体" w:cs="Times New Roman"/>
          <w:b/>
          <w:sz w:val="48"/>
          <w:szCs w:val="48"/>
        </w:rPr>
        <w:t>二、2017年部门决算情况说明</w:t>
      </w:r>
    </w:p>
    <w:p>
      <w:pPr>
        <w:adjustRightInd w:val="0"/>
        <w:snapToGrid w:val="0"/>
        <w:spacing w:line="360" w:lineRule="auto"/>
        <w:ind w:firstLine="643" w:firstLineChars="200"/>
        <w:jc w:val="left"/>
        <w:rPr>
          <w:rFonts w:ascii="仿宋" w:hAnsi="仿宋" w:eastAsia="仿宋" w:cs="Times New Roman"/>
          <w:b/>
          <w:sz w:val="32"/>
          <w:szCs w:val="32"/>
        </w:rPr>
      </w:pPr>
      <w:r>
        <w:rPr>
          <w:rFonts w:hint="eastAsia" w:ascii="仿宋" w:hAnsi="仿宋" w:eastAsia="仿宋" w:cs="Times New Roman"/>
          <w:b/>
          <w:sz w:val="32"/>
          <w:szCs w:val="32"/>
        </w:rPr>
        <w:t>（一）部门收入支出总体情况</w:t>
      </w:r>
    </w:p>
    <w:p>
      <w:pPr>
        <w:spacing w:line="600" w:lineRule="atLeas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2017年收入305.89万元，比上年增加158.47万元，增长107.49%。2017年支出总计291.07万元，比上年增加190.86万元，增长190.46%。年未结转和结余62.03万元，比上年增加14.82万元，增长31%。增长的主要原因是：我单位是2015年12月新成立单位，处于执法体制改革阶段，第一批事业全供人员于2017年4月招录到位，增加了事业人员工资、日常运行经费、住房公积金和各项社保等财政拔款。</w:t>
      </w:r>
    </w:p>
    <w:p>
      <w:pPr>
        <w:spacing w:line="600" w:lineRule="atLeast"/>
        <w:ind w:firstLine="643" w:firstLineChars="200"/>
        <w:jc w:val="left"/>
        <w:rPr>
          <w:rFonts w:ascii="仿宋" w:hAnsi="仿宋" w:eastAsia="仿宋" w:cs="Times New Roman"/>
          <w:b/>
          <w:sz w:val="32"/>
          <w:szCs w:val="32"/>
        </w:rPr>
      </w:pPr>
      <w:r>
        <w:rPr>
          <w:rFonts w:hint="eastAsia" w:ascii="仿宋" w:hAnsi="仿宋" w:eastAsia="仿宋" w:cs="Times New Roman"/>
          <w:b/>
          <w:sz w:val="32"/>
          <w:szCs w:val="32"/>
        </w:rPr>
        <w:t>（二）部门收入总体情况说明</w:t>
      </w:r>
    </w:p>
    <w:p>
      <w:pPr>
        <w:spacing w:line="600" w:lineRule="atLeas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一般公共财政预算收入305.89万元，比上年增加158.47万元，增长107.49%。增长的原因主要是：我单位是2015年12月新成立单位，处于执法体制改革阶段，第一批事业全供人员于2017年4月招录到位，增加了事业人员工资、日常运行经费、住房公积金和各项社保等财政拔款。</w:t>
      </w:r>
    </w:p>
    <w:p>
      <w:pPr>
        <w:spacing w:line="600" w:lineRule="atLeast"/>
        <w:ind w:firstLine="643" w:firstLineChars="200"/>
        <w:jc w:val="left"/>
        <w:rPr>
          <w:rFonts w:ascii="仿宋" w:hAnsi="仿宋" w:eastAsia="仿宋" w:cs="Times New Roman"/>
          <w:b/>
          <w:sz w:val="32"/>
          <w:szCs w:val="32"/>
        </w:rPr>
      </w:pPr>
      <w:r>
        <w:rPr>
          <w:rFonts w:hint="eastAsia" w:ascii="仿宋" w:hAnsi="仿宋" w:eastAsia="仿宋" w:cs="Times New Roman"/>
          <w:b/>
          <w:sz w:val="32"/>
          <w:szCs w:val="32"/>
        </w:rPr>
        <w:t>（三）部门支出总体情况说明</w:t>
      </w:r>
    </w:p>
    <w:p>
      <w:pPr>
        <w:spacing w:line="600" w:lineRule="atLeas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一般公共财政预算支出291.07万元，比上年增加190.86万元，增长190.46%。支出分别为：基本支出177.40万元，比上年增加77.19万元，增长77.02%。支出增长的原因主要是人员工资增长和机关养老保险金及单位运行经费增加；项目支出113.67万元，比上年增加113.67万元，增加100%。增加的原因主要是因需购置公务用车及执法被装购置及其它固定资产购置。</w:t>
      </w:r>
    </w:p>
    <w:p>
      <w:pPr>
        <w:spacing w:line="600" w:lineRule="atLeast"/>
        <w:ind w:firstLine="643" w:firstLineChars="200"/>
        <w:jc w:val="left"/>
        <w:rPr>
          <w:rFonts w:ascii="楷体" w:hAnsi="楷体" w:eastAsia="楷体" w:cs="Times New Roman"/>
          <w:b/>
          <w:sz w:val="32"/>
          <w:szCs w:val="32"/>
        </w:rPr>
      </w:pPr>
      <w:r>
        <w:rPr>
          <w:rFonts w:hint="eastAsia" w:ascii="楷体" w:hAnsi="楷体" w:eastAsia="楷体" w:cs="Times New Roman"/>
          <w:b/>
          <w:sz w:val="32"/>
          <w:szCs w:val="32"/>
        </w:rPr>
        <w:t>三、机关运行经费支出情况</w:t>
      </w:r>
    </w:p>
    <w:p>
      <w:pPr>
        <w:spacing w:line="600" w:lineRule="atLeas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2017年机关运行经费支出80.0037万元，比上年增1.8951万元，增加2.43%，主要用于保障部门正常运转及正常履职需要。</w:t>
      </w:r>
    </w:p>
    <w:p>
      <w:pPr>
        <w:spacing w:line="600" w:lineRule="atLeas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主要用于办公费75100.2元、印刷费73700.9元、咨询费2000元、水费6510元、电费101351.38元、邮电费4583.6元、差旅费65988元、租赁费9000元、会议费1748元、培训费：1450元、公务接待费13351元、劳务费33600元、其他交通费5550元、维护费35267.5元、其他商品和服务支出78105.6元。</w:t>
      </w:r>
    </w:p>
    <w:p>
      <w:pPr>
        <w:spacing w:line="600" w:lineRule="atLeast"/>
        <w:ind w:firstLine="643" w:firstLineChars="200"/>
        <w:jc w:val="left"/>
        <w:rPr>
          <w:rFonts w:ascii="楷体" w:hAnsi="楷体" w:eastAsia="楷体" w:cs="Times New Roman"/>
          <w:b/>
          <w:bCs w:val="0"/>
          <w:sz w:val="32"/>
          <w:szCs w:val="32"/>
        </w:rPr>
      </w:pPr>
      <w:bookmarkStart w:id="0" w:name="_GoBack"/>
      <w:r>
        <w:rPr>
          <w:rFonts w:hint="eastAsia" w:ascii="楷体" w:hAnsi="楷体" w:eastAsia="楷体" w:cs="Times New Roman"/>
          <w:b/>
          <w:bCs w:val="0"/>
          <w:sz w:val="32"/>
          <w:szCs w:val="32"/>
        </w:rPr>
        <w:t>四、政府采购安排及执行情况</w:t>
      </w:r>
    </w:p>
    <w:bookmarkEnd w:id="0"/>
    <w:p>
      <w:pPr>
        <w:widowControl/>
        <w:spacing w:line="590" w:lineRule="exact"/>
        <w:ind w:firstLine="627" w:firstLineChars="196"/>
        <w:rPr>
          <w:rFonts w:ascii="仿宋" w:hAnsi="仿宋" w:eastAsia="仿宋" w:cs="Times New Roman"/>
          <w:sz w:val="32"/>
          <w:szCs w:val="32"/>
        </w:rPr>
      </w:pPr>
      <w:r>
        <w:rPr>
          <w:rFonts w:hint="eastAsia" w:ascii="仿宋" w:hAnsi="仿宋" w:eastAsia="仿宋" w:cs="Times New Roman"/>
          <w:sz w:val="32"/>
          <w:szCs w:val="32"/>
        </w:rPr>
        <w:t>本单位严格按照规定，录入和填报政府采购计划和执行情况，按照集中采购方式进行采购，2017年政府采购支出计划总金额1593807元，实际支付金额总计 974135元，主要用于执法车辆、执法装备、制式服装及其它固定资产购置，全部通过申报、审批、公示等程序进行。其中；美的空调采购计划金额95635元，实际采购金额92235元；执法采集站项目采购计划金额：84500元，实际采购金额81500元；夏季制式服装和标志标识采购计划金额196272元，实际采购金额184400元；执法工具车采购计划金额483200元，实际采购金额416000元；建筑装饰装修工程采购计划金额293100元，实际支付金额200000元；冬季制式服装和标志标识采购计划金额441100元，当年未支付。</w:t>
      </w:r>
    </w:p>
    <w:p>
      <w:pPr>
        <w:spacing w:line="600" w:lineRule="atLeast"/>
        <w:ind w:firstLine="643" w:firstLineChars="200"/>
        <w:jc w:val="left"/>
        <w:rPr>
          <w:rFonts w:ascii="楷体" w:hAnsi="楷体" w:eastAsia="楷体" w:cs="Times New Roman"/>
          <w:b/>
          <w:sz w:val="32"/>
          <w:szCs w:val="32"/>
        </w:rPr>
      </w:pPr>
      <w:r>
        <w:rPr>
          <w:rFonts w:hint="eastAsia" w:ascii="楷体" w:hAnsi="楷体" w:eastAsia="楷体" w:cs="Times New Roman"/>
          <w:b/>
          <w:sz w:val="32"/>
          <w:szCs w:val="32"/>
        </w:rPr>
        <w:t>五、“三公”经费支出情况</w:t>
      </w:r>
    </w:p>
    <w:p>
      <w:pPr>
        <w:spacing w:line="600" w:lineRule="atLeas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“三公”经费支出总额为11.78万元，比上年减少1.37万元，减少11.6%.具体情况如下：</w:t>
      </w:r>
    </w:p>
    <w:p>
      <w:pPr>
        <w:spacing w:line="600" w:lineRule="atLeast"/>
        <w:ind w:firstLine="643" w:firstLineChars="200"/>
        <w:jc w:val="left"/>
        <w:rPr>
          <w:rFonts w:ascii="楷体" w:hAnsi="楷体" w:eastAsia="楷体" w:cs="Times New Roman"/>
          <w:b/>
          <w:sz w:val="32"/>
          <w:szCs w:val="32"/>
        </w:rPr>
      </w:pPr>
      <w:r>
        <w:rPr>
          <w:rFonts w:hint="eastAsia" w:ascii="楷体" w:hAnsi="楷体" w:eastAsia="楷体" w:cs="Times New Roman"/>
          <w:b/>
          <w:sz w:val="32"/>
          <w:szCs w:val="32"/>
        </w:rPr>
        <w:t>（一）因公出国（境）费用</w:t>
      </w:r>
    </w:p>
    <w:p>
      <w:pPr>
        <w:spacing w:line="600" w:lineRule="atLeas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1、</w:t>
      </w:r>
      <w:r>
        <w:rPr>
          <w:rFonts w:ascii="仿宋" w:hAnsi="仿宋" w:eastAsia="仿宋"/>
          <w:sz w:val="32"/>
          <w:szCs w:val="32"/>
        </w:rPr>
        <w:t>2017</w:t>
      </w:r>
      <w:r>
        <w:rPr>
          <w:rFonts w:hint="eastAsia" w:ascii="仿宋" w:hAnsi="仿宋" w:eastAsia="仿宋"/>
          <w:sz w:val="32"/>
          <w:szCs w:val="32"/>
        </w:rPr>
        <w:t>年</w:t>
      </w:r>
      <w:r>
        <w:rPr>
          <w:rFonts w:hint="eastAsia" w:ascii="仿宋_GB2312" w:hAnsi="仿宋_GB2312" w:eastAsia="仿宋_GB2312" w:cs="仿宋_GB2312"/>
          <w:color w:val="auto"/>
          <w:sz w:val="32"/>
          <w:szCs w:val="32"/>
          <w:highlight w:val="none"/>
          <w:lang w:val="en-US" w:eastAsia="zh-CN"/>
        </w:rPr>
        <w:t>因公出国、出境人数为0，批次为0；</w:t>
      </w:r>
      <w:r>
        <w:rPr>
          <w:rFonts w:hint="eastAsia" w:ascii="仿宋" w:hAnsi="仿宋" w:eastAsia="仿宋" w:cs="Times New Roman"/>
          <w:sz w:val="32"/>
          <w:szCs w:val="32"/>
        </w:rPr>
        <w:t>2017年因公出国（境）费用0万元，上年因公出国（境）费用0元。</w:t>
      </w:r>
    </w:p>
    <w:p>
      <w:pPr>
        <w:spacing w:line="600" w:lineRule="atLeas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2、我单位在2017年度没有因公出国（境）相关费用产生。</w:t>
      </w:r>
    </w:p>
    <w:p>
      <w:pPr>
        <w:spacing w:line="600" w:lineRule="atLeast"/>
        <w:ind w:firstLine="643" w:firstLineChars="200"/>
        <w:jc w:val="left"/>
        <w:rPr>
          <w:rFonts w:ascii="楷体" w:hAnsi="楷体" w:eastAsia="楷体" w:cs="Times New Roman"/>
          <w:b/>
          <w:sz w:val="32"/>
          <w:szCs w:val="32"/>
        </w:rPr>
      </w:pPr>
      <w:r>
        <w:rPr>
          <w:rFonts w:hint="eastAsia" w:ascii="仿宋" w:hAnsi="仿宋" w:eastAsia="仿宋" w:cs="Times New Roman"/>
          <w:b/>
          <w:sz w:val="32"/>
          <w:szCs w:val="32"/>
        </w:rPr>
        <w:t>（</w:t>
      </w:r>
      <w:r>
        <w:rPr>
          <w:rFonts w:hint="eastAsia" w:ascii="楷体" w:hAnsi="楷体" w:eastAsia="楷体" w:cs="Times New Roman"/>
          <w:b/>
          <w:sz w:val="32"/>
          <w:szCs w:val="32"/>
        </w:rPr>
        <w:t>二）公务接待费</w:t>
      </w:r>
    </w:p>
    <w:p>
      <w:pPr>
        <w:spacing w:line="600" w:lineRule="atLeas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 xml:space="preserve"> 2017年公务接待费支出1.33万元，比上年增加0.2万元，增加17.69%。公务接待费增加的主要原因是外来考察学习单位增多。</w:t>
      </w:r>
      <w:r>
        <w:rPr>
          <w:rFonts w:hint="eastAsia" w:ascii="仿宋" w:hAnsi="仿宋" w:eastAsia="仿宋" w:cs="Times New Roman"/>
          <w:b/>
          <w:bCs/>
          <w:sz w:val="32"/>
          <w:szCs w:val="32"/>
        </w:rPr>
        <w:t>接待次数达35余次，总计接待人数为206人。</w:t>
      </w:r>
    </w:p>
    <w:p>
      <w:pPr>
        <w:spacing w:line="600" w:lineRule="atLeast"/>
        <w:ind w:firstLine="643" w:firstLineChars="200"/>
        <w:jc w:val="left"/>
        <w:rPr>
          <w:rFonts w:hint="eastAsia" w:ascii="楷体" w:hAnsi="楷体" w:eastAsia="楷体" w:cs="Times New Roman"/>
          <w:b/>
          <w:sz w:val="32"/>
          <w:szCs w:val="32"/>
          <w:lang w:eastAsia="zh-CN"/>
        </w:rPr>
      </w:pPr>
      <w:r>
        <w:rPr>
          <w:rFonts w:hint="eastAsia" w:ascii="楷体" w:hAnsi="楷体" w:eastAsia="楷体" w:cs="Times New Roman"/>
          <w:b/>
          <w:sz w:val="32"/>
          <w:szCs w:val="32"/>
        </w:rPr>
        <w:t>（三）公务用车运行费</w:t>
      </w:r>
      <w:r>
        <w:rPr>
          <w:rFonts w:hint="eastAsia" w:ascii="楷体" w:hAnsi="楷体" w:eastAsia="楷体" w:cs="Times New Roman"/>
          <w:b/>
          <w:sz w:val="32"/>
          <w:szCs w:val="32"/>
          <w:lang w:eastAsia="zh-CN"/>
        </w:rPr>
        <w:t>及保有量</w:t>
      </w:r>
    </w:p>
    <w:p>
      <w:pPr>
        <w:ind w:firstLine="645"/>
        <w:rPr>
          <w:rFonts w:ascii="仿宋" w:hAnsi="仿宋" w:eastAsia="仿宋" w:cs="Times New Roman"/>
          <w:sz w:val="32"/>
          <w:szCs w:val="32"/>
        </w:rPr>
      </w:pPr>
      <w:r>
        <w:rPr>
          <w:rFonts w:hint="eastAsia" w:ascii="仿宋" w:hAnsi="仿宋" w:eastAsia="仿宋" w:cs="Times New Roman"/>
          <w:sz w:val="32"/>
          <w:szCs w:val="32"/>
        </w:rPr>
        <w:t>栾川县城市管理局目前执法车辆暂未定编，根据中共洛阳市委洛发＜2017＞16号文件和中共栾川县委栾发＜2017＞12文件，加强队伍建设中第（九）项“在国家标准未出台之前，执法执勤车、装备配备标准暂时参照公安部门实施”，根据该要求，目前城市管理局配备执勤车辆9台。其中 3台系县公车办划转车辆、4台县财政拨款购买车辆，价值41.6万元，2台是在单位组建整合过程中从外单位借调车辆。2017公务用车运行维护费10.45万元，比上年减少1.57万元，减少15%。主要压缩运行维护费支出。</w:t>
      </w:r>
    </w:p>
    <w:p>
      <w:pPr>
        <w:spacing w:line="600" w:lineRule="atLeast"/>
        <w:ind w:firstLine="643" w:firstLineChars="200"/>
        <w:jc w:val="left"/>
        <w:rPr>
          <w:rFonts w:ascii="楷体" w:hAnsi="楷体" w:eastAsia="楷体" w:cs="Times New Roman"/>
          <w:b/>
          <w:sz w:val="32"/>
          <w:szCs w:val="32"/>
        </w:rPr>
      </w:pPr>
      <w:r>
        <w:rPr>
          <w:rFonts w:hint="eastAsia" w:ascii="楷体" w:hAnsi="楷体" w:eastAsia="楷体" w:cs="Times New Roman"/>
          <w:b/>
          <w:sz w:val="32"/>
          <w:szCs w:val="32"/>
        </w:rPr>
        <w:t>六、国有资产占用情况</w:t>
      </w:r>
    </w:p>
    <w:p>
      <w:pPr>
        <w:spacing w:line="600" w:lineRule="atLeas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2017年固定资产139.11万元，比上年增加97.01万元，增加230%。固定资产主要包含：一、公务车辆4台，价值41.6万元；三、其他固定资产97.51万元。</w:t>
      </w:r>
    </w:p>
    <w:p>
      <w:pPr>
        <w:spacing w:line="600" w:lineRule="atLeast"/>
        <w:ind w:firstLine="883" w:firstLineChars="200"/>
        <w:jc w:val="left"/>
        <w:rPr>
          <w:rFonts w:ascii="楷体" w:hAnsi="楷体" w:eastAsia="楷体" w:cs="Times New Roman"/>
          <w:b/>
          <w:sz w:val="44"/>
          <w:szCs w:val="44"/>
        </w:rPr>
      </w:pPr>
      <w:r>
        <w:rPr>
          <w:rFonts w:hint="eastAsia" w:ascii="楷体" w:hAnsi="楷体" w:eastAsia="楷体" w:cs="Times New Roman"/>
          <w:b/>
          <w:sz w:val="44"/>
          <w:szCs w:val="44"/>
        </w:rPr>
        <w:t>七、名词解释</w:t>
      </w:r>
    </w:p>
    <w:p>
      <w:pPr>
        <w:spacing w:line="591"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（一）基本支出：指行政事业单位用于为保障其机构正常运转、完成日常工作任务而发生的人员支出和公用支出。</w:t>
      </w:r>
    </w:p>
    <w:p>
      <w:pPr>
        <w:spacing w:line="591"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（二）项目支出：指在基本支出之外为完成特定的行政工作任务或事业发展目标所发生的支出。</w:t>
      </w:r>
    </w:p>
    <w:p>
      <w:pPr>
        <w:spacing w:line="591"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三）“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spacing w:line="591"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四）机关运行经费：包括办公及印刷费、邮电费、差旅费、会议费、福利费、日常维修费、专用材料及一般设备购置费、办公用房水电费、办公用房取暖费、办公用房物业管理费、公务用车运行维护费以及其他费用。</w:t>
      </w:r>
    </w:p>
    <w:p>
      <w:pPr>
        <w:spacing w:line="591" w:lineRule="exact"/>
        <w:ind w:firstLine="640" w:firstLineChars="200"/>
        <w:jc w:val="left"/>
        <w:rPr>
          <w:rFonts w:ascii="仿宋" w:hAnsi="仿宋" w:eastAsia="仿宋" w:cs="Times New Roman"/>
          <w:sz w:val="32"/>
          <w:szCs w:val="32"/>
        </w:rPr>
      </w:pPr>
    </w:p>
    <w:p>
      <w:pPr>
        <w:spacing w:line="591"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附：2017年栾川县城市管理局决算公开说明</w:t>
      </w:r>
    </w:p>
    <w:p>
      <w:pPr>
        <w:rPr>
          <w:rFonts w:ascii="仿宋" w:hAnsi="仿宋" w:eastAsia="仿宋"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Bookshelf Symbol 7">
    <w:panose1 w:val="05010101010101010101"/>
    <w:charset w:val="00"/>
    <w:family w:val="auto"/>
    <w:pitch w:val="default"/>
    <w:sig w:usb0="00000000" w:usb1="00000000" w:usb2="00000000" w:usb3="00000000" w:csb0="80000000" w:csb1="00000000"/>
  </w:font>
  <w:font w:name="仿宋">
    <w:altName w:val="宋体"/>
    <w:panose1 w:val="02010609060101010101"/>
    <w:charset w:val="86"/>
    <w:family w:val="modern"/>
    <w:pitch w:val="default"/>
    <w:sig w:usb0="00000000" w:usb1="00000000" w:usb2="0000001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DD9192D"/>
    <w:rsid w:val="0003205F"/>
    <w:rsid w:val="00080601"/>
    <w:rsid w:val="00087EF6"/>
    <w:rsid w:val="000B7852"/>
    <w:rsid w:val="001033D1"/>
    <w:rsid w:val="0011627E"/>
    <w:rsid w:val="0013561D"/>
    <w:rsid w:val="0018599E"/>
    <w:rsid w:val="001D7DA5"/>
    <w:rsid w:val="0022025A"/>
    <w:rsid w:val="00241BC1"/>
    <w:rsid w:val="00241ED2"/>
    <w:rsid w:val="002B5A76"/>
    <w:rsid w:val="002C2F58"/>
    <w:rsid w:val="002E4C98"/>
    <w:rsid w:val="002F054C"/>
    <w:rsid w:val="002F173A"/>
    <w:rsid w:val="00320F9C"/>
    <w:rsid w:val="00321F97"/>
    <w:rsid w:val="003331C9"/>
    <w:rsid w:val="003336F0"/>
    <w:rsid w:val="00374CF2"/>
    <w:rsid w:val="003C0740"/>
    <w:rsid w:val="00434015"/>
    <w:rsid w:val="00434EC1"/>
    <w:rsid w:val="00440739"/>
    <w:rsid w:val="004450C7"/>
    <w:rsid w:val="00453D96"/>
    <w:rsid w:val="00462676"/>
    <w:rsid w:val="00482E17"/>
    <w:rsid w:val="004A17F3"/>
    <w:rsid w:val="004A70A0"/>
    <w:rsid w:val="004B7DB4"/>
    <w:rsid w:val="004C3E15"/>
    <w:rsid w:val="004E3F21"/>
    <w:rsid w:val="004E4F34"/>
    <w:rsid w:val="00510D0D"/>
    <w:rsid w:val="0057423B"/>
    <w:rsid w:val="0058430F"/>
    <w:rsid w:val="005B3B13"/>
    <w:rsid w:val="005C07C2"/>
    <w:rsid w:val="00616F08"/>
    <w:rsid w:val="00624363"/>
    <w:rsid w:val="006718E6"/>
    <w:rsid w:val="006D3E3B"/>
    <w:rsid w:val="0071100C"/>
    <w:rsid w:val="007271EE"/>
    <w:rsid w:val="00736BAC"/>
    <w:rsid w:val="00743E66"/>
    <w:rsid w:val="00777D14"/>
    <w:rsid w:val="007C2079"/>
    <w:rsid w:val="007F2603"/>
    <w:rsid w:val="007F3A08"/>
    <w:rsid w:val="00801B47"/>
    <w:rsid w:val="008106A6"/>
    <w:rsid w:val="008312EB"/>
    <w:rsid w:val="00836187"/>
    <w:rsid w:val="0085101A"/>
    <w:rsid w:val="00853DA4"/>
    <w:rsid w:val="00856B83"/>
    <w:rsid w:val="00871F57"/>
    <w:rsid w:val="00875FBC"/>
    <w:rsid w:val="00877123"/>
    <w:rsid w:val="00880B71"/>
    <w:rsid w:val="008D3A24"/>
    <w:rsid w:val="008F00D8"/>
    <w:rsid w:val="008F5444"/>
    <w:rsid w:val="00973E0B"/>
    <w:rsid w:val="009C54A6"/>
    <w:rsid w:val="009E3C85"/>
    <w:rsid w:val="009F15BA"/>
    <w:rsid w:val="00A245F2"/>
    <w:rsid w:val="00AA4F93"/>
    <w:rsid w:val="00AA5D49"/>
    <w:rsid w:val="00AD0DAB"/>
    <w:rsid w:val="00B026A0"/>
    <w:rsid w:val="00B15BB5"/>
    <w:rsid w:val="00B224F8"/>
    <w:rsid w:val="00B32419"/>
    <w:rsid w:val="00BD5013"/>
    <w:rsid w:val="00BE0ECB"/>
    <w:rsid w:val="00C51630"/>
    <w:rsid w:val="00C740B6"/>
    <w:rsid w:val="00C837DC"/>
    <w:rsid w:val="00CA3A70"/>
    <w:rsid w:val="00CF69E1"/>
    <w:rsid w:val="00D10E83"/>
    <w:rsid w:val="00D371F4"/>
    <w:rsid w:val="00DA0029"/>
    <w:rsid w:val="00DA6D91"/>
    <w:rsid w:val="00DD2D7C"/>
    <w:rsid w:val="00E23C79"/>
    <w:rsid w:val="00E34388"/>
    <w:rsid w:val="00E37C08"/>
    <w:rsid w:val="00E6576A"/>
    <w:rsid w:val="00E71433"/>
    <w:rsid w:val="00E91765"/>
    <w:rsid w:val="00ED165F"/>
    <w:rsid w:val="00EF59F6"/>
    <w:rsid w:val="00F17F71"/>
    <w:rsid w:val="00F56621"/>
    <w:rsid w:val="00F577E0"/>
    <w:rsid w:val="00F64F97"/>
    <w:rsid w:val="00F92DD2"/>
    <w:rsid w:val="00F977AC"/>
    <w:rsid w:val="00FB62FA"/>
    <w:rsid w:val="00FD4C2F"/>
    <w:rsid w:val="00FD7D39"/>
    <w:rsid w:val="07634072"/>
    <w:rsid w:val="0D653DEE"/>
    <w:rsid w:val="1B54511F"/>
    <w:rsid w:val="26BE676D"/>
    <w:rsid w:val="2AB21FA0"/>
    <w:rsid w:val="30792C8D"/>
    <w:rsid w:val="3DD9192D"/>
    <w:rsid w:val="3F6F2CC8"/>
    <w:rsid w:val="3F83776B"/>
    <w:rsid w:val="52A95156"/>
    <w:rsid w:val="547250F7"/>
    <w:rsid w:val="55550FB6"/>
    <w:rsid w:val="656E1603"/>
    <w:rsid w:val="6A4245C9"/>
    <w:rsid w:val="7F4A6C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0"/>
    <w:rPr>
      <w:kern w:val="2"/>
      <w:sz w:val="18"/>
      <w:szCs w:val="18"/>
    </w:rPr>
  </w:style>
  <w:style w:type="character" w:customStyle="1" w:styleId="7">
    <w:name w:val="页脚 Char"/>
    <w:basedOn w:val="4"/>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440</Words>
  <Characters>2510</Characters>
  <Lines>20</Lines>
  <Paragraphs>5</Paragraphs>
  <TotalTime>0</TotalTime>
  <ScaleCrop>false</ScaleCrop>
  <LinksUpToDate>false</LinksUpToDate>
  <CharactersWithSpaces>2945</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2017-05-05T01:00:00Z</dcterms:created>
  <dc:creator>Administrator</dc:creator>
  <cp:lastModifiedBy>萌主</cp:lastModifiedBy>
  <cp:lastPrinted>2017-05-05T09:23:00Z</cp:lastPrinted>
  <dcterms:modified xsi:type="dcterms:W3CDTF">2018-10-26T08:13:02Z</dcterms:modified>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