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C7" w:rsidRDefault="002606C7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栾川县</w:t>
      </w:r>
      <w:r w:rsidR="00E65276">
        <w:rPr>
          <w:rFonts w:ascii="方正大标宋简体" w:eastAsia="方正大标宋简体" w:hint="eastAsia"/>
          <w:sz w:val="44"/>
          <w:szCs w:val="44"/>
        </w:rPr>
        <w:t>交通运输局</w:t>
      </w:r>
      <w:r>
        <w:rPr>
          <w:rFonts w:ascii="方正大标宋简体" w:eastAsia="方正大标宋简体" w:hint="eastAsia"/>
          <w:sz w:val="44"/>
          <w:szCs w:val="44"/>
        </w:rPr>
        <w:t>2017年</w:t>
      </w:r>
      <w:r w:rsidR="00FE4013">
        <w:rPr>
          <w:rFonts w:ascii="方正大标宋简体" w:eastAsia="方正大标宋简体" w:hint="eastAsia"/>
          <w:sz w:val="44"/>
          <w:szCs w:val="44"/>
        </w:rPr>
        <w:t>决</w:t>
      </w:r>
      <w:r>
        <w:rPr>
          <w:rFonts w:ascii="方正大标宋简体" w:eastAsia="方正大标宋简体" w:hint="eastAsia"/>
          <w:sz w:val="44"/>
          <w:szCs w:val="44"/>
        </w:rPr>
        <w:t>算公开说明</w:t>
      </w:r>
    </w:p>
    <w:p w:rsidR="00FE4013" w:rsidRDefault="00FE4013" w:rsidP="00FE4013">
      <w:pPr>
        <w:spacing w:line="576" w:lineRule="exact"/>
        <w:ind w:firstLineChars="200" w:firstLine="688"/>
        <w:rPr>
          <w:rFonts w:ascii="Times New Roman" w:eastAsia="黑体" w:hAnsi="Times New Roman"/>
          <w:spacing w:val="12"/>
          <w:sz w:val="32"/>
          <w:szCs w:val="32"/>
        </w:rPr>
      </w:pPr>
    </w:p>
    <w:p w:rsidR="00FE4013" w:rsidRDefault="00FE4013" w:rsidP="00FE4013">
      <w:pPr>
        <w:spacing w:line="576" w:lineRule="exact"/>
        <w:ind w:firstLineChars="200" w:firstLine="688"/>
        <w:rPr>
          <w:rFonts w:ascii="Times New Roman" w:eastAsia="黑体" w:hAnsi="Times New Roman"/>
          <w:spacing w:val="12"/>
          <w:sz w:val="32"/>
          <w:szCs w:val="32"/>
        </w:rPr>
      </w:pPr>
      <w:r>
        <w:rPr>
          <w:rFonts w:ascii="Times New Roman" w:eastAsia="黑体" w:hAnsi="Times New Roman" w:hint="eastAsia"/>
          <w:spacing w:val="12"/>
          <w:sz w:val="32"/>
          <w:szCs w:val="32"/>
        </w:rPr>
        <w:t>一、部门概况</w:t>
      </w:r>
    </w:p>
    <w:p w:rsidR="00FE4013" w:rsidRDefault="00FE4013" w:rsidP="00FE4013">
      <w:pPr>
        <w:spacing w:line="576" w:lineRule="exact"/>
        <w:ind w:firstLineChars="200" w:firstLine="688"/>
        <w:rPr>
          <w:rFonts w:ascii="Times New Roman" w:eastAsia="楷体_GB2312" w:hAnsi="Times New Roman"/>
          <w:spacing w:val="12"/>
          <w:sz w:val="32"/>
          <w:szCs w:val="32"/>
        </w:rPr>
      </w:pPr>
      <w:r>
        <w:rPr>
          <w:rFonts w:ascii="Times New Roman" w:eastAsia="楷体_GB2312" w:hAnsi="Times New Roman" w:hint="eastAsia"/>
          <w:spacing w:val="12"/>
          <w:sz w:val="32"/>
          <w:szCs w:val="32"/>
        </w:rPr>
        <w:t>（一）主要职能</w:t>
      </w:r>
    </w:p>
    <w:p w:rsidR="00FE4013" w:rsidRDefault="00FE4013" w:rsidP="00FE4013">
      <w:pPr>
        <w:spacing w:line="576" w:lineRule="exact"/>
        <w:ind w:firstLineChars="200" w:firstLine="640"/>
        <w:rPr>
          <w:rFonts w:ascii="楷体_GB2312" w:eastAsia="楷体_GB2312" w:hAnsi="Times New Roman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栾川县交通运输局是主管全县交通运输行业的县政府工作部门，担负着全县公路工程建设、公路养护管理、交通运输行政执法、道路运输市场管理、水上交通运输管理和交通运输企业管理等职责。</w:t>
      </w:r>
    </w:p>
    <w:p w:rsidR="00FE4013" w:rsidRDefault="00FE4013" w:rsidP="00FE4013">
      <w:pPr>
        <w:spacing w:line="576" w:lineRule="exact"/>
        <w:ind w:firstLineChars="150" w:firstLine="516"/>
        <w:rPr>
          <w:rFonts w:ascii="楷体_GB2312" w:eastAsia="楷体_GB2312" w:hAnsi="Times New Roman"/>
          <w:spacing w:val="12"/>
          <w:sz w:val="32"/>
          <w:szCs w:val="32"/>
        </w:rPr>
      </w:pPr>
      <w:r>
        <w:rPr>
          <w:rFonts w:ascii="楷体_GB2312" w:eastAsia="楷体_GB2312" w:hAnsi="Times New Roman" w:hint="eastAsia"/>
          <w:spacing w:val="12"/>
          <w:sz w:val="32"/>
          <w:szCs w:val="32"/>
        </w:rPr>
        <w:t>（二）机构设置</w:t>
      </w:r>
    </w:p>
    <w:p w:rsidR="00FE4013" w:rsidRDefault="00FE4013" w:rsidP="00FE4013">
      <w:pPr>
        <w:spacing w:line="576" w:lineRule="exact"/>
        <w:ind w:firstLineChars="200" w:firstLine="688"/>
        <w:rPr>
          <w:rFonts w:ascii="Times New Roman" w:eastAsia="仿宋_GB2312" w:hAnsi="Times New Roman"/>
          <w:spacing w:val="12"/>
          <w:sz w:val="32"/>
          <w:szCs w:val="32"/>
        </w:rPr>
      </w:pPr>
      <w:r>
        <w:rPr>
          <w:rFonts w:ascii="Times New Roman" w:eastAsia="仿宋_GB2312" w:hAnsi="Times New Roman" w:hint="eastAsia"/>
          <w:spacing w:val="12"/>
          <w:sz w:val="32"/>
          <w:szCs w:val="32"/>
        </w:rPr>
        <w:t>栾川县交通运输局下设</w:t>
      </w:r>
      <w:r>
        <w:rPr>
          <w:rFonts w:ascii="Times New Roman" w:eastAsia="仿宋_GB2312" w:hAnsi="Times New Roman"/>
          <w:spacing w:val="12"/>
          <w:sz w:val="32"/>
          <w:szCs w:val="32"/>
        </w:rPr>
        <w:t>3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个股室，即：党政办、财务审计股、综合业务股。核定编制</w:t>
      </w:r>
      <w:r>
        <w:rPr>
          <w:rFonts w:ascii="Times New Roman" w:eastAsia="仿宋_GB2312" w:hAnsi="Times New Roman"/>
          <w:spacing w:val="12"/>
          <w:sz w:val="32"/>
          <w:szCs w:val="32"/>
        </w:rPr>
        <w:t>9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人，实有人数</w:t>
      </w:r>
      <w:r>
        <w:rPr>
          <w:rFonts w:ascii="Times New Roman" w:eastAsia="仿宋_GB2312" w:hAnsi="Times New Roman"/>
          <w:spacing w:val="12"/>
          <w:sz w:val="32"/>
          <w:szCs w:val="32"/>
        </w:rPr>
        <w:t>9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人，退休人员</w:t>
      </w:r>
      <w:r>
        <w:rPr>
          <w:rFonts w:ascii="Times New Roman" w:eastAsia="仿宋_GB2312" w:hAnsi="Times New Roman"/>
          <w:spacing w:val="12"/>
          <w:sz w:val="32"/>
          <w:szCs w:val="32"/>
        </w:rPr>
        <w:t>9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人。</w:t>
      </w:r>
    </w:p>
    <w:p w:rsidR="00FE4013" w:rsidRDefault="00FE4013" w:rsidP="00FE4013">
      <w:pPr>
        <w:spacing w:line="576" w:lineRule="exact"/>
        <w:ind w:firstLineChars="200" w:firstLine="688"/>
        <w:rPr>
          <w:rFonts w:ascii="Times New Roman" w:eastAsia="仿宋_GB2312" w:hAnsi="Times New Roman"/>
          <w:spacing w:val="12"/>
          <w:sz w:val="32"/>
          <w:szCs w:val="32"/>
        </w:rPr>
      </w:pPr>
      <w:r>
        <w:rPr>
          <w:rFonts w:ascii="Times New Roman" w:eastAsia="仿宋_GB2312" w:hAnsi="Times New Roman" w:hint="eastAsia"/>
          <w:spacing w:val="12"/>
          <w:sz w:val="32"/>
          <w:szCs w:val="32"/>
        </w:rPr>
        <w:t>党政办：组织协调交通运输系统党政工作；负责机关文电、会务、档案、信息、信访、计划生育等工作；负责单位工作报告、总结等材料编制工作；负责上级委派临时性工作的统筹协调工作。</w:t>
      </w:r>
    </w:p>
    <w:p w:rsidR="00FE4013" w:rsidRDefault="00FE4013" w:rsidP="00FE4013">
      <w:pPr>
        <w:spacing w:line="576" w:lineRule="exact"/>
        <w:ind w:firstLineChars="200" w:firstLine="688"/>
        <w:rPr>
          <w:rFonts w:ascii="Times New Roman" w:eastAsia="仿宋_GB2312" w:hAnsi="Times New Roman"/>
          <w:spacing w:val="12"/>
          <w:sz w:val="32"/>
          <w:szCs w:val="32"/>
        </w:rPr>
      </w:pPr>
      <w:r>
        <w:rPr>
          <w:rFonts w:ascii="Times New Roman" w:eastAsia="仿宋_GB2312" w:hAnsi="Times New Roman" w:hint="eastAsia"/>
          <w:spacing w:val="12"/>
          <w:sz w:val="32"/>
          <w:szCs w:val="32"/>
        </w:rPr>
        <w:t>财务审计股：贯彻落实交通行业的有关财经方针、政策、法规和财务规章制度；负责财务预决算编制工作；负责机关财务具体工作。</w:t>
      </w:r>
    </w:p>
    <w:p w:rsidR="009E3D00" w:rsidRPr="00FE4013" w:rsidRDefault="00FE4013" w:rsidP="00FE4013">
      <w:pPr>
        <w:spacing w:line="576" w:lineRule="exact"/>
        <w:ind w:firstLineChars="200" w:firstLine="688"/>
      </w:pPr>
      <w:r>
        <w:rPr>
          <w:rFonts w:ascii="Times New Roman" w:eastAsia="仿宋_GB2312" w:hAnsi="Times New Roman" w:hint="eastAsia"/>
          <w:spacing w:val="12"/>
          <w:sz w:val="32"/>
          <w:szCs w:val="32"/>
        </w:rPr>
        <w:t>综合业务股：负责交通运输规划编制统筹协调工作；负责公路建设项目立项、设计、招投标及各项前期手续的申报、协调等工作；负责公路建设项目管理工作。</w:t>
      </w:r>
    </w:p>
    <w:p w:rsidR="002606C7" w:rsidRDefault="002606C7">
      <w:pPr>
        <w:spacing w:line="576" w:lineRule="exact"/>
        <w:ind w:firstLineChars="200" w:firstLine="688"/>
        <w:rPr>
          <w:rFonts w:ascii="黑体" w:eastAsia="黑体" w:hAnsi="Times New Roman"/>
          <w:spacing w:val="12"/>
          <w:sz w:val="32"/>
          <w:szCs w:val="32"/>
        </w:rPr>
      </w:pPr>
      <w:r>
        <w:rPr>
          <w:rFonts w:ascii="黑体" w:eastAsia="黑体" w:hAnsi="Times New Roman" w:hint="eastAsia"/>
          <w:spacing w:val="12"/>
          <w:sz w:val="32"/>
          <w:szCs w:val="32"/>
        </w:rPr>
        <w:t>二、</w:t>
      </w:r>
      <w:r w:rsidR="00CD5C8A">
        <w:rPr>
          <w:rFonts w:ascii="黑体" w:eastAsia="黑体" w:hAnsi="Times New Roman" w:hint="eastAsia"/>
          <w:spacing w:val="12"/>
          <w:sz w:val="32"/>
          <w:szCs w:val="32"/>
        </w:rPr>
        <w:t>决算</w:t>
      </w:r>
      <w:r>
        <w:rPr>
          <w:rFonts w:ascii="黑体" w:eastAsia="黑体" w:hAnsi="Times New Roman" w:hint="eastAsia"/>
          <w:spacing w:val="12"/>
          <w:sz w:val="32"/>
          <w:szCs w:val="32"/>
        </w:rPr>
        <w:t>情况说明</w:t>
      </w:r>
    </w:p>
    <w:p w:rsidR="002606C7" w:rsidRDefault="00CD5C8A">
      <w:pPr>
        <w:spacing w:line="576" w:lineRule="exact"/>
        <w:ind w:firstLineChars="200" w:firstLine="688"/>
        <w:rPr>
          <w:rFonts w:ascii="楷体_GB2312" w:eastAsia="楷体_GB2312" w:hAnsi="Times New Roman"/>
          <w:spacing w:val="12"/>
          <w:sz w:val="32"/>
          <w:szCs w:val="32"/>
        </w:rPr>
      </w:pPr>
      <w:r>
        <w:rPr>
          <w:rFonts w:ascii="楷体_GB2312" w:eastAsia="楷体_GB2312" w:hAnsi="Times New Roman" w:hint="eastAsia"/>
          <w:spacing w:val="12"/>
          <w:sz w:val="32"/>
          <w:szCs w:val="32"/>
        </w:rPr>
        <w:lastRenderedPageBreak/>
        <w:t>（一）部门决算</w:t>
      </w:r>
      <w:r w:rsidR="002606C7">
        <w:rPr>
          <w:rFonts w:ascii="楷体_GB2312" w:eastAsia="楷体_GB2312" w:hAnsi="Times New Roman" w:hint="eastAsia"/>
          <w:spacing w:val="12"/>
          <w:sz w:val="32"/>
          <w:szCs w:val="32"/>
        </w:rPr>
        <w:t>收支</w:t>
      </w:r>
      <w:r>
        <w:rPr>
          <w:rFonts w:ascii="楷体_GB2312" w:eastAsia="楷体_GB2312" w:hAnsi="Times New Roman" w:hint="eastAsia"/>
          <w:spacing w:val="12"/>
          <w:sz w:val="32"/>
          <w:szCs w:val="32"/>
        </w:rPr>
        <w:t>情况说明</w:t>
      </w:r>
    </w:p>
    <w:p w:rsidR="007D213A" w:rsidRDefault="007D213A">
      <w:pPr>
        <w:spacing w:line="576" w:lineRule="exact"/>
        <w:ind w:firstLineChars="200" w:firstLine="688"/>
        <w:rPr>
          <w:rFonts w:ascii="Times New Roman" w:eastAsia="仿宋_GB2312" w:hAnsi="Times New Roman"/>
          <w:spacing w:val="12"/>
          <w:sz w:val="32"/>
          <w:szCs w:val="32"/>
        </w:rPr>
      </w:pPr>
      <w:r>
        <w:rPr>
          <w:rFonts w:ascii="Times New Roman" w:eastAsia="仿宋_GB2312" w:hAnsi="Times New Roman" w:hint="eastAsia"/>
          <w:spacing w:val="12"/>
          <w:sz w:val="32"/>
          <w:szCs w:val="32"/>
        </w:rPr>
        <w:t>2015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年收入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773.9798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万元，支出为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810.1233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2016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年收入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12447.7188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万元，支出为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12379.8918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万元，与上年相比，收入</w:t>
      </w:r>
      <w:r w:rsidR="002606C7">
        <w:rPr>
          <w:rFonts w:ascii="Times New Roman" w:eastAsia="仿宋_GB2312" w:hAnsi="Times New Roman"/>
          <w:spacing w:val="12"/>
          <w:sz w:val="32"/>
          <w:szCs w:val="32"/>
        </w:rPr>
        <w:t>支出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变化较大，收入增长率为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1508%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，支出增长率为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1428%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，造成这一变化的主要原因是项目收入的增加。第一，小城镇基础设施支出增加，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S322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伊卢线潭头至秋扒街改建工程增加收支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187.1155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S328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庙祖线鸡冠洞至祖师庙改建工程增加收支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4841.3416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万元。第二，公路新建及改扩建改增加，其中主要为南环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路改扩建工程项目收支</w:t>
      </w:r>
      <w:r>
        <w:rPr>
          <w:rFonts w:ascii="Times New Roman" w:eastAsia="仿宋_GB2312" w:hAnsi="Times New Roman" w:hint="eastAsia"/>
          <w:spacing w:val="12"/>
          <w:sz w:val="32"/>
          <w:szCs w:val="32"/>
        </w:rPr>
        <w:t>的增加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，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2016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年南环路项目收支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5909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万元。第三，新增管理事务的收支增加，主要指海事经费增加收支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38.8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万元。</w:t>
      </w:r>
    </w:p>
    <w:p w:rsidR="002606C7" w:rsidRDefault="002606C7" w:rsidP="00F72B55">
      <w:pPr>
        <w:spacing w:line="576" w:lineRule="exact"/>
        <w:ind w:firstLineChars="150" w:firstLine="516"/>
        <w:rPr>
          <w:rFonts w:ascii="楷体_GB2312" w:eastAsia="楷体_GB2312" w:hAnsi="Times New Roman"/>
          <w:spacing w:val="12"/>
          <w:sz w:val="32"/>
          <w:szCs w:val="32"/>
        </w:rPr>
      </w:pPr>
      <w:r>
        <w:rPr>
          <w:rFonts w:ascii="楷体_GB2312" w:eastAsia="楷体_GB2312" w:hAnsi="Times New Roman" w:hint="eastAsia"/>
          <w:spacing w:val="12"/>
          <w:sz w:val="32"/>
          <w:szCs w:val="32"/>
        </w:rPr>
        <w:t>（二）“三公”经费</w:t>
      </w:r>
      <w:r w:rsidR="00CD5C8A">
        <w:rPr>
          <w:rFonts w:ascii="楷体_GB2312" w:eastAsia="楷体_GB2312" w:hAnsi="Times New Roman" w:hint="eastAsia"/>
          <w:spacing w:val="12"/>
          <w:sz w:val="32"/>
          <w:szCs w:val="32"/>
        </w:rPr>
        <w:t>变化说明</w:t>
      </w:r>
    </w:p>
    <w:p w:rsidR="002606C7" w:rsidRDefault="002606C7" w:rsidP="00F72B55">
      <w:pPr>
        <w:spacing w:line="576" w:lineRule="exact"/>
        <w:ind w:firstLineChars="200" w:firstLine="688"/>
        <w:rPr>
          <w:rFonts w:ascii="Times New Roman" w:eastAsia="仿宋_GB2312" w:hAnsi="Times New Roman"/>
          <w:spacing w:val="12"/>
          <w:sz w:val="32"/>
          <w:szCs w:val="32"/>
        </w:rPr>
      </w:pPr>
      <w:r>
        <w:rPr>
          <w:rFonts w:ascii="Times New Roman" w:eastAsia="仿宋_GB2312" w:hAnsi="Times New Roman"/>
          <w:spacing w:val="12"/>
          <w:sz w:val="32"/>
          <w:szCs w:val="32"/>
        </w:rPr>
        <w:t>“</w:t>
      </w:r>
      <w:r>
        <w:rPr>
          <w:rFonts w:ascii="Times New Roman" w:eastAsia="仿宋_GB2312" w:hAnsi="Times New Roman"/>
          <w:spacing w:val="12"/>
          <w:sz w:val="32"/>
          <w:szCs w:val="32"/>
        </w:rPr>
        <w:t>三公</w:t>
      </w:r>
      <w:r>
        <w:rPr>
          <w:rFonts w:ascii="Times New Roman" w:eastAsia="仿宋_GB2312" w:hAnsi="Times New Roman"/>
          <w:spacing w:val="12"/>
          <w:sz w:val="32"/>
          <w:szCs w:val="32"/>
        </w:rPr>
        <w:t>”</w:t>
      </w:r>
      <w:r>
        <w:rPr>
          <w:rFonts w:ascii="Times New Roman" w:eastAsia="仿宋_GB2312" w:hAnsi="Times New Roman"/>
          <w:spacing w:val="12"/>
          <w:sz w:val="32"/>
          <w:szCs w:val="32"/>
        </w:rPr>
        <w:t>经费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2015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年总支出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6.2694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万元，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2016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年总支出为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6.9222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万元，与上年相比增加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10.04%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。主要为公务接待费用的增加。</w:t>
      </w:r>
      <w:r w:rsidR="00F72B55">
        <w:rPr>
          <w:rFonts w:ascii="Times New Roman" w:eastAsia="仿宋_GB2312" w:hAnsi="Times New Roman"/>
          <w:spacing w:val="12"/>
          <w:sz w:val="32"/>
          <w:szCs w:val="32"/>
        </w:rPr>
        <w:t>201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5</w:t>
      </w:r>
      <w:r w:rsidR="00F72B55">
        <w:rPr>
          <w:rFonts w:ascii="Times New Roman" w:eastAsia="仿宋_GB2312" w:hAnsi="Times New Roman"/>
          <w:spacing w:val="12"/>
          <w:sz w:val="32"/>
          <w:szCs w:val="32"/>
        </w:rPr>
        <w:t>年</w:t>
      </w:r>
      <w:r>
        <w:rPr>
          <w:rFonts w:ascii="Times New Roman" w:eastAsia="仿宋_GB2312" w:hAnsi="Times New Roman"/>
          <w:spacing w:val="12"/>
          <w:sz w:val="32"/>
          <w:szCs w:val="32"/>
        </w:rPr>
        <w:t>安排公务接待费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1.4775</w:t>
      </w:r>
      <w:r>
        <w:rPr>
          <w:rFonts w:ascii="Times New Roman" w:eastAsia="仿宋_GB2312" w:hAnsi="Times New Roman"/>
          <w:spacing w:val="12"/>
          <w:sz w:val="32"/>
          <w:szCs w:val="32"/>
        </w:rPr>
        <w:t>万元，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2016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年公务接待费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3.0945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万元，与上年相比，增加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109%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，公务接待费的增加主要因为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2016</w:t>
      </w:r>
      <w:r w:rsidR="00F72B55">
        <w:rPr>
          <w:rFonts w:ascii="Times New Roman" w:eastAsia="仿宋_GB2312" w:hAnsi="Times New Roman" w:hint="eastAsia"/>
          <w:spacing w:val="12"/>
          <w:sz w:val="32"/>
          <w:szCs w:val="32"/>
        </w:rPr>
        <w:t>年工程项目较多，相应增加日常公务接待费用</w:t>
      </w:r>
      <w:r w:rsidR="00FE4013">
        <w:rPr>
          <w:rFonts w:ascii="Times New Roman" w:eastAsia="仿宋_GB2312" w:hAnsi="Times New Roman" w:hint="eastAsia"/>
          <w:spacing w:val="12"/>
          <w:sz w:val="32"/>
          <w:szCs w:val="32"/>
        </w:rPr>
        <w:t>。</w:t>
      </w:r>
      <w:r w:rsidR="00F72B55">
        <w:rPr>
          <w:rFonts w:ascii="Times New Roman" w:eastAsia="仿宋_GB2312" w:hAnsi="Times New Roman"/>
          <w:spacing w:val="12"/>
          <w:sz w:val="32"/>
          <w:szCs w:val="32"/>
        </w:rPr>
        <w:t xml:space="preserve"> </w:t>
      </w:r>
    </w:p>
    <w:p w:rsidR="002606C7" w:rsidRDefault="002606C7">
      <w:pPr>
        <w:spacing w:line="576" w:lineRule="exact"/>
        <w:ind w:firstLineChars="200" w:firstLine="688"/>
        <w:rPr>
          <w:rFonts w:ascii="楷体_GB2312" w:eastAsia="楷体_GB2312" w:hAnsi="Times New Roman"/>
          <w:spacing w:val="12"/>
          <w:sz w:val="32"/>
          <w:szCs w:val="32"/>
        </w:rPr>
      </w:pPr>
      <w:r>
        <w:rPr>
          <w:rFonts w:ascii="楷体_GB2312" w:eastAsia="楷体_GB2312" w:hAnsi="Times New Roman" w:hint="eastAsia"/>
          <w:spacing w:val="12"/>
          <w:sz w:val="32"/>
          <w:szCs w:val="32"/>
        </w:rPr>
        <w:t>（三）机关运行经费</w:t>
      </w:r>
      <w:r w:rsidR="00CD5C8A">
        <w:rPr>
          <w:rFonts w:ascii="楷体_GB2312" w:eastAsia="楷体_GB2312" w:hAnsi="Times New Roman" w:hint="eastAsia"/>
          <w:spacing w:val="12"/>
          <w:sz w:val="32"/>
          <w:szCs w:val="32"/>
        </w:rPr>
        <w:t>变化说明</w:t>
      </w:r>
    </w:p>
    <w:p w:rsidR="002606C7" w:rsidRDefault="00BE297D" w:rsidP="00BE297D">
      <w:pPr>
        <w:spacing w:line="576" w:lineRule="exact"/>
        <w:ind w:firstLineChars="200" w:firstLine="688"/>
        <w:rPr>
          <w:rFonts w:ascii="Times New Roman" w:eastAsia="仿宋_GB2312" w:hAnsi="Times New Roman"/>
          <w:spacing w:val="12"/>
          <w:sz w:val="32"/>
          <w:szCs w:val="32"/>
        </w:rPr>
      </w:pPr>
      <w:r>
        <w:rPr>
          <w:rFonts w:ascii="楷体_GB2312" w:eastAsia="楷体_GB2312" w:hAnsi="Times New Roman" w:hint="eastAsia"/>
          <w:spacing w:val="12"/>
          <w:sz w:val="32"/>
          <w:szCs w:val="32"/>
        </w:rPr>
        <w:t>2016年机关运行经费31.3210万元，与上年相比，基本无变化。</w:t>
      </w:r>
    </w:p>
    <w:p w:rsidR="002606C7" w:rsidRDefault="002606C7">
      <w:pPr>
        <w:spacing w:line="576" w:lineRule="exact"/>
        <w:ind w:firstLineChars="200" w:firstLine="688"/>
        <w:rPr>
          <w:rFonts w:ascii="黑体" w:eastAsia="黑体" w:hAnsi="Times New Roman"/>
          <w:spacing w:val="12"/>
          <w:sz w:val="32"/>
          <w:szCs w:val="32"/>
        </w:rPr>
      </w:pPr>
      <w:r>
        <w:rPr>
          <w:rFonts w:ascii="黑体" w:eastAsia="黑体" w:hAnsi="Times New Roman" w:hint="eastAsia"/>
          <w:spacing w:val="12"/>
          <w:sz w:val="32"/>
          <w:szCs w:val="32"/>
        </w:rPr>
        <w:t>三、</w:t>
      </w:r>
      <w:r w:rsidR="00CD5C8A">
        <w:rPr>
          <w:rFonts w:ascii="黑体" w:eastAsia="黑体" w:hAnsi="Times New Roman" w:hint="eastAsia"/>
          <w:spacing w:val="12"/>
          <w:sz w:val="32"/>
          <w:szCs w:val="32"/>
        </w:rPr>
        <w:t>国有资产占用情况说明</w:t>
      </w:r>
    </w:p>
    <w:p w:rsidR="00BE297D" w:rsidRPr="00E6369F" w:rsidRDefault="00BE297D" w:rsidP="00E6369F">
      <w:pPr>
        <w:spacing w:line="576" w:lineRule="exact"/>
        <w:ind w:firstLineChars="200" w:firstLine="688"/>
        <w:rPr>
          <w:rFonts w:ascii="仿宋_GB2312" w:eastAsia="仿宋_GB2312" w:hAnsi="Times New Roman"/>
          <w:spacing w:val="12"/>
          <w:sz w:val="32"/>
          <w:szCs w:val="32"/>
        </w:rPr>
      </w:pPr>
      <w:r w:rsidRPr="00E6369F">
        <w:rPr>
          <w:rFonts w:ascii="仿宋_GB2312" w:eastAsia="仿宋_GB2312" w:hAnsi="Times New Roman" w:hint="eastAsia"/>
          <w:spacing w:val="12"/>
          <w:sz w:val="32"/>
          <w:szCs w:val="32"/>
        </w:rPr>
        <w:t>截止2016年底，交通运输局资产总值620.8012元</w:t>
      </w:r>
      <w:r w:rsidR="004D7974">
        <w:rPr>
          <w:rFonts w:ascii="仿宋_GB2312" w:eastAsia="仿宋_GB2312" w:hAnsi="Times New Roman" w:hint="eastAsia"/>
          <w:spacing w:val="12"/>
          <w:sz w:val="32"/>
          <w:szCs w:val="32"/>
        </w:rPr>
        <w:t>。</w:t>
      </w:r>
      <w:r w:rsidRPr="00E6369F">
        <w:rPr>
          <w:rFonts w:ascii="仿宋_GB2312" w:eastAsia="仿宋_GB2312" w:hAnsi="Times New Roman" w:hint="eastAsia"/>
          <w:spacing w:val="12"/>
          <w:sz w:val="32"/>
          <w:szCs w:val="32"/>
        </w:rPr>
        <w:lastRenderedPageBreak/>
        <w:t>主要资产为</w:t>
      </w:r>
      <w:r w:rsidR="004D7974">
        <w:rPr>
          <w:rFonts w:ascii="仿宋_GB2312" w:eastAsia="仿宋_GB2312" w:hAnsi="Times New Roman" w:hint="eastAsia"/>
          <w:spacing w:val="12"/>
          <w:sz w:val="32"/>
          <w:szCs w:val="32"/>
        </w:rPr>
        <w:t>：（1）</w:t>
      </w:r>
      <w:r w:rsidRPr="00E6369F">
        <w:rPr>
          <w:rFonts w:ascii="仿宋_GB2312" w:eastAsia="仿宋_GB2312" w:hAnsi="Times New Roman" w:hint="eastAsia"/>
          <w:spacing w:val="12"/>
          <w:sz w:val="32"/>
          <w:szCs w:val="32"/>
        </w:rPr>
        <w:t>房屋价值535.9274万元，办公面面4462</w:t>
      </w:r>
      <w:r w:rsidR="003D27C5" w:rsidRPr="00E6369F">
        <w:rPr>
          <w:rFonts w:ascii="仿宋_GB2312" w:eastAsia="仿宋_GB2312" w:hAnsi="Times New Roman" w:hint="eastAsia"/>
          <w:spacing w:val="12"/>
          <w:sz w:val="32"/>
          <w:szCs w:val="32"/>
        </w:rPr>
        <w:t>平方米；</w:t>
      </w:r>
      <w:r w:rsidR="004D7974">
        <w:rPr>
          <w:rFonts w:ascii="仿宋_GB2312" w:eastAsia="仿宋_GB2312" w:hAnsi="Times New Roman" w:hint="eastAsia"/>
          <w:spacing w:val="12"/>
          <w:sz w:val="32"/>
          <w:szCs w:val="32"/>
        </w:rPr>
        <w:t>（2）</w:t>
      </w:r>
      <w:r w:rsidRPr="00E6369F">
        <w:rPr>
          <w:rFonts w:ascii="仿宋_GB2312" w:eastAsia="仿宋_GB2312" w:hAnsi="Times New Roman" w:hint="eastAsia"/>
          <w:spacing w:val="12"/>
          <w:sz w:val="32"/>
          <w:szCs w:val="32"/>
        </w:rPr>
        <w:t>车辆2台</w:t>
      </w:r>
      <w:r w:rsidR="003D27C5" w:rsidRPr="00E6369F">
        <w:rPr>
          <w:rFonts w:ascii="仿宋_GB2312" w:eastAsia="仿宋_GB2312" w:hAnsi="Times New Roman" w:hint="eastAsia"/>
          <w:spacing w:val="12"/>
          <w:sz w:val="32"/>
          <w:szCs w:val="32"/>
        </w:rPr>
        <w:t>，价值31.0603万元</w:t>
      </w:r>
      <w:r w:rsidRPr="00E6369F">
        <w:rPr>
          <w:rFonts w:ascii="仿宋_GB2312" w:eastAsia="仿宋_GB2312" w:hAnsi="Times New Roman" w:hint="eastAsia"/>
          <w:spacing w:val="12"/>
          <w:sz w:val="32"/>
          <w:szCs w:val="32"/>
        </w:rPr>
        <w:t>（其中1台于2015年年底</w:t>
      </w:r>
      <w:r w:rsidR="00E6369F" w:rsidRPr="00E6369F">
        <w:rPr>
          <w:rFonts w:ascii="仿宋_GB2312" w:eastAsia="仿宋_GB2312" w:hAnsi="Times New Roman" w:hint="eastAsia"/>
          <w:spacing w:val="12"/>
          <w:sz w:val="32"/>
          <w:szCs w:val="32"/>
        </w:rPr>
        <w:t>按有关规定上交，但因有关手续未批复，故仍在我单位账面显示）；</w:t>
      </w:r>
      <w:r w:rsidR="004D7974">
        <w:rPr>
          <w:rFonts w:ascii="仿宋_GB2312" w:eastAsia="仿宋_GB2312" w:hAnsi="Times New Roman" w:hint="eastAsia"/>
          <w:spacing w:val="12"/>
          <w:sz w:val="32"/>
          <w:szCs w:val="32"/>
        </w:rPr>
        <w:t>（3）</w:t>
      </w:r>
      <w:r w:rsidR="00E6369F" w:rsidRPr="00E6369F">
        <w:rPr>
          <w:rFonts w:ascii="仿宋_GB2312" w:eastAsia="仿宋_GB2312" w:hAnsi="Times New Roman" w:hint="eastAsia"/>
          <w:spacing w:val="12"/>
          <w:sz w:val="32"/>
          <w:szCs w:val="32"/>
        </w:rPr>
        <w:t>空调</w:t>
      </w:r>
      <w:r w:rsidR="005339B2">
        <w:rPr>
          <w:rFonts w:ascii="仿宋_GB2312" w:eastAsia="仿宋_GB2312" w:hAnsi="Times New Roman" w:hint="eastAsia"/>
          <w:spacing w:val="12"/>
          <w:sz w:val="32"/>
          <w:szCs w:val="32"/>
        </w:rPr>
        <w:t>20</w:t>
      </w:r>
      <w:r w:rsidR="00E6369F" w:rsidRPr="00E6369F">
        <w:rPr>
          <w:rFonts w:ascii="仿宋_GB2312" w:eastAsia="仿宋_GB2312" w:hAnsi="Times New Roman" w:hint="eastAsia"/>
          <w:spacing w:val="12"/>
          <w:sz w:val="32"/>
          <w:szCs w:val="32"/>
        </w:rPr>
        <w:t>台</w:t>
      </w:r>
      <w:r w:rsidR="005339B2">
        <w:rPr>
          <w:rFonts w:ascii="仿宋_GB2312" w:eastAsia="仿宋_GB2312" w:hAnsi="Times New Roman" w:hint="eastAsia"/>
          <w:spacing w:val="12"/>
          <w:sz w:val="32"/>
          <w:szCs w:val="32"/>
        </w:rPr>
        <w:t>，价值7.3299万元</w:t>
      </w:r>
      <w:r w:rsidR="00E6369F" w:rsidRPr="00E6369F">
        <w:rPr>
          <w:rFonts w:ascii="仿宋_GB2312" w:eastAsia="仿宋_GB2312" w:hAnsi="Times New Roman" w:hint="eastAsia"/>
          <w:spacing w:val="12"/>
          <w:sz w:val="32"/>
          <w:szCs w:val="32"/>
        </w:rPr>
        <w:t>；</w:t>
      </w:r>
      <w:r w:rsidR="004D7974">
        <w:rPr>
          <w:rFonts w:ascii="仿宋_GB2312" w:eastAsia="仿宋_GB2312" w:hAnsi="Times New Roman" w:hint="eastAsia"/>
          <w:spacing w:val="12"/>
          <w:sz w:val="32"/>
          <w:szCs w:val="32"/>
        </w:rPr>
        <w:t>（4）</w:t>
      </w:r>
      <w:r w:rsidR="00E6369F" w:rsidRPr="00E6369F">
        <w:rPr>
          <w:rFonts w:ascii="仿宋_GB2312" w:eastAsia="仿宋_GB2312" w:hAnsi="Times New Roman" w:hint="eastAsia"/>
          <w:spacing w:val="12"/>
          <w:sz w:val="32"/>
          <w:szCs w:val="32"/>
        </w:rPr>
        <w:t>电脑2</w:t>
      </w:r>
      <w:r w:rsidR="005339B2">
        <w:rPr>
          <w:rFonts w:ascii="仿宋_GB2312" w:eastAsia="仿宋_GB2312" w:hAnsi="Times New Roman" w:hint="eastAsia"/>
          <w:spacing w:val="12"/>
          <w:sz w:val="32"/>
          <w:szCs w:val="32"/>
        </w:rPr>
        <w:t>4</w:t>
      </w:r>
      <w:r w:rsidR="002A59DE">
        <w:rPr>
          <w:rFonts w:ascii="仿宋_GB2312" w:eastAsia="仿宋_GB2312" w:hAnsi="Times New Roman" w:hint="eastAsia"/>
          <w:spacing w:val="12"/>
          <w:sz w:val="32"/>
          <w:szCs w:val="32"/>
        </w:rPr>
        <w:t>台</w:t>
      </w:r>
      <w:r w:rsidR="005339B2">
        <w:rPr>
          <w:rFonts w:ascii="仿宋_GB2312" w:eastAsia="仿宋_GB2312" w:hAnsi="Times New Roman" w:hint="eastAsia"/>
          <w:spacing w:val="12"/>
          <w:sz w:val="32"/>
          <w:szCs w:val="32"/>
        </w:rPr>
        <w:t>，价值11.555万元</w:t>
      </w:r>
      <w:r w:rsidR="002A59DE">
        <w:rPr>
          <w:rFonts w:ascii="仿宋_GB2312" w:eastAsia="仿宋_GB2312" w:hAnsi="Times New Roman" w:hint="eastAsia"/>
          <w:spacing w:val="12"/>
          <w:sz w:val="32"/>
          <w:szCs w:val="32"/>
        </w:rPr>
        <w:t>；</w:t>
      </w:r>
      <w:r w:rsidR="004D7974">
        <w:rPr>
          <w:rFonts w:ascii="仿宋_GB2312" w:eastAsia="仿宋_GB2312" w:hAnsi="Times New Roman" w:hint="eastAsia"/>
          <w:spacing w:val="12"/>
          <w:sz w:val="32"/>
          <w:szCs w:val="32"/>
        </w:rPr>
        <w:t>（5）</w:t>
      </w:r>
      <w:r w:rsidR="00C35EFE">
        <w:rPr>
          <w:rFonts w:ascii="仿宋_GB2312" w:eastAsia="仿宋_GB2312" w:hAnsi="Times New Roman" w:hint="eastAsia"/>
          <w:spacing w:val="12"/>
          <w:sz w:val="32"/>
          <w:szCs w:val="32"/>
        </w:rPr>
        <w:t>电视机2</w:t>
      </w:r>
      <w:r w:rsidR="002A59DE">
        <w:rPr>
          <w:rFonts w:ascii="仿宋_GB2312" w:eastAsia="仿宋_GB2312" w:hAnsi="Times New Roman" w:hint="eastAsia"/>
          <w:spacing w:val="12"/>
          <w:sz w:val="32"/>
          <w:szCs w:val="32"/>
        </w:rPr>
        <w:t>台，价值0.33</w:t>
      </w:r>
      <w:r w:rsidR="004D7974">
        <w:rPr>
          <w:rFonts w:ascii="仿宋_GB2312" w:eastAsia="仿宋_GB2312" w:hAnsi="Times New Roman" w:hint="eastAsia"/>
          <w:spacing w:val="12"/>
          <w:sz w:val="32"/>
          <w:szCs w:val="32"/>
        </w:rPr>
        <w:t>万元；（6）打印机5台，价值1.085万元；（7）健康加油站1台，价值3.4万元。</w:t>
      </w:r>
    </w:p>
    <w:p w:rsidR="00E6369F" w:rsidRPr="002A59DE" w:rsidRDefault="00E6369F">
      <w:pPr>
        <w:spacing w:line="576" w:lineRule="exact"/>
        <w:ind w:firstLineChars="200" w:firstLine="688"/>
        <w:rPr>
          <w:rFonts w:ascii="仿宋_GB2312" w:eastAsia="仿宋_GB2312" w:hAnsi="Times New Roman"/>
          <w:spacing w:val="12"/>
          <w:sz w:val="32"/>
          <w:szCs w:val="32"/>
        </w:rPr>
      </w:pPr>
    </w:p>
    <w:sectPr w:rsidR="00E6369F" w:rsidRPr="002A59DE" w:rsidSect="00CD5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03" w:rsidRDefault="00672B03" w:rsidP="00CD5C8A">
      <w:r>
        <w:separator/>
      </w:r>
    </w:p>
  </w:endnote>
  <w:endnote w:type="continuationSeparator" w:id="1">
    <w:p w:rsidR="00672B03" w:rsidRDefault="00672B03" w:rsidP="00CD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74" w:rsidRDefault="004D79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74" w:rsidRDefault="004D797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74" w:rsidRDefault="004D79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03" w:rsidRDefault="00672B03" w:rsidP="00CD5C8A">
      <w:r>
        <w:separator/>
      </w:r>
    </w:p>
  </w:footnote>
  <w:footnote w:type="continuationSeparator" w:id="1">
    <w:p w:rsidR="00672B03" w:rsidRDefault="00672B03" w:rsidP="00CD5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74" w:rsidRDefault="004D79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8A" w:rsidRDefault="00CD5C8A" w:rsidP="004D797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74" w:rsidRDefault="004D79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D00"/>
    <w:rsid w:val="0007386F"/>
    <w:rsid w:val="000961FB"/>
    <w:rsid w:val="001D0D8C"/>
    <w:rsid w:val="0025471B"/>
    <w:rsid w:val="002606C7"/>
    <w:rsid w:val="002A59DE"/>
    <w:rsid w:val="003D27C5"/>
    <w:rsid w:val="004D7974"/>
    <w:rsid w:val="005339B2"/>
    <w:rsid w:val="0053667F"/>
    <w:rsid w:val="00672B03"/>
    <w:rsid w:val="006D46FB"/>
    <w:rsid w:val="007D213A"/>
    <w:rsid w:val="007F6C71"/>
    <w:rsid w:val="00973935"/>
    <w:rsid w:val="009E3D00"/>
    <w:rsid w:val="00A472A0"/>
    <w:rsid w:val="00A91B5B"/>
    <w:rsid w:val="00B23D02"/>
    <w:rsid w:val="00BA4D43"/>
    <w:rsid w:val="00BE297D"/>
    <w:rsid w:val="00C35EFE"/>
    <w:rsid w:val="00CD5C8A"/>
    <w:rsid w:val="00E6369F"/>
    <w:rsid w:val="00E65276"/>
    <w:rsid w:val="00EA702E"/>
    <w:rsid w:val="00F32F32"/>
    <w:rsid w:val="00F72B55"/>
    <w:rsid w:val="00FE4013"/>
    <w:rsid w:val="2BB4086E"/>
    <w:rsid w:val="39E80B1E"/>
    <w:rsid w:val="4CCE7257"/>
    <w:rsid w:val="53526E63"/>
    <w:rsid w:val="74ED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2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5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5C8A"/>
    <w:rPr>
      <w:kern w:val="2"/>
      <w:sz w:val="18"/>
      <w:szCs w:val="18"/>
    </w:rPr>
  </w:style>
  <w:style w:type="paragraph" w:styleId="a4">
    <w:name w:val="footer"/>
    <w:basedOn w:val="a"/>
    <w:link w:val="Char0"/>
    <w:rsid w:val="00CD5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5C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453B61-9EF0-4D9F-9A14-1C0024B1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1004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dcterms:created xsi:type="dcterms:W3CDTF">2017-10-22T01:17:00Z</dcterms:created>
  <dcterms:modified xsi:type="dcterms:W3CDTF">2017-10-22T07:18:00Z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