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AE9" w:rsidRPr="0055702D" w:rsidRDefault="00692DE7" w:rsidP="00692DE7">
      <w:pPr>
        <w:jc w:val="center"/>
        <w:rPr>
          <w:rFonts w:asciiTheme="minorEastAsia" w:hAnsiTheme="minorEastAsia"/>
          <w:b/>
          <w:sz w:val="32"/>
          <w:szCs w:val="32"/>
        </w:rPr>
      </w:pPr>
      <w:r w:rsidRPr="0055702D">
        <w:rPr>
          <w:rFonts w:asciiTheme="minorEastAsia" w:hAnsiTheme="minorEastAsia" w:hint="eastAsia"/>
          <w:b/>
          <w:sz w:val="32"/>
          <w:szCs w:val="32"/>
        </w:rPr>
        <w:t>栾川县城乡规划办公室2017年预算公开说明</w:t>
      </w:r>
    </w:p>
    <w:p w:rsidR="004008EA" w:rsidRPr="0055702D" w:rsidRDefault="004008EA" w:rsidP="00692DE7">
      <w:pPr>
        <w:jc w:val="center"/>
        <w:rPr>
          <w:rFonts w:asciiTheme="minorEastAsia" w:hAnsiTheme="minorEastAsia"/>
          <w:b/>
          <w:sz w:val="32"/>
          <w:szCs w:val="32"/>
        </w:rPr>
      </w:pPr>
    </w:p>
    <w:p w:rsidR="00692DE7" w:rsidRPr="0055702D" w:rsidRDefault="00692DE7" w:rsidP="0055702D">
      <w:pPr>
        <w:pStyle w:val="a3"/>
        <w:numPr>
          <w:ilvl w:val="0"/>
          <w:numId w:val="6"/>
        </w:numPr>
        <w:spacing w:beforeLines="50" w:before="156"/>
        <w:ind w:firstLineChars="0"/>
        <w:rPr>
          <w:rFonts w:asciiTheme="minorEastAsia" w:hAnsiTheme="minorEastAsia"/>
          <w:spacing w:val="20"/>
          <w:sz w:val="32"/>
          <w:szCs w:val="32"/>
        </w:rPr>
      </w:pPr>
      <w:r w:rsidRPr="0055702D">
        <w:rPr>
          <w:rFonts w:asciiTheme="minorEastAsia" w:hAnsiTheme="minorEastAsia" w:hint="eastAsia"/>
          <w:spacing w:val="20"/>
          <w:sz w:val="32"/>
          <w:szCs w:val="32"/>
        </w:rPr>
        <w:t>栾川县城乡规划办公室部门概况</w:t>
      </w:r>
    </w:p>
    <w:p w:rsidR="00692DE7" w:rsidRPr="0055702D" w:rsidRDefault="004008EA" w:rsidP="0055702D">
      <w:pPr>
        <w:spacing w:beforeLines="50" w:before="156"/>
        <w:ind w:firstLineChars="150" w:firstLine="540"/>
        <w:rPr>
          <w:rFonts w:asciiTheme="minorEastAsia" w:hAnsiTheme="minorEastAsia"/>
          <w:spacing w:val="20"/>
          <w:sz w:val="32"/>
          <w:szCs w:val="32"/>
        </w:rPr>
      </w:pPr>
      <w:r w:rsidRPr="0055702D">
        <w:rPr>
          <w:rFonts w:asciiTheme="minorEastAsia" w:hAnsiTheme="minorEastAsia" w:hint="eastAsia"/>
          <w:spacing w:val="20"/>
          <w:sz w:val="32"/>
          <w:szCs w:val="32"/>
        </w:rPr>
        <w:t>（一）</w:t>
      </w:r>
      <w:r w:rsidR="00692DE7" w:rsidRPr="0055702D">
        <w:rPr>
          <w:rFonts w:asciiTheme="minorEastAsia" w:hAnsiTheme="minorEastAsia" w:hint="eastAsia"/>
          <w:spacing w:val="20"/>
          <w:sz w:val="32"/>
          <w:szCs w:val="32"/>
        </w:rPr>
        <w:t>主要职责：</w:t>
      </w:r>
    </w:p>
    <w:p w:rsidR="00692DE7" w:rsidRPr="0055702D" w:rsidRDefault="00692DE7" w:rsidP="0055702D">
      <w:pPr>
        <w:spacing w:beforeLines="50" w:before="156"/>
        <w:ind w:firstLineChars="200" w:firstLine="720"/>
        <w:rPr>
          <w:rFonts w:asciiTheme="minorEastAsia" w:hAnsiTheme="minorEastAsia"/>
          <w:spacing w:val="20"/>
          <w:sz w:val="32"/>
          <w:szCs w:val="32"/>
        </w:rPr>
      </w:pPr>
      <w:r w:rsidRPr="0055702D">
        <w:rPr>
          <w:rFonts w:asciiTheme="minorEastAsia" w:hAnsiTheme="minorEastAsia" w:hint="eastAsia"/>
          <w:spacing w:val="20"/>
          <w:sz w:val="32"/>
          <w:szCs w:val="32"/>
        </w:rPr>
        <w:t>负责全县规划工作的机构，根据县政府授权，承担全县规划工作的行政管理。主要工作内容：</w:t>
      </w:r>
    </w:p>
    <w:p w:rsidR="00692DE7" w:rsidRPr="0055702D" w:rsidRDefault="00692DE7" w:rsidP="0055702D">
      <w:pPr>
        <w:pStyle w:val="a3"/>
        <w:numPr>
          <w:ilvl w:val="0"/>
          <w:numId w:val="3"/>
        </w:numPr>
        <w:spacing w:beforeLines="50" w:before="156"/>
        <w:ind w:firstLineChars="0"/>
        <w:rPr>
          <w:rFonts w:asciiTheme="minorEastAsia" w:hAnsiTheme="minorEastAsia"/>
          <w:spacing w:val="20"/>
          <w:sz w:val="32"/>
          <w:szCs w:val="32"/>
        </w:rPr>
      </w:pPr>
      <w:r w:rsidRPr="0055702D">
        <w:rPr>
          <w:rFonts w:asciiTheme="minorEastAsia" w:hAnsiTheme="minorEastAsia" w:hint="eastAsia"/>
          <w:spacing w:val="20"/>
          <w:sz w:val="32"/>
          <w:szCs w:val="32"/>
        </w:rPr>
        <w:t>贯彻执行有关城乡规划管理的法律、法规、规章和政策。</w:t>
      </w:r>
    </w:p>
    <w:p w:rsidR="00B154B5" w:rsidRPr="0055702D" w:rsidRDefault="00B154B5" w:rsidP="0055702D">
      <w:pPr>
        <w:pStyle w:val="a3"/>
        <w:numPr>
          <w:ilvl w:val="0"/>
          <w:numId w:val="3"/>
        </w:numPr>
        <w:spacing w:beforeLines="50" w:before="156"/>
        <w:ind w:firstLineChars="0"/>
        <w:rPr>
          <w:rFonts w:asciiTheme="minorEastAsia" w:hAnsiTheme="minorEastAsia"/>
          <w:spacing w:val="20"/>
          <w:sz w:val="32"/>
          <w:szCs w:val="32"/>
        </w:rPr>
      </w:pPr>
      <w:r w:rsidRPr="0055702D">
        <w:rPr>
          <w:rFonts w:asciiTheme="minorEastAsia" w:hAnsiTheme="minorEastAsia" w:hint="eastAsia"/>
          <w:spacing w:val="20"/>
          <w:sz w:val="32"/>
          <w:szCs w:val="32"/>
        </w:rPr>
        <w:t>负责编制县城、乡镇和是点集镇、村庄建设的总体规划。</w:t>
      </w:r>
    </w:p>
    <w:p w:rsidR="00B154B5" w:rsidRPr="0055702D" w:rsidRDefault="00B154B5" w:rsidP="0055702D">
      <w:pPr>
        <w:pStyle w:val="a3"/>
        <w:numPr>
          <w:ilvl w:val="0"/>
          <w:numId w:val="3"/>
        </w:numPr>
        <w:spacing w:beforeLines="50" w:before="156"/>
        <w:ind w:firstLineChars="0"/>
        <w:rPr>
          <w:rFonts w:asciiTheme="minorEastAsia" w:hAnsiTheme="minorEastAsia"/>
          <w:spacing w:val="20"/>
          <w:sz w:val="32"/>
          <w:szCs w:val="32"/>
        </w:rPr>
      </w:pPr>
      <w:r w:rsidRPr="0055702D">
        <w:rPr>
          <w:rFonts w:asciiTheme="minorEastAsia" w:hAnsiTheme="minorEastAsia" w:hint="eastAsia"/>
          <w:spacing w:val="20"/>
          <w:sz w:val="32"/>
          <w:szCs w:val="32"/>
        </w:rPr>
        <w:t>负责规划区各类建设项目的建设用地和建设工程和规划管理，核发建设建设项目规划选址意见书、建设用规划许可证、建设工程规划许可证。负责城区园林绿化规划和全县村镇规划建设工作。</w:t>
      </w:r>
    </w:p>
    <w:p w:rsidR="00B154B5" w:rsidRPr="0055702D" w:rsidRDefault="00B154B5" w:rsidP="0055702D">
      <w:pPr>
        <w:pStyle w:val="a3"/>
        <w:numPr>
          <w:ilvl w:val="0"/>
          <w:numId w:val="3"/>
        </w:numPr>
        <w:spacing w:beforeLines="50" w:before="156"/>
        <w:ind w:firstLineChars="0"/>
        <w:rPr>
          <w:rFonts w:asciiTheme="minorEastAsia" w:hAnsiTheme="minorEastAsia"/>
          <w:spacing w:val="20"/>
          <w:sz w:val="32"/>
          <w:szCs w:val="32"/>
        </w:rPr>
      </w:pPr>
      <w:r w:rsidRPr="0055702D">
        <w:rPr>
          <w:rFonts w:asciiTheme="minorEastAsia" w:hAnsiTheme="minorEastAsia" w:hint="eastAsia"/>
          <w:spacing w:val="20"/>
          <w:sz w:val="32"/>
          <w:szCs w:val="32"/>
        </w:rPr>
        <w:t>负责旅游区、风景名胜区、自然保护区的规划管理工作。</w:t>
      </w:r>
    </w:p>
    <w:p w:rsidR="00B154B5" w:rsidRPr="0055702D" w:rsidRDefault="00B154B5" w:rsidP="0055702D">
      <w:pPr>
        <w:pStyle w:val="a3"/>
        <w:numPr>
          <w:ilvl w:val="0"/>
          <w:numId w:val="3"/>
        </w:numPr>
        <w:spacing w:beforeLines="50" w:before="156"/>
        <w:ind w:firstLineChars="0"/>
        <w:rPr>
          <w:rFonts w:asciiTheme="minorEastAsia" w:hAnsiTheme="minorEastAsia"/>
          <w:spacing w:val="20"/>
          <w:sz w:val="32"/>
          <w:szCs w:val="32"/>
        </w:rPr>
      </w:pPr>
      <w:r w:rsidRPr="0055702D">
        <w:rPr>
          <w:rFonts w:asciiTheme="minorEastAsia" w:hAnsiTheme="minorEastAsia" w:hint="eastAsia"/>
          <w:spacing w:val="20"/>
          <w:sz w:val="32"/>
          <w:szCs w:val="32"/>
        </w:rPr>
        <w:t>负责城乡规划 实施情况的监督检查。</w:t>
      </w:r>
    </w:p>
    <w:p w:rsidR="00B154B5" w:rsidRPr="0055702D" w:rsidRDefault="00F77F2B" w:rsidP="0055702D">
      <w:pPr>
        <w:pStyle w:val="a3"/>
        <w:numPr>
          <w:ilvl w:val="0"/>
          <w:numId w:val="3"/>
        </w:numPr>
        <w:spacing w:beforeLines="50" w:before="156"/>
        <w:ind w:firstLineChars="0"/>
        <w:rPr>
          <w:rFonts w:asciiTheme="minorEastAsia" w:hAnsiTheme="minorEastAsia"/>
          <w:spacing w:val="20"/>
          <w:sz w:val="32"/>
          <w:szCs w:val="32"/>
        </w:rPr>
      </w:pPr>
      <w:r w:rsidRPr="0055702D">
        <w:rPr>
          <w:rFonts w:asciiTheme="minorEastAsia" w:hAnsiTheme="minorEastAsia" w:hint="eastAsia"/>
          <w:spacing w:val="20"/>
          <w:sz w:val="32"/>
          <w:szCs w:val="32"/>
        </w:rPr>
        <w:t>完成县委、县政府交办的其他工作。</w:t>
      </w:r>
    </w:p>
    <w:p w:rsidR="00F77F2B" w:rsidRPr="0055702D" w:rsidRDefault="00F77F2B" w:rsidP="0055702D">
      <w:pPr>
        <w:pStyle w:val="a3"/>
        <w:numPr>
          <w:ilvl w:val="0"/>
          <w:numId w:val="7"/>
        </w:numPr>
        <w:spacing w:beforeLines="50" w:before="156"/>
        <w:ind w:firstLineChars="0"/>
        <w:rPr>
          <w:rFonts w:asciiTheme="minorEastAsia" w:hAnsiTheme="minorEastAsia"/>
          <w:spacing w:val="20"/>
          <w:sz w:val="32"/>
          <w:szCs w:val="32"/>
        </w:rPr>
      </w:pPr>
      <w:r w:rsidRPr="0055702D">
        <w:rPr>
          <w:rFonts w:asciiTheme="minorEastAsia" w:hAnsiTheme="minorEastAsia" w:hint="eastAsia"/>
          <w:spacing w:val="20"/>
          <w:sz w:val="32"/>
          <w:szCs w:val="32"/>
        </w:rPr>
        <w:t>内设机构</w:t>
      </w:r>
    </w:p>
    <w:p w:rsidR="004008EA" w:rsidRPr="0055702D" w:rsidRDefault="00F77F2B" w:rsidP="0055702D">
      <w:pPr>
        <w:spacing w:beforeLines="50" w:before="156"/>
        <w:ind w:firstLineChars="200" w:firstLine="720"/>
        <w:rPr>
          <w:rFonts w:asciiTheme="minorEastAsia" w:hAnsiTheme="minorEastAsia"/>
          <w:spacing w:val="20"/>
          <w:sz w:val="32"/>
          <w:szCs w:val="32"/>
        </w:rPr>
      </w:pPr>
      <w:r w:rsidRPr="0055702D">
        <w:rPr>
          <w:rFonts w:asciiTheme="minorEastAsia" w:hAnsiTheme="minorEastAsia" w:hint="eastAsia"/>
          <w:spacing w:val="20"/>
          <w:sz w:val="32"/>
          <w:szCs w:val="32"/>
        </w:rPr>
        <w:lastRenderedPageBreak/>
        <w:t>栾川县城乡规划办公室为县政府直属正科级事业单位，内设办公室、用地规划科、工程规划科、村镇规划科、法规监管科等</w:t>
      </w:r>
      <w:r w:rsidR="00C50C93" w:rsidRPr="0055702D">
        <w:rPr>
          <w:rFonts w:asciiTheme="minorEastAsia" w:hAnsiTheme="minorEastAsia" w:hint="eastAsia"/>
          <w:spacing w:val="20"/>
          <w:sz w:val="32"/>
          <w:szCs w:val="32"/>
        </w:rPr>
        <w:t>五</w:t>
      </w:r>
      <w:r w:rsidRPr="0055702D">
        <w:rPr>
          <w:rFonts w:asciiTheme="minorEastAsia" w:hAnsiTheme="minorEastAsia" w:hint="eastAsia"/>
          <w:spacing w:val="20"/>
          <w:sz w:val="32"/>
          <w:szCs w:val="32"/>
        </w:rPr>
        <w:t>个科室。</w:t>
      </w:r>
      <w:r w:rsidR="004008EA" w:rsidRPr="0055702D">
        <w:rPr>
          <w:rFonts w:asciiTheme="minorEastAsia" w:hAnsiTheme="minorEastAsia" w:hint="eastAsia"/>
          <w:spacing w:val="20"/>
          <w:sz w:val="32"/>
          <w:szCs w:val="32"/>
        </w:rPr>
        <w:t>二、</w:t>
      </w:r>
      <w:r w:rsidRPr="0055702D">
        <w:rPr>
          <w:rFonts w:asciiTheme="minorEastAsia" w:hAnsiTheme="minorEastAsia" w:hint="eastAsia"/>
          <w:spacing w:val="20"/>
          <w:sz w:val="32"/>
          <w:szCs w:val="32"/>
        </w:rPr>
        <w:t>预算情况说明</w:t>
      </w:r>
    </w:p>
    <w:p w:rsidR="006C38EB" w:rsidRPr="0055702D" w:rsidRDefault="006C38EB" w:rsidP="0055702D">
      <w:pPr>
        <w:spacing w:beforeLines="50" w:before="156"/>
        <w:ind w:firstLineChars="150" w:firstLine="540"/>
        <w:rPr>
          <w:rFonts w:asciiTheme="minorEastAsia" w:hAnsiTheme="minorEastAsia"/>
          <w:spacing w:val="20"/>
          <w:sz w:val="32"/>
          <w:szCs w:val="32"/>
        </w:rPr>
      </w:pPr>
      <w:r w:rsidRPr="0055702D">
        <w:rPr>
          <w:rFonts w:asciiTheme="minorEastAsia" w:hAnsiTheme="minorEastAsia" w:hint="eastAsia"/>
          <w:spacing w:val="20"/>
          <w:sz w:val="32"/>
          <w:szCs w:val="32"/>
        </w:rPr>
        <w:t>（一）</w:t>
      </w:r>
      <w:r w:rsidR="0026184F" w:rsidRPr="0055702D">
        <w:rPr>
          <w:rFonts w:asciiTheme="minorEastAsia" w:hAnsiTheme="minorEastAsia" w:hint="eastAsia"/>
          <w:spacing w:val="20"/>
          <w:sz w:val="32"/>
          <w:szCs w:val="32"/>
        </w:rPr>
        <w:t>一般公共预算114万元，其中工资福利支出98万元，商品服务支出7.6万元，对个人和家族的补助8.4万元。</w:t>
      </w:r>
    </w:p>
    <w:p w:rsidR="006D0B54" w:rsidRPr="0055702D" w:rsidRDefault="006D0B54" w:rsidP="0055702D">
      <w:pPr>
        <w:spacing w:beforeLines="50" w:before="156"/>
        <w:ind w:firstLineChars="150" w:firstLine="540"/>
        <w:rPr>
          <w:rFonts w:asciiTheme="minorEastAsia" w:hAnsiTheme="minorEastAsia"/>
          <w:spacing w:val="20"/>
          <w:sz w:val="32"/>
          <w:szCs w:val="32"/>
        </w:rPr>
      </w:pPr>
      <w:r w:rsidRPr="0055702D">
        <w:rPr>
          <w:rFonts w:asciiTheme="minorEastAsia" w:hAnsiTheme="minorEastAsia" w:hint="eastAsia"/>
          <w:spacing w:val="20"/>
          <w:sz w:val="32"/>
          <w:szCs w:val="32"/>
        </w:rPr>
        <w:t>（二）“三公经费”预算支出情况</w:t>
      </w:r>
    </w:p>
    <w:p w:rsidR="006D0B54" w:rsidRPr="0055702D" w:rsidRDefault="006D0B54" w:rsidP="0055702D">
      <w:pPr>
        <w:spacing w:beforeLines="50" w:before="156"/>
        <w:ind w:firstLineChars="200" w:firstLine="720"/>
        <w:rPr>
          <w:rFonts w:asciiTheme="minorEastAsia" w:hAnsiTheme="minorEastAsia"/>
          <w:spacing w:val="20"/>
          <w:sz w:val="32"/>
          <w:szCs w:val="32"/>
        </w:rPr>
      </w:pPr>
      <w:r w:rsidRPr="0055702D">
        <w:rPr>
          <w:rFonts w:asciiTheme="minorEastAsia" w:hAnsiTheme="minorEastAsia" w:hint="eastAsia"/>
          <w:spacing w:val="20"/>
          <w:sz w:val="32"/>
          <w:szCs w:val="32"/>
        </w:rPr>
        <w:t>2017年三</w:t>
      </w:r>
      <w:proofErr w:type="gramStart"/>
      <w:r w:rsidRPr="0055702D">
        <w:rPr>
          <w:rFonts w:asciiTheme="minorEastAsia" w:hAnsiTheme="minorEastAsia" w:hint="eastAsia"/>
          <w:spacing w:val="20"/>
          <w:sz w:val="32"/>
          <w:szCs w:val="32"/>
        </w:rPr>
        <w:t>公经费</w:t>
      </w:r>
      <w:proofErr w:type="gramEnd"/>
      <w:r w:rsidRPr="0055702D">
        <w:rPr>
          <w:rFonts w:asciiTheme="minorEastAsia" w:hAnsiTheme="minorEastAsia" w:hint="eastAsia"/>
          <w:spacing w:val="20"/>
          <w:sz w:val="32"/>
          <w:szCs w:val="32"/>
        </w:rPr>
        <w:t>预算3万元</w:t>
      </w:r>
      <w:r w:rsidR="006C38EB" w:rsidRPr="0055702D">
        <w:rPr>
          <w:rFonts w:asciiTheme="minorEastAsia" w:hAnsiTheme="minorEastAsia" w:hint="eastAsia"/>
          <w:spacing w:val="20"/>
          <w:sz w:val="32"/>
          <w:szCs w:val="32"/>
        </w:rPr>
        <w:t>，其中因公出境费用为0元，</w:t>
      </w:r>
      <w:r w:rsidRPr="0055702D">
        <w:rPr>
          <w:rFonts w:asciiTheme="minorEastAsia" w:hAnsiTheme="minorEastAsia" w:hint="eastAsia"/>
          <w:spacing w:val="20"/>
          <w:sz w:val="32"/>
          <w:szCs w:val="32"/>
        </w:rPr>
        <w:t>公务接待费3万元</w:t>
      </w:r>
      <w:r w:rsidR="006C38EB" w:rsidRPr="0055702D">
        <w:rPr>
          <w:rFonts w:asciiTheme="minorEastAsia" w:hAnsiTheme="minorEastAsia" w:hint="eastAsia"/>
          <w:spacing w:val="20"/>
          <w:sz w:val="32"/>
          <w:szCs w:val="32"/>
        </w:rPr>
        <w:t>，</w:t>
      </w:r>
      <w:r w:rsidR="004008EA" w:rsidRPr="0055702D">
        <w:rPr>
          <w:rFonts w:asciiTheme="minorEastAsia" w:hAnsiTheme="minorEastAsia" w:hint="eastAsia"/>
          <w:spacing w:val="20"/>
          <w:sz w:val="32"/>
          <w:szCs w:val="32"/>
        </w:rPr>
        <w:t>公务用车费用0元，</w:t>
      </w:r>
      <w:r w:rsidR="00147EA6" w:rsidRPr="0055702D">
        <w:rPr>
          <w:rFonts w:asciiTheme="minorEastAsia" w:hAnsiTheme="minorEastAsia" w:hint="eastAsia"/>
          <w:spacing w:val="20"/>
          <w:sz w:val="32"/>
          <w:szCs w:val="32"/>
        </w:rPr>
        <w:t>较上年减少3万元，其中公务用车费</w:t>
      </w:r>
      <w:r w:rsidR="004008EA" w:rsidRPr="0055702D">
        <w:rPr>
          <w:rFonts w:asciiTheme="minorEastAsia" w:hAnsiTheme="minorEastAsia" w:hint="eastAsia"/>
          <w:spacing w:val="20"/>
          <w:sz w:val="32"/>
          <w:szCs w:val="32"/>
        </w:rPr>
        <w:t>由2016年的</w:t>
      </w:r>
      <w:r w:rsidR="00147EA6" w:rsidRPr="0055702D">
        <w:rPr>
          <w:rFonts w:asciiTheme="minorEastAsia" w:hAnsiTheme="minorEastAsia" w:hint="eastAsia"/>
          <w:spacing w:val="20"/>
          <w:sz w:val="32"/>
          <w:szCs w:val="32"/>
        </w:rPr>
        <w:t>3万元</w:t>
      </w:r>
      <w:r w:rsidR="004008EA" w:rsidRPr="0055702D">
        <w:rPr>
          <w:rFonts w:asciiTheme="minorEastAsia" w:hAnsiTheme="minorEastAsia" w:hint="eastAsia"/>
          <w:spacing w:val="20"/>
          <w:sz w:val="32"/>
          <w:szCs w:val="32"/>
        </w:rPr>
        <w:t>减为0元</w:t>
      </w:r>
      <w:r w:rsidR="00147EA6" w:rsidRPr="0055702D">
        <w:rPr>
          <w:rFonts w:asciiTheme="minorEastAsia" w:hAnsiTheme="minorEastAsia" w:hint="eastAsia"/>
          <w:spacing w:val="20"/>
          <w:sz w:val="32"/>
          <w:szCs w:val="32"/>
        </w:rPr>
        <w:t>，因车改，</w:t>
      </w:r>
      <w:r w:rsidR="004008EA" w:rsidRPr="0055702D">
        <w:rPr>
          <w:rFonts w:asciiTheme="minorEastAsia" w:hAnsiTheme="minorEastAsia" w:hint="eastAsia"/>
          <w:spacing w:val="20"/>
          <w:sz w:val="32"/>
          <w:szCs w:val="32"/>
        </w:rPr>
        <w:t>2017年</w:t>
      </w:r>
      <w:r w:rsidR="00147EA6" w:rsidRPr="0055702D">
        <w:rPr>
          <w:rFonts w:asciiTheme="minorEastAsia" w:hAnsiTheme="minorEastAsia" w:hint="eastAsia"/>
          <w:spacing w:val="20"/>
          <w:sz w:val="32"/>
          <w:szCs w:val="32"/>
        </w:rPr>
        <w:t>未安排此项支出。</w:t>
      </w:r>
    </w:p>
    <w:p w:rsidR="00147EA6" w:rsidRPr="0055702D" w:rsidRDefault="00147EA6" w:rsidP="0055702D">
      <w:pPr>
        <w:pStyle w:val="a3"/>
        <w:numPr>
          <w:ilvl w:val="0"/>
          <w:numId w:val="7"/>
        </w:numPr>
        <w:spacing w:beforeLines="50" w:before="156"/>
        <w:ind w:firstLineChars="0"/>
        <w:rPr>
          <w:rFonts w:asciiTheme="minorEastAsia" w:hAnsiTheme="minorEastAsia" w:hint="eastAsia"/>
          <w:spacing w:val="20"/>
          <w:sz w:val="32"/>
          <w:szCs w:val="32"/>
        </w:rPr>
      </w:pPr>
      <w:r w:rsidRPr="0055702D">
        <w:rPr>
          <w:rFonts w:asciiTheme="minorEastAsia" w:hAnsiTheme="minorEastAsia" w:hint="eastAsia"/>
          <w:spacing w:val="20"/>
          <w:sz w:val="32"/>
          <w:szCs w:val="32"/>
        </w:rPr>
        <w:t>机关运行经费预算情况说明。2017年安排机关运行经费7.6万元。其中办公费：</w:t>
      </w:r>
      <w:r w:rsidR="00B06B38" w:rsidRPr="0055702D">
        <w:rPr>
          <w:rFonts w:asciiTheme="minorEastAsia" w:hAnsiTheme="minorEastAsia" w:hint="eastAsia"/>
          <w:spacing w:val="20"/>
          <w:sz w:val="32"/>
          <w:szCs w:val="32"/>
        </w:rPr>
        <w:t>14400元，印刷费10000元，报刊费3000元，电费5000元，邮电费4000元，取暖费1600元，差旅费21600元，工会经费7200元，福利费9200元。</w:t>
      </w:r>
    </w:p>
    <w:p w:rsidR="0055702D" w:rsidRPr="0055702D" w:rsidRDefault="0055702D" w:rsidP="0055702D">
      <w:pPr>
        <w:pStyle w:val="a3"/>
        <w:numPr>
          <w:ilvl w:val="0"/>
          <w:numId w:val="7"/>
        </w:numPr>
        <w:spacing w:line="560" w:lineRule="exact"/>
        <w:ind w:firstLineChars="0"/>
        <w:rPr>
          <w:rFonts w:asciiTheme="minorEastAsia" w:hAnsiTheme="minorEastAsia" w:cs="楷体_GB2312"/>
          <w:spacing w:val="12"/>
          <w:sz w:val="32"/>
          <w:szCs w:val="32"/>
        </w:rPr>
      </w:pPr>
      <w:r w:rsidRPr="0055702D">
        <w:rPr>
          <w:rFonts w:asciiTheme="minorEastAsia" w:hAnsiTheme="minorEastAsia" w:cs="楷体_GB2312" w:hint="eastAsia"/>
          <w:spacing w:val="12"/>
          <w:sz w:val="32"/>
          <w:szCs w:val="32"/>
        </w:rPr>
        <w:t>单位预算没有安排政府采购项目。</w:t>
      </w:r>
    </w:p>
    <w:p w:rsidR="0055702D" w:rsidRPr="0055702D" w:rsidRDefault="0055702D" w:rsidP="0055702D">
      <w:pPr>
        <w:pStyle w:val="a3"/>
        <w:numPr>
          <w:ilvl w:val="0"/>
          <w:numId w:val="7"/>
        </w:numPr>
        <w:ind w:firstLineChars="0"/>
        <w:rPr>
          <w:rFonts w:asciiTheme="minorEastAsia" w:hAnsiTheme="minorEastAsia"/>
          <w:sz w:val="32"/>
          <w:szCs w:val="32"/>
        </w:rPr>
      </w:pPr>
      <w:r w:rsidRPr="0055702D">
        <w:rPr>
          <w:rFonts w:asciiTheme="minorEastAsia" w:hAnsiTheme="minorEastAsia" w:hint="eastAsia"/>
          <w:sz w:val="32"/>
          <w:szCs w:val="32"/>
        </w:rPr>
        <w:t>绩效管理开展情况</w:t>
      </w:r>
    </w:p>
    <w:p w:rsidR="0055702D" w:rsidRPr="00460143" w:rsidRDefault="0055702D" w:rsidP="00460143">
      <w:pPr>
        <w:ind w:firstLineChars="300" w:firstLine="960"/>
        <w:rPr>
          <w:rFonts w:asciiTheme="minorEastAsia" w:hAnsiTheme="minorEastAsia"/>
          <w:sz w:val="32"/>
          <w:szCs w:val="32"/>
        </w:rPr>
      </w:pPr>
      <w:r w:rsidRPr="00460143">
        <w:rPr>
          <w:rFonts w:asciiTheme="minorEastAsia" w:hAnsiTheme="minorEastAsia" w:hint="eastAsia"/>
          <w:sz w:val="32"/>
          <w:szCs w:val="32"/>
        </w:rPr>
        <w:t>2016年按照新的收支分类体系编制单位财政收支预算，以增强财政预算严肃性、准确性，规范预算编制标准、程序，切实做好预算，同时抓好预算编审分离制度的落实，</w:t>
      </w:r>
      <w:r w:rsidRPr="00460143">
        <w:rPr>
          <w:rFonts w:asciiTheme="minorEastAsia" w:hAnsiTheme="minorEastAsia" w:hint="eastAsia"/>
          <w:sz w:val="32"/>
          <w:szCs w:val="32"/>
        </w:rPr>
        <w:lastRenderedPageBreak/>
        <w:t>促进了预算编制质量的提高。坚持预算方案集</w:t>
      </w:r>
      <w:proofErr w:type="gramStart"/>
      <w:r w:rsidRPr="00460143">
        <w:rPr>
          <w:rFonts w:asciiTheme="minorEastAsia" w:hAnsiTheme="minorEastAsia" w:hint="eastAsia"/>
          <w:sz w:val="32"/>
          <w:szCs w:val="32"/>
        </w:rPr>
        <w:t>体研究</w:t>
      </w:r>
      <w:proofErr w:type="gramEnd"/>
      <w:r w:rsidRPr="00460143">
        <w:rPr>
          <w:rFonts w:asciiTheme="minorEastAsia" w:hAnsiTheme="minorEastAsia" w:hint="eastAsia"/>
          <w:sz w:val="32"/>
          <w:szCs w:val="32"/>
        </w:rPr>
        <w:t>制度，做到部门预算细化、公开、水平。并按制度严格落实。</w:t>
      </w:r>
    </w:p>
    <w:p w:rsidR="0055702D" w:rsidRPr="00460143" w:rsidRDefault="0055702D" w:rsidP="00460143">
      <w:pPr>
        <w:ind w:firstLineChars="300" w:firstLine="960"/>
        <w:rPr>
          <w:rFonts w:asciiTheme="minorEastAsia" w:hAnsiTheme="minorEastAsia"/>
          <w:sz w:val="32"/>
          <w:szCs w:val="32"/>
        </w:rPr>
      </w:pPr>
      <w:r w:rsidRPr="00460143">
        <w:rPr>
          <w:rFonts w:asciiTheme="minorEastAsia" w:hAnsiTheme="minorEastAsia" w:hint="eastAsia"/>
          <w:sz w:val="32"/>
          <w:szCs w:val="32"/>
        </w:rPr>
        <w:t>2017年继续按照上级预算管理要求，科学编制财政收支预算，严格按预算执行。</w:t>
      </w:r>
    </w:p>
    <w:p w:rsidR="00156AC6" w:rsidRPr="0055702D" w:rsidRDefault="00156AC6" w:rsidP="0055702D">
      <w:pPr>
        <w:spacing w:beforeLines="50" w:before="156" w:line="576" w:lineRule="exact"/>
        <w:rPr>
          <w:rFonts w:asciiTheme="minorEastAsia" w:hAnsiTheme="minorEastAsia"/>
          <w:spacing w:val="20"/>
          <w:sz w:val="32"/>
          <w:szCs w:val="32"/>
        </w:rPr>
      </w:pPr>
      <w:r w:rsidRPr="0055702D">
        <w:rPr>
          <w:rFonts w:asciiTheme="minorEastAsia" w:hAnsiTheme="minorEastAsia" w:hint="eastAsia"/>
          <w:spacing w:val="20"/>
          <w:sz w:val="32"/>
          <w:szCs w:val="32"/>
        </w:rPr>
        <w:t>三、名词解释</w:t>
      </w:r>
      <w:bookmarkStart w:id="0" w:name="_GoBack"/>
      <w:bookmarkEnd w:id="0"/>
    </w:p>
    <w:p w:rsidR="00156AC6" w:rsidRPr="0055702D" w:rsidRDefault="00156AC6" w:rsidP="0055702D">
      <w:pPr>
        <w:spacing w:beforeLines="50" w:before="156" w:line="576" w:lineRule="exact"/>
        <w:ind w:firstLineChars="200" w:firstLine="720"/>
        <w:rPr>
          <w:rFonts w:asciiTheme="minorEastAsia" w:hAnsiTheme="minorEastAsia"/>
          <w:spacing w:val="20"/>
          <w:sz w:val="32"/>
          <w:szCs w:val="32"/>
        </w:rPr>
      </w:pPr>
      <w:r w:rsidRPr="0055702D">
        <w:rPr>
          <w:rFonts w:asciiTheme="minorEastAsia" w:hAnsiTheme="minorEastAsia" w:hint="eastAsia"/>
          <w:spacing w:val="20"/>
          <w:sz w:val="32"/>
          <w:szCs w:val="32"/>
        </w:rPr>
        <w:t>1、基本支出：指行政事业单位用于为保障其机构正常运转、完成日常工作任务而发生的人员支出和公用支出。</w:t>
      </w:r>
    </w:p>
    <w:p w:rsidR="00156AC6" w:rsidRPr="0055702D" w:rsidRDefault="00156AC6" w:rsidP="0055702D">
      <w:pPr>
        <w:spacing w:beforeLines="50" w:before="156" w:line="576" w:lineRule="exact"/>
        <w:ind w:firstLineChars="200" w:firstLine="720"/>
        <w:rPr>
          <w:rFonts w:asciiTheme="minorEastAsia" w:hAnsiTheme="minorEastAsia"/>
          <w:spacing w:val="20"/>
          <w:sz w:val="32"/>
          <w:szCs w:val="32"/>
        </w:rPr>
      </w:pPr>
      <w:r w:rsidRPr="0055702D">
        <w:rPr>
          <w:rFonts w:asciiTheme="minorEastAsia" w:hAnsiTheme="minorEastAsia" w:hint="eastAsia"/>
          <w:spacing w:val="20"/>
          <w:sz w:val="32"/>
          <w:szCs w:val="32"/>
        </w:rPr>
        <w:t>2、项目支出：指在基本支出之外为完成特定的行政工作任务或事业发展目标所发生的支出。</w:t>
      </w:r>
    </w:p>
    <w:p w:rsidR="00156AC6" w:rsidRPr="0055702D" w:rsidRDefault="00156AC6" w:rsidP="0055702D">
      <w:pPr>
        <w:spacing w:beforeLines="50" w:before="156" w:line="576" w:lineRule="exact"/>
        <w:ind w:firstLineChars="200" w:firstLine="720"/>
        <w:rPr>
          <w:rFonts w:asciiTheme="minorEastAsia" w:hAnsiTheme="minorEastAsia"/>
          <w:spacing w:val="20"/>
          <w:sz w:val="32"/>
          <w:szCs w:val="32"/>
        </w:rPr>
      </w:pPr>
      <w:r w:rsidRPr="0055702D">
        <w:rPr>
          <w:rFonts w:asciiTheme="minorEastAsia" w:hAnsiTheme="minorEastAsia" w:hint="eastAsia"/>
          <w:spacing w:val="20"/>
          <w:sz w:val="32"/>
          <w:szCs w:val="32"/>
        </w:rPr>
        <w:t>3、“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sidRPr="0055702D">
        <w:rPr>
          <w:rFonts w:asciiTheme="minorEastAsia" w:hAnsiTheme="minorEastAsia" w:hint="eastAsia"/>
          <w:spacing w:val="20"/>
          <w:sz w:val="32"/>
          <w:szCs w:val="32"/>
        </w:rPr>
        <w:t>含车辆</w:t>
      </w:r>
      <w:proofErr w:type="gramEnd"/>
      <w:r w:rsidRPr="0055702D">
        <w:rPr>
          <w:rFonts w:asciiTheme="minorEastAsia" w:hAnsiTheme="minorEastAsia" w:hint="eastAsia"/>
          <w:spacing w:val="20"/>
          <w:sz w:val="32"/>
          <w:szCs w:val="32"/>
        </w:rPr>
        <w:t>购置税）及燃料费、维修费、过路过桥费、保险费、安全奖励费用等支出;公务接待费指单位按规定开支的各类公务接待（含外宾接待）支出。</w:t>
      </w:r>
    </w:p>
    <w:p w:rsidR="00156AC6" w:rsidRPr="0055702D" w:rsidRDefault="00156AC6" w:rsidP="0055702D">
      <w:pPr>
        <w:spacing w:beforeLines="50" w:before="156" w:line="576" w:lineRule="exact"/>
        <w:ind w:firstLineChars="200" w:firstLine="720"/>
        <w:rPr>
          <w:rFonts w:asciiTheme="minorEastAsia" w:hAnsiTheme="minorEastAsia"/>
          <w:spacing w:val="20"/>
          <w:sz w:val="32"/>
          <w:szCs w:val="32"/>
        </w:rPr>
      </w:pPr>
      <w:r w:rsidRPr="0055702D">
        <w:rPr>
          <w:rFonts w:asciiTheme="minorEastAsia" w:hAnsiTheme="minorEastAsia" w:hint="eastAsia"/>
          <w:spacing w:val="20"/>
          <w:sz w:val="32"/>
          <w:szCs w:val="32"/>
        </w:rPr>
        <w:t>4、机关运行经费：包括办公费及印刷费、邮电费、差旅费、会议费、工会福利取暖费、日常维修费、专用材料及一般设备购置费、办公用房水电费、办公用房物业管理费、公务用车运行维护费以及其他正常费</w:t>
      </w:r>
      <w:r w:rsidRPr="0055702D">
        <w:rPr>
          <w:rFonts w:asciiTheme="minorEastAsia" w:hAnsiTheme="minorEastAsia" w:hint="eastAsia"/>
          <w:spacing w:val="20"/>
          <w:sz w:val="32"/>
          <w:szCs w:val="32"/>
        </w:rPr>
        <w:lastRenderedPageBreak/>
        <w:t>用。</w:t>
      </w:r>
    </w:p>
    <w:p w:rsidR="00156AC6" w:rsidRPr="0055702D" w:rsidRDefault="00156AC6" w:rsidP="00156AC6">
      <w:pPr>
        <w:rPr>
          <w:rFonts w:asciiTheme="minorEastAsia" w:hAnsiTheme="minorEastAsia"/>
          <w:sz w:val="32"/>
          <w:szCs w:val="32"/>
        </w:rPr>
      </w:pPr>
    </w:p>
    <w:p w:rsidR="00156AC6" w:rsidRPr="0055702D" w:rsidRDefault="00156AC6" w:rsidP="00156AC6">
      <w:pPr>
        <w:ind w:left="720"/>
        <w:rPr>
          <w:rFonts w:asciiTheme="minorEastAsia" w:hAnsiTheme="minorEastAsia"/>
          <w:sz w:val="32"/>
          <w:szCs w:val="32"/>
        </w:rPr>
      </w:pPr>
    </w:p>
    <w:p w:rsidR="0026184F" w:rsidRPr="0055702D" w:rsidRDefault="0026184F" w:rsidP="0026184F">
      <w:pPr>
        <w:pStyle w:val="a3"/>
        <w:ind w:left="1440" w:firstLineChars="0" w:firstLine="0"/>
        <w:rPr>
          <w:rFonts w:asciiTheme="minorEastAsia" w:hAnsiTheme="minorEastAsia"/>
          <w:sz w:val="32"/>
          <w:szCs w:val="32"/>
        </w:rPr>
      </w:pPr>
    </w:p>
    <w:sectPr w:rsidR="0026184F" w:rsidRPr="0055702D" w:rsidSect="00EF3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2315"/>
    <w:multiLevelType w:val="hybridMultilevel"/>
    <w:tmpl w:val="CE88F5DE"/>
    <w:lvl w:ilvl="0" w:tplc="F8C8CF26">
      <w:start w:val="1"/>
      <w:numFmt w:val="decimal"/>
      <w:lvlText w:val="%1、"/>
      <w:lvlJc w:val="left"/>
      <w:pPr>
        <w:ind w:left="1440" w:hanging="720"/>
      </w:pPr>
      <w:rPr>
        <w:rFonts w:asciiTheme="minorHAnsi" w:eastAsiaTheme="minorEastAsia" w:hAnsiTheme="minorHAnsi" w:cstheme="minorBidi"/>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5D66E03"/>
    <w:multiLevelType w:val="hybridMultilevel"/>
    <w:tmpl w:val="D8781E3C"/>
    <w:lvl w:ilvl="0" w:tplc="EE68CF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C03B80"/>
    <w:multiLevelType w:val="hybridMultilevel"/>
    <w:tmpl w:val="70641974"/>
    <w:lvl w:ilvl="0" w:tplc="EDB0200A">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25600734"/>
    <w:multiLevelType w:val="hybridMultilevel"/>
    <w:tmpl w:val="0A34E6B8"/>
    <w:lvl w:ilvl="0" w:tplc="CBAE821C">
      <w:start w:val="2"/>
      <w:numFmt w:val="japaneseCounting"/>
      <w:lvlText w:val="（%1）"/>
      <w:lvlJc w:val="left"/>
      <w:pPr>
        <w:ind w:left="855" w:hanging="85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8CE7DFD"/>
    <w:multiLevelType w:val="hybridMultilevel"/>
    <w:tmpl w:val="214CAE46"/>
    <w:lvl w:ilvl="0" w:tplc="98487998">
      <w:start w:val="1"/>
      <w:numFmt w:val="japaneseCounting"/>
      <w:lvlText w:val="（%1）"/>
      <w:lvlJc w:val="left"/>
      <w:pPr>
        <w:ind w:left="1575" w:hanging="85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4760014F"/>
    <w:multiLevelType w:val="hybridMultilevel"/>
    <w:tmpl w:val="560A54EC"/>
    <w:lvl w:ilvl="0" w:tplc="7BA86F4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7D4814F4"/>
    <w:multiLevelType w:val="hybridMultilevel"/>
    <w:tmpl w:val="46B4DDFE"/>
    <w:lvl w:ilvl="0" w:tplc="15941B8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2DE7"/>
    <w:rsid w:val="00147EA6"/>
    <w:rsid w:val="00156AC6"/>
    <w:rsid w:val="002314A4"/>
    <w:rsid w:val="0026184F"/>
    <w:rsid w:val="00383929"/>
    <w:rsid w:val="004008EA"/>
    <w:rsid w:val="00460143"/>
    <w:rsid w:val="0055702D"/>
    <w:rsid w:val="00692DE7"/>
    <w:rsid w:val="006C38EB"/>
    <w:rsid w:val="006D0B54"/>
    <w:rsid w:val="008E5372"/>
    <w:rsid w:val="00B06B38"/>
    <w:rsid w:val="00B154B5"/>
    <w:rsid w:val="00C50C93"/>
    <w:rsid w:val="00EF3AE9"/>
    <w:rsid w:val="00EF6C18"/>
    <w:rsid w:val="00F77F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A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DE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181</Words>
  <Characters>1035</Characters>
  <Application>Microsoft Office Word</Application>
  <DocSecurity>0</DocSecurity>
  <Lines>8</Lines>
  <Paragraphs>2</Paragraphs>
  <ScaleCrop>false</ScaleCrop>
  <Company>Sky123.Org</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cp:revision>
  <cp:lastPrinted>2017-07-26T09:40:00Z</cp:lastPrinted>
  <dcterms:created xsi:type="dcterms:W3CDTF">2017-07-26T08:08:00Z</dcterms:created>
  <dcterms:modified xsi:type="dcterms:W3CDTF">2017-07-27T03:20:00Z</dcterms:modified>
</cp:coreProperties>
</file>