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栾川县人民政府办公室</w:t>
      </w:r>
    </w:p>
    <w:p>
      <w:pPr>
        <w:jc w:val="center"/>
        <w:rPr>
          <w:rFonts w:ascii="黑体" w:hAnsi="黑体" w:eastAsia="黑体" w:cs="黑体"/>
          <w:sz w:val="52"/>
          <w:szCs w:val="52"/>
        </w:rPr>
      </w:pPr>
      <w:r>
        <w:rPr>
          <w:rFonts w:hint="eastAsia" w:ascii="黑体" w:hAnsi="黑体" w:eastAsia="黑体" w:cs="黑体"/>
          <w:sz w:val="52"/>
          <w:szCs w:val="52"/>
        </w:rPr>
        <w:t>2020年度部门决算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二〇二一年</w:t>
      </w:r>
      <w:r>
        <w:rPr>
          <w:rFonts w:hint="eastAsia" w:ascii="黑体" w:hAnsi="黑体" w:eastAsia="黑体" w:cs="黑体"/>
          <w:sz w:val="32"/>
          <w:szCs w:val="32"/>
          <w:lang w:val="en-US" w:eastAsia="zh-CN"/>
        </w:rPr>
        <w:t>九</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栾川县人民政府办公室概况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部分　　2020年度部门决算表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黑体" w:hAnsi="黑体" w:eastAsia="黑体" w:cs="黑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部分　　2020年度部门决算情况说明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黑体" w:hAnsi="黑体" w:eastAsia="黑体" w:cs="黑体"/>
          <w:sz w:val="32"/>
          <w:szCs w:val="32"/>
        </w:rPr>
      </w:pPr>
      <w:r>
        <w:rPr>
          <w:rFonts w:hint="eastAsia" w:ascii="宋体" w:hAnsi="宋体" w:cs="宋体"/>
          <w:sz w:val="32"/>
          <w:szCs w:val="32"/>
        </w:rPr>
        <w:t>十二、国有资产占用情况说明</w:t>
      </w:r>
      <w:bookmarkStart w:id="0" w:name="_GoBack"/>
      <w:bookmarkEnd w:id="0"/>
    </w:p>
    <w:p>
      <w:pPr>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部分　　名词解释</w:t>
      </w: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栾川县人民政府办公室概况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576" w:lineRule="exact"/>
        <w:ind w:firstLine="608"/>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栾川县人民政府办公室主要职责：</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（一）</w:t>
      </w:r>
      <w:r>
        <w:rPr>
          <w:rFonts w:ascii="仿宋_GB2312" w:hAnsi="仿宋_GB2312" w:eastAsia="仿宋_GB2312" w:cs="仿宋_GB2312"/>
          <w:kern w:val="0"/>
          <w:sz w:val="32"/>
          <w:szCs w:val="32"/>
        </w:rPr>
        <w:t>负责县政府会议的准备工作，协助县政府领导同志组织实施会议决定事项。</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ascii="仿宋_GB2312" w:hAnsi="仿宋_GB2312" w:eastAsia="仿宋_GB2312" w:cs="仿宋_GB2312"/>
          <w:kern w:val="0"/>
          <w:sz w:val="32"/>
          <w:szCs w:val="32"/>
        </w:rPr>
        <w:t>协助县政府领导同志组织起草或审核以县政府、县政府办公室名义印发的公文。</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ascii="仿宋_GB2312" w:hAnsi="仿宋_GB2312" w:eastAsia="仿宋_GB2312" w:cs="仿宋_GB2312"/>
          <w:kern w:val="0"/>
          <w:sz w:val="32"/>
          <w:szCs w:val="32"/>
        </w:rPr>
        <w:t>研究县政府各部门、各乡（镇）政府请示县政府的事项，提出审核意见，报县政府领导同志审批。</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ascii="仿宋_GB2312" w:hAnsi="仿宋_GB2312" w:eastAsia="仿宋_GB2312" w:cs="仿宋_GB2312"/>
          <w:kern w:val="0"/>
          <w:sz w:val="32"/>
          <w:szCs w:val="32"/>
        </w:rPr>
        <w:t>协助县政府领导同志组织处理需由县政府直接处理的重要问题、突发事件和重特大事故。</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r>
        <w:rPr>
          <w:rFonts w:ascii="仿宋_GB2312" w:hAnsi="仿宋_GB2312" w:eastAsia="仿宋_GB2312" w:cs="仿宋_GB2312"/>
          <w:kern w:val="0"/>
          <w:sz w:val="32"/>
          <w:szCs w:val="32"/>
        </w:rPr>
        <w:t>围绕县政府中心工作和县政府领导同志的指示，组织专题调查研究，及时反映情况，提出建议。</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w:t>
      </w:r>
      <w:r>
        <w:rPr>
          <w:rFonts w:ascii="仿宋_GB2312" w:hAnsi="仿宋_GB2312" w:eastAsia="仿宋_GB2312" w:cs="仿宋_GB2312"/>
          <w:kern w:val="0"/>
          <w:sz w:val="32"/>
          <w:szCs w:val="32"/>
        </w:rPr>
        <w:t>负责县政府及办公室公文的收发、运转、印制工作；指导全县政府系统的文秘工作。</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w:t>
      </w:r>
      <w:r>
        <w:rPr>
          <w:rFonts w:ascii="仿宋_GB2312" w:hAnsi="仿宋_GB2312" w:eastAsia="仿宋_GB2312" w:cs="仿宋_GB2312"/>
          <w:kern w:val="0"/>
          <w:sz w:val="32"/>
          <w:szCs w:val="32"/>
        </w:rPr>
        <w:t>负责县政府值班工作，及时报告重要情况，传达和督促落实县政府领导同志指示。</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w:t>
      </w:r>
      <w:r>
        <w:rPr>
          <w:rFonts w:ascii="仿宋_GB2312" w:hAnsi="仿宋_GB2312" w:eastAsia="仿宋_GB2312" w:cs="仿宋_GB2312"/>
          <w:kern w:val="0"/>
          <w:sz w:val="32"/>
          <w:szCs w:val="32"/>
        </w:rPr>
        <w:t>负责县政府信息公开工作，指导监督全县政府信息公开、县政府相关部门的电子政务规划建设、数据挖掘利用工作。</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w:t>
      </w:r>
      <w:r>
        <w:rPr>
          <w:rFonts w:ascii="仿宋_GB2312" w:hAnsi="仿宋_GB2312" w:eastAsia="仿宋_GB2312" w:cs="仿宋_GB2312"/>
          <w:kern w:val="0"/>
          <w:sz w:val="32"/>
          <w:szCs w:val="32"/>
        </w:rPr>
        <w:t>负责全县政务信息的采编、分析和传递；负责全县政府系统电子政务和政务信息化系统的组织、规划、建设、协调、指导工作。</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ascii="仿宋_GB2312" w:hAnsi="仿宋_GB2312" w:eastAsia="仿宋_GB2312" w:cs="仿宋_GB2312"/>
          <w:kern w:val="0"/>
          <w:sz w:val="32"/>
          <w:szCs w:val="32"/>
        </w:rPr>
        <w:t>负责县政府政务服务和大数据管理、行政审批制度改革组织实施及社会信用体系建设工作。</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w:t>
      </w:r>
      <w:r>
        <w:rPr>
          <w:rFonts w:ascii="仿宋_GB2312" w:hAnsi="仿宋_GB2312" w:eastAsia="仿宋_GB2312" w:cs="仿宋_GB2312"/>
          <w:kern w:val="0"/>
          <w:sz w:val="32"/>
          <w:szCs w:val="32"/>
        </w:rPr>
        <w:t>负责县政府机关行政事务。</w:t>
      </w:r>
    </w:p>
    <w:p>
      <w:pPr>
        <w:spacing w:line="576"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w:t>
      </w:r>
      <w:r>
        <w:rPr>
          <w:rFonts w:ascii="仿宋_GB2312" w:hAnsi="仿宋_GB2312" w:eastAsia="仿宋_GB2312" w:cs="仿宋_GB2312"/>
          <w:kern w:val="0"/>
          <w:sz w:val="32"/>
          <w:szCs w:val="32"/>
        </w:rPr>
        <w:t>完成县政府领导同志交办的其他事项。</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栾川县人民政府办公室内设机构9个，包括：</w:t>
      </w:r>
      <w:r>
        <w:rPr>
          <w:rFonts w:ascii="仿宋_GB2312" w:hAnsi="仿宋_GB2312" w:eastAsia="仿宋_GB2312" w:cs="仿宋_GB2312"/>
          <w:kern w:val="0"/>
          <w:sz w:val="32"/>
          <w:szCs w:val="32"/>
        </w:rPr>
        <w:t>信息</w:t>
      </w:r>
      <w:r>
        <w:rPr>
          <w:rFonts w:hint="eastAsia" w:ascii="仿宋_GB2312" w:hAnsi="仿宋_GB2312" w:eastAsia="仿宋_GB2312" w:cs="仿宋_GB2312"/>
          <w:kern w:val="0"/>
          <w:sz w:val="32"/>
          <w:szCs w:val="32"/>
        </w:rPr>
        <w:t>调研</w:t>
      </w:r>
      <w:r>
        <w:rPr>
          <w:rFonts w:ascii="仿宋_GB2312" w:hAnsi="仿宋_GB2312" w:eastAsia="仿宋_GB2312" w:cs="仿宋_GB2312"/>
          <w:kern w:val="0"/>
          <w:sz w:val="32"/>
          <w:szCs w:val="32"/>
        </w:rPr>
        <w:t>股</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秘书股</w:t>
      </w:r>
      <w:r>
        <w:rPr>
          <w:rFonts w:hint="eastAsia" w:ascii="仿宋_GB2312" w:hAnsi="仿宋_GB2312" w:eastAsia="仿宋_GB2312" w:cs="仿宋_GB2312"/>
          <w:kern w:val="0"/>
          <w:sz w:val="32"/>
          <w:szCs w:val="32"/>
        </w:rPr>
        <w:t>（机关党建办公室）、</w:t>
      </w:r>
      <w:r>
        <w:rPr>
          <w:rFonts w:ascii="仿宋_GB2312" w:hAnsi="仿宋_GB2312" w:eastAsia="仿宋_GB2312" w:cs="仿宋_GB2312"/>
          <w:kern w:val="0"/>
          <w:sz w:val="32"/>
          <w:szCs w:val="32"/>
        </w:rPr>
        <w:t>综合股</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政务服务股</w:t>
      </w:r>
      <w:r>
        <w:rPr>
          <w:rFonts w:hint="eastAsia" w:ascii="仿宋_GB2312" w:hAnsi="仿宋_GB2312" w:eastAsia="仿宋_GB2312" w:cs="仿宋_GB2312"/>
          <w:kern w:val="0"/>
          <w:sz w:val="32"/>
          <w:szCs w:val="32"/>
        </w:rPr>
        <w:t>、政务</w:t>
      </w:r>
      <w:r>
        <w:rPr>
          <w:rFonts w:ascii="仿宋_GB2312" w:hAnsi="仿宋_GB2312" w:eastAsia="仿宋_GB2312" w:cs="仿宋_GB2312"/>
          <w:kern w:val="0"/>
          <w:sz w:val="32"/>
          <w:szCs w:val="32"/>
        </w:rPr>
        <w:t>大数据管理股</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行政</w:t>
      </w:r>
      <w:r>
        <w:rPr>
          <w:rFonts w:hint="eastAsia" w:ascii="仿宋_GB2312" w:hAnsi="仿宋_GB2312" w:eastAsia="仿宋_GB2312" w:cs="仿宋_GB2312"/>
          <w:kern w:val="0"/>
          <w:sz w:val="32"/>
          <w:szCs w:val="32"/>
        </w:rPr>
        <w:t>事务</w:t>
      </w:r>
      <w:r>
        <w:rPr>
          <w:rFonts w:ascii="仿宋_GB2312" w:hAnsi="仿宋_GB2312" w:eastAsia="仿宋_GB2312" w:cs="仿宋_GB2312"/>
          <w:kern w:val="0"/>
          <w:sz w:val="32"/>
          <w:szCs w:val="32"/>
        </w:rPr>
        <w:t>股</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法规股</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机要文电股</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值守股</w:t>
      </w:r>
      <w:r>
        <w:rPr>
          <w:rFonts w:hint="eastAsia" w:ascii="仿宋_GB2312" w:hAnsi="仿宋_GB2312" w:eastAsia="仿宋_GB2312" w:cs="仿宋_GB2312"/>
          <w:kern w:val="0"/>
          <w:sz w:val="32"/>
          <w:szCs w:val="32"/>
        </w:rPr>
        <w:t>。</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从决算单位构成看，栾川县人民政府办公室部门决算包括：本级决算、所属事业单位决算。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纳入本部门2020年度部门决算编制范围的单位共2个，其中二级预算单位包括：</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1.栾川县人民政府办公室本级</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2.栾川县政府信息中心</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2020年度部门决算表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部门：栾川县人民政府办公室</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1088.32</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996.23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3.37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kern w:val="0"/>
                <w:sz w:val="20"/>
                <w:szCs w:val="20"/>
              </w:rPr>
            </w:pPr>
            <w:r>
              <w:rPr>
                <w:rFonts w:hint="eastAsia" w:ascii="宋体" w:hAnsi="宋体" w:cs="宋体"/>
                <w:b/>
                <w:color w:val="000000"/>
                <w:kern w:val="0"/>
                <w:sz w:val="20"/>
                <w:szCs w:val="20"/>
              </w:rPr>
              <w:t>1088.32</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b/>
                <w:color w:val="000000"/>
                <w:sz w:val="20"/>
                <w:szCs w:val="20"/>
              </w:rPr>
            </w:pPr>
            <w:r>
              <w:rPr>
                <w:rFonts w:hint="eastAsia" w:ascii="宋体" w:hAnsi="宋体" w:cs="宋体"/>
                <w:b/>
                <w:color w:val="000000"/>
                <w:sz w:val="20"/>
                <w:szCs w:val="20"/>
              </w:rPr>
              <w:t>999.6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114.72</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203.44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20"/>
                <w:szCs w:val="20"/>
              </w:rPr>
            </w:pPr>
            <w:r>
              <w:rPr>
                <w:rFonts w:hint="eastAsia" w:ascii="宋体" w:hAnsi="宋体" w:cs="宋体"/>
                <w:b/>
                <w:color w:val="000000"/>
                <w:sz w:val="20"/>
                <w:szCs w:val="20"/>
              </w:rPr>
              <w:t>1203.04</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b/>
                <w:color w:val="000000"/>
                <w:sz w:val="20"/>
                <w:szCs w:val="20"/>
              </w:rPr>
            </w:pPr>
            <w:r>
              <w:rPr>
                <w:rFonts w:hint="eastAsia" w:ascii="宋体" w:hAnsi="宋体" w:cs="宋体"/>
                <w:b/>
                <w:color w:val="000000"/>
                <w:sz w:val="20"/>
                <w:szCs w:val="20"/>
              </w:rPr>
              <w:t>1203.04</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866"/>
        <w:gridCol w:w="161"/>
        <w:gridCol w:w="59"/>
        <w:gridCol w:w="1623"/>
        <w:gridCol w:w="1201"/>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0" w:type="dxa"/>
            <w:left w:w="0" w:type="dxa"/>
            <w:bottom w:w="0" w:type="dxa"/>
            <w:right w:w="0" w:type="dxa"/>
          </w:tblCellMar>
        </w:tblPrEx>
        <w:trPr>
          <w:trHeight w:val="285" w:hRule="atLeast"/>
        </w:trPr>
        <w:tc>
          <w:tcPr>
            <w:tcW w:w="1027"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62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0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0" w:type="dxa"/>
            <w:bottom w:w="0" w:type="dxa"/>
            <w:right w:w="0" w:type="dxa"/>
          </w:tblCellMar>
        </w:tblPrEx>
        <w:trPr>
          <w:trHeight w:val="300" w:hRule="atLeast"/>
        </w:trPr>
        <w:tc>
          <w:tcPr>
            <w:tcW w:w="1027"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部门：栾川</w:t>
            </w: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62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0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270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28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450" w:hRule="atLeast"/>
        </w:trPr>
        <w:tc>
          <w:tcPr>
            <w:tcW w:w="866" w:type="dxa"/>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84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28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866" w:type="dxa"/>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84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8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70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CellMar>
            <w:top w:w="0" w:type="dxa"/>
            <w:left w:w="0" w:type="dxa"/>
            <w:bottom w:w="0" w:type="dxa"/>
            <w:right w:w="0" w:type="dxa"/>
          </w:tblCellMar>
        </w:tblPrEx>
        <w:trPr>
          <w:trHeight w:val="450" w:hRule="atLeast"/>
        </w:trPr>
        <w:tc>
          <w:tcPr>
            <w:tcW w:w="270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8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1,088.32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1,088.32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201</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一般公共服务支出</w:t>
            </w:r>
          </w:p>
        </w:tc>
        <w:tc>
          <w:tcPr>
            <w:tcW w:w="128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1,075.57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1,075.57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20103</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政府办公厅（室）及相关机构事务</w:t>
            </w:r>
          </w:p>
        </w:tc>
        <w:tc>
          <w:tcPr>
            <w:tcW w:w="128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1,075.57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1,075.57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2010301</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 xml:space="preserve">  行政运行</w:t>
            </w:r>
          </w:p>
        </w:tc>
        <w:tc>
          <w:tcPr>
            <w:tcW w:w="128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722.00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722.00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2010302</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 xml:space="preserve">  一般行政管理事务</w:t>
            </w:r>
          </w:p>
        </w:tc>
        <w:tc>
          <w:tcPr>
            <w:tcW w:w="128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353.57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353.57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229</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其他支出</w:t>
            </w:r>
          </w:p>
        </w:tc>
        <w:tc>
          <w:tcPr>
            <w:tcW w:w="128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12.75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12.75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22999</w:t>
            </w:r>
          </w:p>
        </w:tc>
        <w:tc>
          <w:tcPr>
            <w:tcW w:w="1843"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其他支出</w:t>
            </w:r>
          </w:p>
        </w:tc>
        <w:tc>
          <w:tcPr>
            <w:tcW w:w="128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12.75</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12.75</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2299901</w:t>
            </w:r>
          </w:p>
        </w:tc>
        <w:tc>
          <w:tcPr>
            <w:tcW w:w="1843"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 xml:space="preserve">  其他支出</w:t>
            </w:r>
          </w:p>
        </w:tc>
        <w:tc>
          <w:tcPr>
            <w:tcW w:w="128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12.75</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12.75</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615" w:hRule="atLeast"/>
        </w:trPr>
        <w:tc>
          <w:tcPr>
            <w:tcW w:w="13845" w:type="dxa"/>
            <w:gridSpan w:val="17"/>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866"/>
        <w:gridCol w:w="254"/>
        <w:gridCol w:w="90"/>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0" w:type="dxa"/>
            <w:bottom w:w="0" w:type="dxa"/>
            <w:right w:w="0" w:type="dxa"/>
          </w:tblCellMar>
        </w:tblPrEx>
        <w:trPr>
          <w:trHeight w:val="300" w:hRule="atLeast"/>
        </w:trPr>
        <w:tc>
          <w:tcPr>
            <w:tcW w:w="112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CellMar>
            <w:top w:w="0" w:type="dxa"/>
            <w:left w:w="0" w:type="dxa"/>
            <w:bottom w:w="0" w:type="dxa"/>
            <w:right w:w="0" w:type="dxa"/>
          </w:tblCellMar>
        </w:tblPrEx>
        <w:trPr>
          <w:trHeight w:val="450" w:hRule="atLeast"/>
        </w:trPr>
        <w:tc>
          <w:tcPr>
            <w:tcW w:w="866" w:type="dxa"/>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69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866" w:type="dxa"/>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9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999.60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610.62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388.98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201</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996.23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610.62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385.61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20103</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政府办公厅（室）及相关机构事务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996.23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610.62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385.61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2010301</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610.62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610.62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2010302</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 xml:space="preserve">  一般行政管理事务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385.61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385.61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229</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其他支出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22999</w:t>
            </w:r>
          </w:p>
        </w:tc>
        <w:tc>
          <w:tcPr>
            <w:tcW w:w="1693"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其他支出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866"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2299901</w:t>
            </w:r>
          </w:p>
        </w:tc>
        <w:tc>
          <w:tcPr>
            <w:tcW w:w="1693"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22"/>
              </w:rPr>
            </w:pPr>
            <w:r>
              <w:rPr>
                <w:rFonts w:hint="eastAsia" w:cs="Arial"/>
                <w:color w:val="000000"/>
                <w:sz w:val="22"/>
              </w:rPr>
              <w:t xml:space="preserve">  其他支出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3994"/>
        <w:gridCol w:w="720"/>
        <w:gridCol w:w="1210"/>
        <w:gridCol w:w="3400"/>
        <w:gridCol w:w="597"/>
        <w:gridCol w:w="708"/>
        <w:gridCol w:w="159"/>
        <w:gridCol w:w="1184"/>
        <w:gridCol w:w="336"/>
        <w:gridCol w:w="1680"/>
      </w:tblGrid>
      <w:tr>
        <w:tblPrEx>
          <w:tblCellMar>
            <w:top w:w="0" w:type="dxa"/>
            <w:left w:w="0" w:type="dxa"/>
            <w:bottom w:w="0" w:type="dxa"/>
            <w:right w:w="0" w:type="dxa"/>
          </w:tblCellMar>
        </w:tblPrEx>
        <w:trPr>
          <w:trHeight w:val="360" w:hRule="atLeast"/>
        </w:trPr>
        <w:tc>
          <w:tcPr>
            <w:tcW w:w="13988"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8064"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1088.32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996.23</w:t>
            </w: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996.23</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二十三、其他支出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1088.32</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999.60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999.60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b/>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114.72</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203.44</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203.44</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114.72</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867" w:type="dxa"/>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867" w:type="dxa"/>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1203.04</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867" w:type="dxa"/>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1203.04</w:t>
            </w:r>
          </w:p>
        </w:tc>
        <w:tc>
          <w:tcPr>
            <w:tcW w:w="152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1203.04</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3988" w:type="dxa"/>
            <w:gridSpan w:val="10"/>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17"/>
                <w:rFonts w:hint="default"/>
              </w:rPr>
              <w:t>5表</w:t>
            </w:r>
          </w:p>
        </w:tc>
      </w:tr>
      <w:tr>
        <w:tblPrEx>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项 </w:t>
            </w:r>
            <w:r>
              <w:rPr>
                <w:rStyle w:val="13"/>
                <w:rFonts w:hint="default"/>
                <w:sz w:val="20"/>
                <w:szCs w:val="20"/>
              </w:rPr>
              <w:t xml:space="preserve">   </w:t>
            </w:r>
            <w:r>
              <w:rPr>
                <w:rStyle w:val="16"/>
                <w:rFonts w:hint="default"/>
                <w:sz w:val="20"/>
                <w:szCs w:val="20"/>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999.60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610.62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Arial"/>
                <w:b/>
                <w:bCs/>
                <w:color w:val="000000"/>
                <w:sz w:val="22"/>
              </w:rPr>
            </w:pPr>
            <w:r>
              <w:rPr>
                <w:rFonts w:hint="eastAsia" w:cs="Arial"/>
                <w:b/>
                <w:bCs/>
                <w:color w:val="000000"/>
                <w:sz w:val="22"/>
              </w:rPr>
              <w:t>388.98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996.23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610.62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385.61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20103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政府办公厅（室）及相关机构事务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996.23</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610.62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385.61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2010301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 xml:space="preserve">  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610.62</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610.62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2010302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 xml:space="preserve">  一般行政管理事务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385.61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385.61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229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其他支出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22999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其他支出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2299901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22"/>
              </w:rPr>
            </w:pPr>
            <w:r>
              <w:rPr>
                <w:rFonts w:hint="eastAsia" w:cs="Arial"/>
                <w:color w:val="000000"/>
                <w:sz w:val="22"/>
              </w:rPr>
              <w:t xml:space="preserve">  其他支出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3.37</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923"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0" w:type="dxa"/>
            <w:left w:w="0" w:type="dxa"/>
            <w:bottom w:w="0" w:type="dxa"/>
            <w:right w:w="0" w:type="dxa"/>
          </w:tblCellMar>
        </w:tblPrEx>
        <w:trPr>
          <w:trHeight w:val="300" w:hRule="atLeast"/>
        </w:trPr>
        <w:tc>
          <w:tcPr>
            <w:tcW w:w="870"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ascii="Arial" w:hAnsi="Arial" w:cs="Arial"/>
                <w:color w:val="000000"/>
                <w:kern w:val="0"/>
                <w:sz w:val="20"/>
                <w:szCs w:val="20"/>
              </w:rPr>
              <w:t>部门：</w:t>
            </w:r>
          </w:p>
        </w:tc>
        <w:tc>
          <w:tcPr>
            <w:tcW w:w="2923"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923"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543.10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39.11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190.89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27.21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180.37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57.24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56.48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26.36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0.63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30.88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28.40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2.63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19.60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8.67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5.69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571.51</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39.11</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149"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30.40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27.00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27.00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3.40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26.68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24.05</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0.00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24.05</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ascii="宋体" w:hAnsi="宋体" w:cs="Arial"/>
                <w:color w:val="000000"/>
                <w:sz w:val="22"/>
              </w:rPr>
            </w:pPr>
            <w:r>
              <w:rPr>
                <w:rFonts w:hint="eastAsia" w:cs="Arial"/>
                <w:color w:val="000000"/>
                <w:sz w:val="22"/>
              </w:rPr>
              <w:t>2.63</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w:t>
            </w:r>
            <w:r>
              <w:rPr>
                <w:rStyle w:val="18"/>
                <w:rFonts w:hint="default"/>
                <w:sz w:val="20"/>
                <w:szCs w:val="20"/>
              </w:rPr>
              <w:t>预算数为“三公”经费年初预算数，决算数是包括当年一般公共预算财政拨款和以前年度结转资金安排的实际支出。</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说明：我部门没有政府性基金收入，也没有使用政府性基金安排的支出，故本表无数据。</w:t>
      </w:r>
    </w:p>
    <w:p>
      <w:pPr>
        <w:widowControl/>
        <w:spacing w:line="590" w:lineRule="exact"/>
        <w:jc w:val="left"/>
        <w:rPr>
          <w:rFonts w:ascii="仿宋_GB2312" w:hAnsi="仿宋_GB2312" w:eastAsia="仿宋_GB2312" w:cs="仿宋_GB2312"/>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2020年度部门决算情况说明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2020年度收、支总计均为1203.04万元。与上年度相比，收、支总计各增加231.11万元，增长23.78%。主要原因是补发2019年度文明奖，增加人员经费2020年度文明奖，更新公务用车两辆，增加安可替代项目设备购置经费、“放管服、大气污染防治”专项审计经费等。</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2020年度收入合计1088.32万元，其中：财政拨款收入1088.32万元，占100.0%；上级补助收入0万元，占0.0%；事业收入0万元，占0.0%；经营收入0万元，占0.0%；附属单位上缴收入0万元，占0.0%；其他收入0万元，占0.0%。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2020年度支出合计999.6万元，其中：基本支出610.62万元，占61.09%；项目支出388.98万元，占38.91%；上缴上级支出0万元，占0.0%；经营支出0万元，占0.0%；对附属单位补助支出0万元，占0.0%。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支总计均为1203.04万元。与上年度相比，财政拨款收、支总计各增加231.11万元，增长23.78%。主要原因是补发2019年度文明奖，增加人员经费2020年度文明奖，更新公务用车两辆，增加安可替代项目设备购置经费、“放管服、大气污染防治”专项审计经费等。</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2020年度一般公共预算财政拨款支出999.6万元，占支出合计的100.0%。与上年度相比，一般公共预算财政拨款支出增加77.87万元，增长8.45%。主要原因是精神文明奖按省级标准执行，人员经费支出增大。</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2020年度一般公共预算财政拨款支出999.6万元，主要用于以下方面：一般公共服务（类）支出996.23万元，占99.66%；其他（类）支出3.37万元，占0.34%。</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2020年度一般公共预算财政拨款支出年初预算为889.79万元，支出决算为999.6万元，完成年初预算的112.0%。其中：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1．一般公共服务支出（类）政府办公厅（室）及相关机构事务（款）行政运行（项）。</w:t>
      </w:r>
      <w:r>
        <w:rPr>
          <w:rFonts w:hint="eastAsia" w:ascii="仿宋_GB2312" w:hAnsi="仿宋_GB2312" w:eastAsia="仿宋_GB2312" w:cs="仿宋_GB2312"/>
          <w:sz w:val="32"/>
          <w:szCs w:val="32"/>
        </w:rPr>
        <w:t>年初预算为627.71万元，支出决算为722万元，完成年初预算的115.0%。决算数与年初预算数存在差异的主要原因是精神文明奖按省级标准执行，追加一次性抚恤金导致人员经费支出增大。</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2．一般公共服务支出（类）政府办公厅（室）及相关机构事务（款）一般行政管理事务（项）。</w:t>
      </w:r>
      <w:r>
        <w:rPr>
          <w:rFonts w:hint="eastAsia" w:ascii="仿宋_GB2312" w:hAnsi="仿宋_GB2312" w:eastAsia="仿宋_GB2312" w:cs="仿宋_GB2312"/>
          <w:sz w:val="32"/>
          <w:szCs w:val="32"/>
        </w:rPr>
        <w:t>年初预算为262.08万元，支出决算为353.57万元，完成年初预算的135.0%。决算数与年初预算数存在差异的主要原因是更新公务用车两辆，增加安可替代项目设备购置经费。</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3．其他支出（类）其他支出（款）其他支出（项）。</w:t>
      </w:r>
      <w:r>
        <w:rPr>
          <w:rFonts w:hint="eastAsia" w:ascii="仿宋_GB2312" w:hAnsi="仿宋_GB2312" w:eastAsia="仿宋_GB2312" w:cs="仿宋_GB2312"/>
          <w:sz w:val="32"/>
          <w:szCs w:val="32"/>
        </w:rPr>
        <w:t>年初预算为0万元，支出决算为12.75万元，完成年初预算的127.5%。决算数与年初预算数存在差异的主要原因是刺经费为临时追加，年初未做预算。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基本支出999.6万元。其中：人员经费571.51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39.11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2020年度“三公”经费财政拨款支出预算为30.4万元，支出决算为26.68万元，完成预算的87.76%。2020年度“三公”经费支出决算数与预算数存在差异的主要原因是公车运行费及公务接待费用减少。</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决算中，因公出国（境）费支出决算0万元，完成预算的100.0%，占0.0%；公务用车购置及运行费支出决算24.05万元，完成预算的89.07%，占79.11%；公务接待费支出决算2.63万元，完成预算的77.35%，占8.65%。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年初预算为0万元，支出决算为0万元，完成年初预算的0.0%。</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初预算为27万元，支出决算为24.05万元，完成年初预算的89.07%。决算数与年初预算数存在差异的主要原因是公车运行费用减少。其中：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24.05万元。主要用于公车加油、过路过桥费、保险、维修、年检等。2020年期末，部门开支财政拨款的公务用车保有量为16量。</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初预算为3.4万元，支出决算为2.63万元，完成年初预算的77.35%。决算数与年初预算数存在差异的主要原因是接待事务减少。其中：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2.63万元。主要用于来访人员餐费支出。2020年共接待国内来访团组27个、来宾168人次（不包括陪同人员）。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以绩效目标实现为导向，进一步加强制度建设，提升自评质量，预算绩效管理取得新成效。</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1.抓好绩效目标编制，及时报送绩效目标。</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2.开展绩效跟踪监控，加强过程监控。</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3.深入开展财政预算支出绩效评价，对专项资金实施绩效自评和项目核查，在此基础上形成自评报告。</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4.健全绩效管理工作机制，明确职责分工，努力提高绩效管理工作水平。</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outlineLvl w:val="2"/>
        <w:rPr>
          <w:rFonts w:eastAsia="仿宋_GB2312"/>
          <w:sz w:val="32"/>
          <w:szCs w:val="32"/>
        </w:rPr>
      </w:pPr>
      <w:r>
        <w:rPr>
          <w:rFonts w:hint="eastAsia" w:eastAsia="仿宋_GB2312"/>
          <w:sz w:val="32"/>
          <w:szCs w:val="32"/>
        </w:rPr>
        <w:t>根据项目单位自评要求，我单位自评情况如下：</w:t>
      </w:r>
      <w:r>
        <w:rPr>
          <w:rFonts w:eastAsia="仿宋_GB2312"/>
          <w:sz w:val="32"/>
          <w:szCs w:val="32"/>
        </w:rPr>
        <w:t>项目单位自评平均分数</w:t>
      </w:r>
      <w:r>
        <w:rPr>
          <w:rFonts w:hint="eastAsia" w:eastAsia="仿宋_GB2312"/>
          <w:sz w:val="32"/>
          <w:szCs w:val="32"/>
        </w:rPr>
        <w:t>99.2分，其中100分项目5个，96分项目1个，</w:t>
      </w:r>
      <w:r>
        <w:rPr>
          <w:rFonts w:eastAsia="仿宋_GB2312"/>
          <w:sz w:val="32"/>
          <w:szCs w:val="32"/>
        </w:rPr>
        <w:t>完成绩效目标的项目个数</w:t>
      </w:r>
      <w:r>
        <w:rPr>
          <w:rFonts w:hint="eastAsia" w:eastAsia="仿宋_GB2312"/>
          <w:sz w:val="32"/>
          <w:szCs w:val="32"/>
        </w:rPr>
        <w:t>5个，</w:t>
      </w:r>
      <w:r>
        <w:rPr>
          <w:rFonts w:eastAsia="仿宋_GB2312"/>
          <w:sz w:val="32"/>
          <w:szCs w:val="32"/>
        </w:rPr>
        <w:t>没有完成绩效目标的项目个数</w:t>
      </w:r>
      <w:r>
        <w:rPr>
          <w:rFonts w:hint="eastAsia" w:eastAsia="仿宋_GB2312"/>
          <w:sz w:val="32"/>
          <w:szCs w:val="32"/>
        </w:rPr>
        <w:t>1个，</w:t>
      </w:r>
      <w:r>
        <w:rPr>
          <w:rFonts w:eastAsia="仿宋_GB2312"/>
          <w:sz w:val="32"/>
          <w:szCs w:val="32"/>
        </w:rPr>
        <w:t>指标完成有偏差的项目个数、偏差较大（20%及以上）的项目个数</w:t>
      </w:r>
      <w:r>
        <w:rPr>
          <w:rFonts w:hint="eastAsia" w:eastAsia="仿宋_GB2312"/>
          <w:sz w:val="32"/>
          <w:szCs w:val="32"/>
        </w:rPr>
        <w:t>1个。</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（三）以部门为主体开展的重点绩效评价结果。</w:t>
      </w:r>
    </w:p>
    <w:p>
      <w:pPr>
        <w:pStyle w:val="2"/>
        <w:ind w:firstLine="640" w:firstLineChars="200"/>
        <w:rPr>
          <w:rFonts w:eastAsia="仿宋_GB2312"/>
          <w:sz w:val="32"/>
          <w:szCs w:val="32"/>
        </w:rPr>
      </w:pPr>
      <w:r>
        <w:rPr>
          <w:rFonts w:hint="eastAsia" w:eastAsia="仿宋_GB2312"/>
          <w:sz w:val="32"/>
          <w:szCs w:val="32"/>
        </w:rPr>
        <w:t>我单位已根据《栾川县财政支出绩效评价指标体系》指标认真开展了自我评价，根据绩效自评采取打分评价的形式，满分为100分，我单位综合评价为99.2分。</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我部门2020年度没有政府性基金收入，也没有使用政府性基金安排的支出。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2020年度机关运行经费初预算为33.87万元，支出决算为39.11万元，完成年初预算的115.0%。决算数与年初预算数存在差异的主要原因是电费支出费用超出预算。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期末，我部门共有车辆16辆，其中：省级领导干部用车0辆、主要领导干部用车0辆、机要通信用车0辆、应急保障车0辆、执法执勤用车0辆、特种专业技术用车0辆、离退休干部用车0辆、其他用车16辆；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8" o:spid="_x0000_s307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w:r>
    <w:r>
      <w:pict>
        <v:shape id="文本框 1027"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9" o:spid="_x0000_s307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0270E8"/>
    <w:rsid w:val="000103EA"/>
    <w:rsid w:val="000270E8"/>
    <w:rsid w:val="000272BF"/>
    <w:rsid w:val="000464C9"/>
    <w:rsid w:val="00057AFD"/>
    <w:rsid w:val="00076410"/>
    <w:rsid w:val="000C073B"/>
    <w:rsid w:val="001003F8"/>
    <w:rsid w:val="00144159"/>
    <w:rsid w:val="001718A8"/>
    <w:rsid w:val="0017570C"/>
    <w:rsid w:val="00182842"/>
    <w:rsid w:val="001905F2"/>
    <w:rsid w:val="001A7D65"/>
    <w:rsid w:val="001D61B1"/>
    <w:rsid w:val="001F5040"/>
    <w:rsid w:val="002006EB"/>
    <w:rsid w:val="00256750"/>
    <w:rsid w:val="00260D70"/>
    <w:rsid w:val="00282C7F"/>
    <w:rsid w:val="00287811"/>
    <w:rsid w:val="002B3F94"/>
    <w:rsid w:val="002E6A86"/>
    <w:rsid w:val="00303A5C"/>
    <w:rsid w:val="00304D04"/>
    <w:rsid w:val="00305B88"/>
    <w:rsid w:val="00315FEB"/>
    <w:rsid w:val="003339A5"/>
    <w:rsid w:val="003716F3"/>
    <w:rsid w:val="003B3927"/>
    <w:rsid w:val="0042585F"/>
    <w:rsid w:val="00445CAC"/>
    <w:rsid w:val="00472E19"/>
    <w:rsid w:val="00487869"/>
    <w:rsid w:val="004D5275"/>
    <w:rsid w:val="00503C13"/>
    <w:rsid w:val="00507364"/>
    <w:rsid w:val="00546F7C"/>
    <w:rsid w:val="00572213"/>
    <w:rsid w:val="005A0C2F"/>
    <w:rsid w:val="005B1AE2"/>
    <w:rsid w:val="00622223"/>
    <w:rsid w:val="006228C4"/>
    <w:rsid w:val="006512DD"/>
    <w:rsid w:val="00656BEF"/>
    <w:rsid w:val="00656D75"/>
    <w:rsid w:val="00657E86"/>
    <w:rsid w:val="00673EF7"/>
    <w:rsid w:val="0069449E"/>
    <w:rsid w:val="006C07F0"/>
    <w:rsid w:val="006C644A"/>
    <w:rsid w:val="006C7D84"/>
    <w:rsid w:val="007148E8"/>
    <w:rsid w:val="00721D55"/>
    <w:rsid w:val="00733DAA"/>
    <w:rsid w:val="00742BA0"/>
    <w:rsid w:val="00753545"/>
    <w:rsid w:val="00764156"/>
    <w:rsid w:val="00765AE7"/>
    <w:rsid w:val="007706D7"/>
    <w:rsid w:val="00781725"/>
    <w:rsid w:val="007879ED"/>
    <w:rsid w:val="007A48A3"/>
    <w:rsid w:val="007B466C"/>
    <w:rsid w:val="007C029F"/>
    <w:rsid w:val="007C7F49"/>
    <w:rsid w:val="007D2A21"/>
    <w:rsid w:val="00843461"/>
    <w:rsid w:val="00850088"/>
    <w:rsid w:val="00860A30"/>
    <w:rsid w:val="00872946"/>
    <w:rsid w:val="0088023A"/>
    <w:rsid w:val="008858FB"/>
    <w:rsid w:val="00894B41"/>
    <w:rsid w:val="008B5427"/>
    <w:rsid w:val="008F4D33"/>
    <w:rsid w:val="00903F6B"/>
    <w:rsid w:val="009173F9"/>
    <w:rsid w:val="00924EF9"/>
    <w:rsid w:val="00975A04"/>
    <w:rsid w:val="009D0356"/>
    <w:rsid w:val="009F546E"/>
    <w:rsid w:val="00A079F0"/>
    <w:rsid w:val="00A57BF7"/>
    <w:rsid w:val="00A83D8A"/>
    <w:rsid w:val="00A93E7D"/>
    <w:rsid w:val="00A9432C"/>
    <w:rsid w:val="00AA260E"/>
    <w:rsid w:val="00AA44CB"/>
    <w:rsid w:val="00AA67CD"/>
    <w:rsid w:val="00AD6761"/>
    <w:rsid w:val="00AE600E"/>
    <w:rsid w:val="00B0083B"/>
    <w:rsid w:val="00B209B8"/>
    <w:rsid w:val="00B249F3"/>
    <w:rsid w:val="00B710DD"/>
    <w:rsid w:val="00BA5191"/>
    <w:rsid w:val="00BE5A85"/>
    <w:rsid w:val="00BF5718"/>
    <w:rsid w:val="00C028ED"/>
    <w:rsid w:val="00C3106E"/>
    <w:rsid w:val="00C60609"/>
    <w:rsid w:val="00C854B9"/>
    <w:rsid w:val="00C95CC1"/>
    <w:rsid w:val="00CA3F44"/>
    <w:rsid w:val="00CD078E"/>
    <w:rsid w:val="00CE212D"/>
    <w:rsid w:val="00CE4B38"/>
    <w:rsid w:val="00D1321A"/>
    <w:rsid w:val="00D30ADF"/>
    <w:rsid w:val="00D5533E"/>
    <w:rsid w:val="00D6315E"/>
    <w:rsid w:val="00D652C2"/>
    <w:rsid w:val="00D74EE2"/>
    <w:rsid w:val="00D83E19"/>
    <w:rsid w:val="00DA00C9"/>
    <w:rsid w:val="00DB200E"/>
    <w:rsid w:val="00DB65F5"/>
    <w:rsid w:val="00E01C3E"/>
    <w:rsid w:val="00E13099"/>
    <w:rsid w:val="00E16E26"/>
    <w:rsid w:val="00E4339F"/>
    <w:rsid w:val="00E55E58"/>
    <w:rsid w:val="00E629EA"/>
    <w:rsid w:val="00E6777C"/>
    <w:rsid w:val="00EB05A3"/>
    <w:rsid w:val="00EC518A"/>
    <w:rsid w:val="00ED38B7"/>
    <w:rsid w:val="00EE051D"/>
    <w:rsid w:val="00F0131A"/>
    <w:rsid w:val="00F14C17"/>
    <w:rsid w:val="00F17041"/>
    <w:rsid w:val="00F44937"/>
    <w:rsid w:val="00F61A47"/>
    <w:rsid w:val="00F7643C"/>
    <w:rsid w:val="00F84422"/>
    <w:rsid w:val="00F84CAF"/>
    <w:rsid w:val="00F95455"/>
    <w:rsid w:val="00FA574D"/>
    <w:rsid w:val="00FE7AD9"/>
    <w:rsid w:val="01322275"/>
    <w:rsid w:val="01DC6F05"/>
    <w:rsid w:val="02A3489A"/>
    <w:rsid w:val="02CA138D"/>
    <w:rsid w:val="033646FC"/>
    <w:rsid w:val="03C75F80"/>
    <w:rsid w:val="0478364D"/>
    <w:rsid w:val="053D4C0D"/>
    <w:rsid w:val="0557532E"/>
    <w:rsid w:val="0799329C"/>
    <w:rsid w:val="086F16A7"/>
    <w:rsid w:val="0A0F7225"/>
    <w:rsid w:val="0A2B7D82"/>
    <w:rsid w:val="0ADC40E9"/>
    <w:rsid w:val="0AE607F4"/>
    <w:rsid w:val="0B451598"/>
    <w:rsid w:val="0BEC73F4"/>
    <w:rsid w:val="0C392698"/>
    <w:rsid w:val="10BD36F6"/>
    <w:rsid w:val="11BF0649"/>
    <w:rsid w:val="123E3E08"/>
    <w:rsid w:val="13D22E22"/>
    <w:rsid w:val="161C2DFF"/>
    <w:rsid w:val="16373578"/>
    <w:rsid w:val="16D3336B"/>
    <w:rsid w:val="17806C36"/>
    <w:rsid w:val="17A74F62"/>
    <w:rsid w:val="18A47774"/>
    <w:rsid w:val="1B2E6FD8"/>
    <w:rsid w:val="1B877D21"/>
    <w:rsid w:val="1C4319A9"/>
    <w:rsid w:val="1E443B4B"/>
    <w:rsid w:val="1E994F4A"/>
    <w:rsid w:val="1EAF0224"/>
    <w:rsid w:val="1F2230A4"/>
    <w:rsid w:val="20210932"/>
    <w:rsid w:val="202448E0"/>
    <w:rsid w:val="21302EEA"/>
    <w:rsid w:val="22376FB5"/>
    <w:rsid w:val="23E152D7"/>
    <w:rsid w:val="255D43C8"/>
    <w:rsid w:val="26876BDD"/>
    <w:rsid w:val="2714632A"/>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21C686B"/>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7A02E6"/>
    <w:rsid w:val="75867C40"/>
    <w:rsid w:val="75B10B26"/>
    <w:rsid w:val="76432199"/>
    <w:rsid w:val="76F44829"/>
    <w:rsid w:val="77A267C0"/>
    <w:rsid w:val="78882278"/>
    <w:rsid w:val="78B118A6"/>
    <w:rsid w:val="79135044"/>
    <w:rsid w:val="7A7D0F99"/>
    <w:rsid w:val="7E4A0E7C"/>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semiHidden/>
    <w:unhideWhenUsed/>
    <w:uiPriority w:val="99"/>
    <w:pPr>
      <w:spacing w:after="120"/>
    </w:pPr>
    <w:rPr>
      <w:rFonts w:ascii="Times New Roman" w:hAnsi="Times New Roman"/>
      <w:szCs w:val="20"/>
    </w:rPr>
  </w:style>
  <w:style w:type="paragraph" w:styleId="3">
    <w:name w:val="Balloon Text"/>
    <w:basedOn w:val="1"/>
    <w:link w:val="12"/>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unhideWhenUsed/>
    <w:uiPriority w:val="99"/>
    <w:rPr>
      <w:color w:val="800080"/>
      <w:u w:val="single"/>
    </w:rPr>
  </w:style>
  <w:style w:type="character" w:styleId="10">
    <w:name w:val="Hyperlink"/>
    <w:unhideWhenUsed/>
    <w:uiPriority w:val="99"/>
    <w:rPr>
      <w:color w:val="0000FF"/>
      <w:u w:val="single"/>
    </w:rPr>
  </w:style>
  <w:style w:type="character" w:customStyle="1" w:styleId="11">
    <w:name w:val="页脚 Char"/>
    <w:link w:val="4"/>
    <w:uiPriority w:val="99"/>
    <w:rPr>
      <w:kern w:val="2"/>
      <w:sz w:val="18"/>
      <w:szCs w:val="18"/>
    </w:rPr>
  </w:style>
  <w:style w:type="character" w:customStyle="1" w:styleId="12">
    <w:name w:val="批注框文本 Char"/>
    <w:basedOn w:val="8"/>
    <w:link w:val="3"/>
    <w:semiHidden/>
    <w:uiPriority w:val="99"/>
    <w:rPr>
      <w:kern w:val="2"/>
      <w:sz w:val="18"/>
      <w:szCs w:val="18"/>
    </w:rPr>
  </w:style>
  <w:style w:type="character" w:customStyle="1" w:styleId="13">
    <w:name w:val="font01"/>
    <w:basedOn w:val="8"/>
    <w:uiPriority w:val="0"/>
    <w:rPr>
      <w:rFonts w:hint="eastAsia" w:ascii="宋体" w:hAnsi="宋体" w:eastAsia="宋体" w:cs="宋体"/>
      <w:color w:val="000000"/>
      <w:sz w:val="22"/>
      <w:szCs w:val="22"/>
      <w:u w:val="none"/>
    </w:rPr>
  </w:style>
  <w:style w:type="character" w:customStyle="1" w:styleId="14">
    <w:name w:val="font21"/>
    <w:basedOn w:val="8"/>
    <w:uiPriority w:val="0"/>
    <w:rPr>
      <w:rFonts w:hint="eastAsia" w:ascii="宋体" w:hAnsi="宋体" w:eastAsia="宋体" w:cs="宋体"/>
      <w:color w:val="000000"/>
      <w:sz w:val="22"/>
      <w:szCs w:val="22"/>
      <w:u w:val="none"/>
    </w:rPr>
  </w:style>
  <w:style w:type="character" w:customStyle="1" w:styleId="15">
    <w:name w:val="页眉 Char"/>
    <w:link w:val="5"/>
    <w:uiPriority w:val="99"/>
    <w:rPr>
      <w:kern w:val="2"/>
      <w:sz w:val="18"/>
      <w:szCs w:val="18"/>
    </w:rPr>
  </w:style>
  <w:style w:type="character" w:customStyle="1" w:styleId="16">
    <w:name w:val="font51"/>
    <w:basedOn w:val="8"/>
    <w:uiPriority w:val="0"/>
    <w:rPr>
      <w:rFonts w:hint="eastAsia" w:ascii="宋体" w:hAnsi="宋体" w:eastAsia="宋体" w:cs="宋体"/>
      <w:color w:val="000000"/>
      <w:sz w:val="24"/>
      <w:szCs w:val="24"/>
      <w:u w:val="none"/>
    </w:rPr>
  </w:style>
  <w:style w:type="character" w:customStyle="1" w:styleId="17">
    <w:name w:val="font11"/>
    <w:basedOn w:val="8"/>
    <w:uiPriority w:val="0"/>
    <w:rPr>
      <w:rFonts w:hint="eastAsia" w:ascii="宋体" w:hAnsi="宋体" w:eastAsia="宋体" w:cs="宋体"/>
      <w:color w:val="000000"/>
      <w:sz w:val="20"/>
      <w:szCs w:val="20"/>
      <w:u w:val="none"/>
    </w:rPr>
  </w:style>
  <w:style w:type="character" w:customStyle="1" w:styleId="18">
    <w:name w:val="font41"/>
    <w:basedOn w:val="8"/>
    <w:uiPriority w:val="0"/>
    <w:rPr>
      <w:rFonts w:hint="eastAsia" w:ascii="宋体" w:hAnsi="宋体" w:eastAsia="宋体" w:cs="宋体"/>
      <w:color w:val="000000"/>
      <w:sz w:val="24"/>
      <w:szCs w:val="24"/>
      <w:u w:val="none"/>
    </w:rPr>
  </w:style>
  <w:style w:type="character" w:customStyle="1" w:styleId="19">
    <w:name w:val="正文文本 Char"/>
    <w:basedOn w:val="8"/>
    <w:link w:val="2"/>
    <w:semiHidden/>
    <w:uiPriority w:val="99"/>
    <w:rPr>
      <w:rFonts w:ascii="Times New Roman" w:hAnsi="Times New Roman"/>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8"/>
    <customShpInfo spid="_x0000_s3075"/>
    <customShpInfo spid="_x0000_s3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30</Pages>
  <Words>7299</Words>
  <Characters>9002</Characters>
  <Lines>76</Lines>
  <Paragraphs>21</Paragraphs>
  <TotalTime>0</TotalTime>
  <ScaleCrop>false</ScaleCrop>
  <LinksUpToDate>false</LinksUpToDate>
  <CharactersWithSpaces>9317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2021-09-24T09:31:00Z</dcterms:created>
  <dc:creator>管理者</dc:creator>
  <cp:lastModifiedBy>John</cp:lastModifiedBy>
  <cp:lastPrinted>2018-07-24T10:50:00Z</cp:lastPrinted>
  <dcterms:modified xsi:type="dcterms:W3CDTF">2021-09-28T00:55:27Z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3BB6E2C8F6C64590889A61B6CDB1D2DF</vt:lpwstr>
  </property>
</Properties>
</file>